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B5A9" w14:textId="1F3CB0B4" w:rsidR="00AC343E" w:rsidRPr="005E2423" w:rsidRDefault="005E2423" w:rsidP="001B21B9">
      <w:pPr>
        <w:jc w:val="center"/>
        <w:rPr>
          <w:rFonts w:ascii="Georgia" w:hAnsi="Georgia"/>
          <w:sz w:val="24"/>
          <w:szCs w:val="24"/>
        </w:rPr>
      </w:pPr>
      <w:r w:rsidRPr="005E2423">
        <w:rPr>
          <w:rFonts w:ascii="Georgia" w:hAnsi="Georgia"/>
          <w:sz w:val="24"/>
          <w:szCs w:val="24"/>
        </w:rPr>
        <w:t>UNITED STATES OF AMERICA</w:t>
      </w:r>
    </w:p>
    <w:p w14:paraId="7653A2C8" w14:textId="46A9676A" w:rsidR="005E2423" w:rsidRPr="005E2423" w:rsidRDefault="005E2423" w:rsidP="001B21B9">
      <w:pPr>
        <w:jc w:val="center"/>
        <w:rPr>
          <w:rFonts w:ascii="Georgia" w:hAnsi="Georgia"/>
          <w:sz w:val="24"/>
          <w:szCs w:val="24"/>
        </w:rPr>
      </w:pPr>
      <w:r w:rsidRPr="005E2423">
        <w:rPr>
          <w:rFonts w:ascii="Georgia" w:hAnsi="Georgia"/>
          <w:sz w:val="24"/>
          <w:szCs w:val="24"/>
        </w:rPr>
        <w:t>BEFORE THE</w:t>
      </w:r>
    </w:p>
    <w:p w14:paraId="6BF124CC" w14:textId="48F7D31E" w:rsidR="005E2423" w:rsidRPr="005E2423" w:rsidRDefault="005E2423" w:rsidP="001B21B9">
      <w:pPr>
        <w:jc w:val="center"/>
        <w:rPr>
          <w:rFonts w:ascii="Georgia" w:hAnsi="Georgia"/>
          <w:sz w:val="24"/>
          <w:szCs w:val="24"/>
        </w:rPr>
      </w:pPr>
      <w:r w:rsidRPr="005E2423">
        <w:rPr>
          <w:rFonts w:ascii="Georgia" w:hAnsi="Georgia"/>
          <w:sz w:val="24"/>
          <w:szCs w:val="24"/>
        </w:rPr>
        <w:t>FEDERAL ENERGY REGULATORY COMMISSION</w:t>
      </w:r>
    </w:p>
    <w:p w14:paraId="666AF578" w14:textId="7AC83C33" w:rsidR="005E2423" w:rsidRPr="005E2423" w:rsidRDefault="005E2423">
      <w:pPr>
        <w:rPr>
          <w:rFonts w:ascii="Georgia" w:hAnsi="Georgia"/>
          <w:sz w:val="24"/>
          <w:szCs w:val="24"/>
        </w:rPr>
      </w:pPr>
    </w:p>
    <w:p w14:paraId="0CED7CC6" w14:textId="324C3C21" w:rsidR="007C7FE4" w:rsidRDefault="007C7FE4">
      <w:pPr>
        <w:rPr>
          <w:rFonts w:ascii="Georgia" w:hAnsi="Georgia" w:cs="Times New Roman"/>
          <w:sz w:val="24"/>
          <w:szCs w:val="24"/>
        </w:rPr>
      </w:pPr>
      <w:r w:rsidRPr="007C7FE4">
        <w:rPr>
          <w:rFonts w:ascii="Georgia" w:hAnsi="Georgia" w:cs="Times New Roman"/>
          <w:sz w:val="24"/>
          <w:szCs w:val="24"/>
        </w:rPr>
        <w:t xml:space="preserve">PJM Interconnection, LLC </w:t>
      </w:r>
    </w:p>
    <w:p w14:paraId="5D021E21" w14:textId="6B99F8DF" w:rsidR="005E2423" w:rsidRPr="005E2423" w:rsidRDefault="005E2423">
      <w:pPr>
        <w:rPr>
          <w:rFonts w:ascii="Georgia" w:hAnsi="Georgia" w:cs="Times New Roman"/>
          <w:sz w:val="24"/>
          <w:szCs w:val="24"/>
        </w:rPr>
      </w:pPr>
      <w:r w:rsidRPr="005E2423">
        <w:rPr>
          <w:rFonts w:ascii="Georgia" w:hAnsi="Georgia" w:cs="Times New Roman"/>
          <w:sz w:val="24"/>
          <w:szCs w:val="24"/>
        </w:rPr>
        <w:t>PPL Electric Utilities Corporation</w:t>
      </w:r>
      <w:r w:rsidRPr="005E2423">
        <w:rPr>
          <w:rFonts w:ascii="Georgia" w:hAnsi="Georgia" w:cs="Times New Roman"/>
          <w:sz w:val="24"/>
          <w:szCs w:val="24"/>
        </w:rPr>
        <w:tab/>
      </w:r>
      <w:r w:rsidRPr="005E2423">
        <w:rPr>
          <w:rFonts w:ascii="Georgia" w:hAnsi="Georgia" w:cs="Times New Roman"/>
          <w:sz w:val="24"/>
          <w:szCs w:val="24"/>
        </w:rPr>
        <w:tab/>
      </w:r>
      <w:r w:rsidRPr="005E2423">
        <w:rPr>
          <w:rFonts w:ascii="Georgia" w:hAnsi="Georgia" w:cs="Times New Roman"/>
          <w:sz w:val="24"/>
          <w:szCs w:val="24"/>
        </w:rPr>
        <w:tab/>
      </w:r>
      <w:r w:rsidRPr="005E2423">
        <w:rPr>
          <w:rFonts w:ascii="Georgia" w:hAnsi="Georgia" w:cs="Times New Roman"/>
          <w:sz w:val="24"/>
          <w:szCs w:val="24"/>
        </w:rPr>
        <w:tab/>
      </w:r>
      <w:r w:rsidR="008A7ED7">
        <w:rPr>
          <w:rFonts w:ascii="Georgia" w:hAnsi="Georgia" w:cs="Times New Roman"/>
          <w:sz w:val="24"/>
          <w:szCs w:val="24"/>
        </w:rPr>
        <w:tab/>
      </w:r>
      <w:r w:rsidRPr="005E2423">
        <w:rPr>
          <w:rFonts w:ascii="Georgia" w:hAnsi="Georgia" w:cs="Times New Roman"/>
          <w:sz w:val="24"/>
          <w:szCs w:val="24"/>
        </w:rPr>
        <w:t>Docket No. ER21-2282</w:t>
      </w:r>
    </w:p>
    <w:p w14:paraId="7D5D8777" w14:textId="0822E48F" w:rsidR="005E2423" w:rsidRPr="005E2423" w:rsidRDefault="005E2423">
      <w:pPr>
        <w:rPr>
          <w:rFonts w:ascii="Georgia" w:hAnsi="Georgia" w:cs="Times New Roman"/>
          <w:sz w:val="24"/>
          <w:szCs w:val="24"/>
        </w:rPr>
      </w:pPr>
    </w:p>
    <w:p w14:paraId="2DB32D88" w14:textId="77777777" w:rsidR="000B60DA" w:rsidRDefault="000B60DA" w:rsidP="001B21B9">
      <w:pPr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3DA6ED09" w14:textId="1D6102BF" w:rsidR="005E2423" w:rsidRPr="001B21B9" w:rsidRDefault="005E2423" w:rsidP="001B21B9">
      <w:pPr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1B21B9">
        <w:rPr>
          <w:rFonts w:ascii="Georgia" w:hAnsi="Georgia" w:cs="Times New Roman"/>
          <w:b/>
          <w:bCs/>
          <w:sz w:val="24"/>
          <w:szCs w:val="24"/>
        </w:rPr>
        <w:t>Protest of Public Citizen, Inc.</w:t>
      </w:r>
    </w:p>
    <w:p w14:paraId="703BF36B" w14:textId="4DE69392" w:rsidR="005E2423" w:rsidRDefault="005E2423">
      <w:pPr>
        <w:rPr>
          <w:rFonts w:ascii="Georgia" w:hAnsi="Georgia" w:cs="Times New Roman"/>
          <w:sz w:val="24"/>
          <w:szCs w:val="24"/>
        </w:rPr>
      </w:pPr>
    </w:p>
    <w:p w14:paraId="21B827BA" w14:textId="77777777" w:rsidR="000B60DA" w:rsidRPr="005E2423" w:rsidRDefault="000B60DA">
      <w:pPr>
        <w:rPr>
          <w:rFonts w:ascii="Georgia" w:hAnsi="Georgia" w:cs="Times New Roman"/>
          <w:sz w:val="24"/>
          <w:szCs w:val="24"/>
        </w:rPr>
      </w:pPr>
    </w:p>
    <w:p w14:paraId="734AF08F" w14:textId="3EA99001" w:rsidR="005E2423" w:rsidRDefault="005E2423" w:rsidP="00704761">
      <w:pPr>
        <w:spacing w:line="360" w:lineRule="auto"/>
        <w:rPr>
          <w:rFonts w:ascii="Georgia" w:hAnsi="Georgia" w:cs="Times New Roman"/>
          <w:sz w:val="24"/>
          <w:szCs w:val="24"/>
        </w:rPr>
      </w:pPr>
      <w:r w:rsidRPr="005E2423">
        <w:rPr>
          <w:rFonts w:ascii="Georgia" w:hAnsi="Georgia" w:cs="Times New Roman"/>
          <w:sz w:val="24"/>
          <w:szCs w:val="24"/>
        </w:rPr>
        <w:tab/>
        <w:t xml:space="preserve">On June 30, 2021, </w:t>
      </w:r>
      <w:r w:rsidR="008A7ED7">
        <w:rPr>
          <w:rFonts w:ascii="Georgia" w:hAnsi="Georgia" w:cs="Times New Roman"/>
          <w:sz w:val="24"/>
          <w:szCs w:val="24"/>
        </w:rPr>
        <w:t>P</w:t>
      </w:r>
      <w:r w:rsidR="001E0E89">
        <w:rPr>
          <w:rFonts w:ascii="Georgia" w:hAnsi="Georgia" w:cs="Times New Roman"/>
          <w:sz w:val="24"/>
          <w:szCs w:val="24"/>
        </w:rPr>
        <w:t>JM</w:t>
      </w:r>
      <w:r>
        <w:rPr>
          <w:rFonts w:ascii="Georgia" w:hAnsi="Georgia" w:cs="Times New Roman"/>
          <w:sz w:val="24"/>
          <w:szCs w:val="24"/>
        </w:rPr>
        <w:t xml:space="preserve"> filed an application under Section 205 of the Federal Power Act</w:t>
      </w:r>
      <w:r w:rsidR="001B21B9">
        <w:rPr>
          <w:rFonts w:ascii="Georgia" w:hAnsi="Georgia" w:cs="Times New Roman"/>
          <w:sz w:val="24"/>
          <w:szCs w:val="24"/>
        </w:rPr>
        <w:t xml:space="preserve"> seeking p</w:t>
      </w:r>
      <w:r w:rsidR="008A4F62">
        <w:rPr>
          <w:rFonts w:ascii="Georgia" w:hAnsi="Georgia" w:cs="Times New Roman"/>
          <w:sz w:val="24"/>
          <w:szCs w:val="24"/>
        </w:rPr>
        <w:t xml:space="preserve">ermission to earn profits on certain transmission </w:t>
      </w:r>
      <w:r w:rsidR="00C21539">
        <w:rPr>
          <w:rFonts w:ascii="Georgia" w:hAnsi="Georgia" w:cs="Times New Roman"/>
          <w:sz w:val="24"/>
          <w:szCs w:val="24"/>
        </w:rPr>
        <w:t>Network U</w:t>
      </w:r>
      <w:r w:rsidR="008A4F62">
        <w:rPr>
          <w:rFonts w:ascii="Georgia" w:hAnsi="Georgia" w:cs="Times New Roman"/>
          <w:sz w:val="24"/>
          <w:szCs w:val="24"/>
        </w:rPr>
        <w:t>pgrades</w:t>
      </w:r>
      <w:r w:rsidR="00603708">
        <w:rPr>
          <w:rFonts w:ascii="Georgia" w:hAnsi="Georgia" w:cs="Times New Roman"/>
          <w:sz w:val="24"/>
          <w:szCs w:val="24"/>
        </w:rPr>
        <w:t xml:space="preserve"> </w:t>
      </w:r>
      <w:r w:rsidR="00B55B5C">
        <w:rPr>
          <w:rFonts w:ascii="Georgia" w:hAnsi="Georgia" w:cs="Times New Roman"/>
          <w:sz w:val="24"/>
          <w:szCs w:val="24"/>
        </w:rPr>
        <w:t xml:space="preserve">primarily </w:t>
      </w:r>
      <w:r w:rsidR="00603708">
        <w:rPr>
          <w:rFonts w:ascii="Georgia" w:hAnsi="Georgia" w:cs="Times New Roman"/>
          <w:sz w:val="24"/>
          <w:szCs w:val="24"/>
        </w:rPr>
        <w:t>built to serve</w:t>
      </w:r>
      <w:r w:rsidR="00426F56">
        <w:rPr>
          <w:rFonts w:ascii="Georgia" w:hAnsi="Georgia" w:cs="Times New Roman"/>
          <w:sz w:val="24"/>
          <w:szCs w:val="24"/>
        </w:rPr>
        <w:t xml:space="preserve"> </w:t>
      </w:r>
      <w:r w:rsidR="00603708">
        <w:rPr>
          <w:rFonts w:ascii="Georgia" w:hAnsi="Georgia" w:cs="Times New Roman"/>
          <w:sz w:val="24"/>
          <w:szCs w:val="24"/>
        </w:rPr>
        <w:t>renewable generation projects</w:t>
      </w:r>
      <w:r>
        <w:rPr>
          <w:rFonts w:ascii="Georgia" w:hAnsi="Georgia" w:cs="Times New Roman"/>
          <w:sz w:val="24"/>
          <w:szCs w:val="24"/>
        </w:rPr>
        <w:t xml:space="preserve">. Noting that there has been a proliferation of new renewable energy interconnections to PJM’s grid stemming </w:t>
      </w:r>
      <w:r w:rsidRPr="00A87380">
        <w:rPr>
          <w:rFonts w:ascii="Georgia" w:hAnsi="Georgia" w:cs="Times New Roman"/>
          <w:b/>
          <w:bCs/>
          <w:sz w:val="24"/>
          <w:szCs w:val="24"/>
          <w:u w:val="single"/>
        </w:rPr>
        <w:t>not</w:t>
      </w:r>
      <w:r>
        <w:rPr>
          <w:rFonts w:ascii="Georgia" w:hAnsi="Georgia" w:cs="Times New Roman"/>
          <w:sz w:val="24"/>
          <w:szCs w:val="24"/>
        </w:rPr>
        <w:t xml:space="preserve"> from PJM’s market design</w:t>
      </w:r>
      <w:r w:rsidR="00A87380">
        <w:rPr>
          <w:rFonts w:ascii="Georgia" w:hAnsi="Georgia" w:cs="Times New Roman"/>
          <w:sz w:val="24"/>
          <w:szCs w:val="24"/>
        </w:rPr>
        <w:t>,</w:t>
      </w:r>
      <w:r>
        <w:rPr>
          <w:rFonts w:ascii="Georgia" w:hAnsi="Georgia" w:cs="Times New Roman"/>
          <w:sz w:val="24"/>
          <w:szCs w:val="24"/>
        </w:rPr>
        <w:t xml:space="preserve"> but </w:t>
      </w:r>
      <w:r w:rsidR="00BC0DD5">
        <w:rPr>
          <w:rFonts w:ascii="Georgia" w:hAnsi="Georgia" w:cs="Times New Roman"/>
          <w:sz w:val="24"/>
          <w:szCs w:val="24"/>
        </w:rPr>
        <w:t xml:space="preserve">rather </w:t>
      </w:r>
      <w:r>
        <w:rPr>
          <w:rFonts w:ascii="Georgia" w:hAnsi="Georgia" w:cs="Times New Roman"/>
          <w:sz w:val="24"/>
          <w:szCs w:val="24"/>
        </w:rPr>
        <w:t>as “</w:t>
      </w:r>
      <w:r w:rsidRPr="005E2423">
        <w:rPr>
          <w:rFonts w:ascii="Georgia" w:hAnsi="Georgia" w:cs="Times New Roman"/>
          <w:sz w:val="24"/>
          <w:szCs w:val="24"/>
        </w:rPr>
        <w:t xml:space="preserve">a result of recent public policy initiatives focused on promoting the development of clean, renewable generation resources to </w:t>
      </w:r>
      <w:r w:rsidR="00E25606" w:rsidRPr="005E2423">
        <w:rPr>
          <w:rFonts w:ascii="Georgia" w:hAnsi="Georgia" w:cs="Times New Roman"/>
          <w:sz w:val="24"/>
          <w:szCs w:val="24"/>
        </w:rPr>
        <w:t>mitigate</w:t>
      </w:r>
      <w:r w:rsidRPr="005E2423">
        <w:rPr>
          <w:rFonts w:ascii="Georgia" w:hAnsi="Georgia" w:cs="Times New Roman"/>
          <w:sz w:val="24"/>
          <w:szCs w:val="24"/>
        </w:rPr>
        <w:t xml:space="preserve"> climate change issues</w:t>
      </w:r>
      <w:r>
        <w:rPr>
          <w:rFonts w:ascii="Georgia" w:hAnsi="Georgia" w:cs="Times New Roman"/>
          <w:sz w:val="24"/>
          <w:szCs w:val="24"/>
        </w:rPr>
        <w:t>”</w:t>
      </w:r>
      <w:r>
        <w:rPr>
          <w:rStyle w:val="FootnoteReference"/>
          <w:rFonts w:ascii="Georgia" w:hAnsi="Georgia" w:cs="Times New Roman"/>
          <w:sz w:val="24"/>
          <w:szCs w:val="24"/>
        </w:rPr>
        <w:footnoteReference w:id="1"/>
      </w:r>
      <w:r w:rsidR="00BC0DD5">
        <w:rPr>
          <w:rFonts w:ascii="Georgia" w:hAnsi="Georgia" w:cs="Times New Roman"/>
          <w:sz w:val="24"/>
          <w:szCs w:val="24"/>
        </w:rPr>
        <w:t>,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BC0DD5">
        <w:rPr>
          <w:rFonts w:ascii="Georgia" w:hAnsi="Georgia" w:cs="Times New Roman"/>
          <w:sz w:val="24"/>
          <w:szCs w:val="24"/>
        </w:rPr>
        <w:t>the</w:t>
      </w:r>
      <w:r w:rsidR="00E25606">
        <w:rPr>
          <w:rFonts w:ascii="Georgia" w:hAnsi="Georgia" w:cs="Times New Roman"/>
          <w:sz w:val="24"/>
          <w:szCs w:val="24"/>
        </w:rPr>
        <w:t xml:space="preserve"> transmission owners</w:t>
      </w:r>
      <w:r w:rsidR="00850CC7">
        <w:rPr>
          <w:rFonts w:ascii="Georgia" w:hAnsi="Georgia" w:cs="Times New Roman"/>
          <w:sz w:val="24"/>
          <w:szCs w:val="24"/>
        </w:rPr>
        <w:t xml:space="preserve"> ask that the PJM tariff be amended to allow them to earn a profit on these Network Upgrades</w:t>
      </w:r>
      <w:r w:rsidR="00426F56">
        <w:rPr>
          <w:rFonts w:ascii="Cambria" w:hAnsi="Cambria" w:cs="Times New Roman"/>
          <w:sz w:val="24"/>
          <w:szCs w:val="24"/>
        </w:rPr>
        <w:t>—</w:t>
      </w:r>
      <w:r w:rsidR="00426F56">
        <w:rPr>
          <w:rFonts w:ascii="Georgia" w:hAnsi="Georgia" w:cs="Times New Roman"/>
          <w:sz w:val="24"/>
          <w:szCs w:val="24"/>
        </w:rPr>
        <w:t xml:space="preserve">despite the fact that these </w:t>
      </w:r>
      <w:r w:rsidR="00A425A4">
        <w:rPr>
          <w:rFonts w:ascii="Georgia" w:hAnsi="Georgia" w:cs="Times New Roman"/>
          <w:sz w:val="24"/>
          <w:szCs w:val="24"/>
        </w:rPr>
        <w:t xml:space="preserve">improvements </w:t>
      </w:r>
      <w:r w:rsidR="00426F56">
        <w:rPr>
          <w:rFonts w:ascii="Georgia" w:hAnsi="Georgia" w:cs="Times New Roman"/>
          <w:sz w:val="24"/>
          <w:szCs w:val="24"/>
        </w:rPr>
        <w:t>are financed by the renewable project developers</w:t>
      </w:r>
      <w:r w:rsidR="009512D8">
        <w:rPr>
          <w:rFonts w:ascii="Georgia" w:hAnsi="Georgia" w:cs="Times New Roman"/>
          <w:sz w:val="24"/>
          <w:szCs w:val="24"/>
        </w:rPr>
        <w:t xml:space="preserve"> and not the transmission owners!</w:t>
      </w:r>
    </w:p>
    <w:p w14:paraId="077B2CCD" w14:textId="2B1BD608" w:rsidR="00850CC7" w:rsidRDefault="00850CC7" w:rsidP="00704761">
      <w:pPr>
        <w:spacing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E91FC4">
        <w:rPr>
          <w:rFonts w:ascii="Georgia" w:hAnsi="Georgia" w:cs="Times New Roman"/>
          <w:sz w:val="24"/>
          <w:szCs w:val="24"/>
        </w:rPr>
        <w:t xml:space="preserve">The Commission must reject this frivolous application. As </w:t>
      </w:r>
      <w:r w:rsidR="003C01D4">
        <w:rPr>
          <w:rFonts w:ascii="Georgia" w:hAnsi="Georgia" w:cs="Times New Roman"/>
          <w:sz w:val="24"/>
          <w:szCs w:val="24"/>
        </w:rPr>
        <w:t xml:space="preserve">revealed in </w:t>
      </w:r>
      <w:r w:rsidR="009512D8">
        <w:rPr>
          <w:rFonts w:ascii="Georgia" w:hAnsi="Georgia" w:cs="Times New Roman"/>
          <w:sz w:val="24"/>
          <w:szCs w:val="24"/>
        </w:rPr>
        <w:t xml:space="preserve">the sample calculations included as </w:t>
      </w:r>
      <w:r w:rsidR="00103534">
        <w:rPr>
          <w:rFonts w:ascii="Georgia" w:hAnsi="Georgia" w:cs="Times New Roman"/>
          <w:sz w:val="24"/>
          <w:szCs w:val="24"/>
        </w:rPr>
        <w:t xml:space="preserve">Attachment E of the Application, </w:t>
      </w:r>
      <w:r w:rsidR="00773FA8">
        <w:rPr>
          <w:rFonts w:ascii="Georgia" w:hAnsi="Georgia" w:cs="Times New Roman"/>
          <w:sz w:val="24"/>
          <w:szCs w:val="24"/>
        </w:rPr>
        <w:t xml:space="preserve">the proposal would </w:t>
      </w:r>
      <w:r w:rsidR="00C143D0">
        <w:rPr>
          <w:rFonts w:ascii="Georgia" w:hAnsi="Georgia" w:cs="Times New Roman"/>
          <w:sz w:val="24"/>
          <w:szCs w:val="24"/>
        </w:rPr>
        <w:t xml:space="preserve">seek to recover </w:t>
      </w:r>
      <w:r w:rsidR="00C711AB">
        <w:rPr>
          <w:rFonts w:ascii="Georgia" w:hAnsi="Georgia" w:cs="Times New Roman"/>
          <w:sz w:val="24"/>
          <w:szCs w:val="24"/>
        </w:rPr>
        <w:t xml:space="preserve">roughly </w:t>
      </w:r>
      <w:r w:rsidR="00C143D0">
        <w:rPr>
          <w:rFonts w:ascii="Georgia" w:hAnsi="Georgia" w:cs="Times New Roman"/>
          <w:sz w:val="24"/>
          <w:szCs w:val="24"/>
        </w:rPr>
        <w:t>$336,375,000 from ratepayers, just to finance larger profits for the transmission owners.</w:t>
      </w:r>
      <w:r w:rsidR="00897902">
        <w:rPr>
          <w:rFonts w:ascii="Georgia" w:hAnsi="Georgia" w:cs="Times New Roman"/>
          <w:sz w:val="24"/>
          <w:szCs w:val="24"/>
        </w:rPr>
        <w:t xml:space="preserve"> This massive rate hike is unsupported by the facts, and is unjust and unreasonable.</w:t>
      </w:r>
    </w:p>
    <w:p w14:paraId="39F216D2" w14:textId="4696FFE6" w:rsidR="00550052" w:rsidRDefault="00124B25" w:rsidP="00DB300D">
      <w:pPr>
        <w:spacing w:line="360" w:lineRule="auto"/>
        <w:ind w:firstLine="72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In addition, the application is </w:t>
      </w:r>
      <w:r w:rsidR="009B4867">
        <w:rPr>
          <w:rFonts w:ascii="Georgia" w:hAnsi="Georgia" w:cs="Times New Roman"/>
          <w:sz w:val="24"/>
          <w:szCs w:val="24"/>
        </w:rPr>
        <w:t xml:space="preserve">associated with a </w:t>
      </w:r>
      <w:r w:rsidR="009B4867" w:rsidRPr="009B4867">
        <w:rPr>
          <w:rFonts w:ascii="Georgia" w:hAnsi="Georgia" w:cs="Times New Roman"/>
          <w:sz w:val="24"/>
          <w:szCs w:val="24"/>
        </w:rPr>
        <w:t>confidentiality and common interest agreement</w:t>
      </w:r>
      <w:r w:rsidR="009B4867">
        <w:rPr>
          <w:rFonts w:ascii="Georgia" w:hAnsi="Georgia" w:cs="Times New Roman"/>
          <w:sz w:val="24"/>
          <w:szCs w:val="24"/>
        </w:rPr>
        <w:t xml:space="preserve"> signed by PJM Interconnection </w:t>
      </w:r>
      <w:r w:rsidR="00C711AB">
        <w:rPr>
          <w:rFonts w:ascii="Georgia" w:hAnsi="Georgia" w:cs="Times New Roman"/>
          <w:sz w:val="24"/>
          <w:szCs w:val="24"/>
        </w:rPr>
        <w:t>in collusion</w:t>
      </w:r>
      <w:r w:rsidR="009B4867">
        <w:rPr>
          <w:rFonts w:ascii="Georgia" w:hAnsi="Georgia" w:cs="Times New Roman"/>
          <w:sz w:val="24"/>
          <w:szCs w:val="24"/>
        </w:rPr>
        <w:t xml:space="preserve"> with the transmission owners that </w:t>
      </w:r>
      <w:r w:rsidR="00C711AB">
        <w:rPr>
          <w:rFonts w:ascii="Georgia" w:hAnsi="Georgia" w:cs="Times New Roman"/>
          <w:sz w:val="24"/>
          <w:szCs w:val="24"/>
        </w:rPr>
        <w:t>represents</w:t>
      </w:r>
      <w:r w:rsidR="009B4867">
        <w:rPr>
          <w:rFonts w:ascii="Georgia" w:hAnsi="Georgia" w:cs="Times New Roman"/>
          <w:sz w:val="24"/>
          <w:szCs w:val="24"/>
        </w:rPr>
        <w:t xml:space="preserve"> a flagrant violation of PJM’s tariff, as it has never been </w:t>
      </w:r>
      <w:r w:rsidR="00565C61">
        <w:rPr>
          <w:rFonts w:ascii="Georgia" w:hAnsi="Georgia" w:cs="Times New Roman"/>
          <w:sz w:val="24"/>
          <w:szCs w:val="24"/>
        </w:rPr>
        <w:t>disclosed to or approved by FERC</w:t>
      </w:r>
      <w:r w:rsidR="00C711AB">
        <w:rPr>
          <w:rFonts w:ascii="Georgia" w:hAnsi="Georgia" w:cs="Times New Roman"/>
          <w:sz w:val="24"/>
          <w:szCs w:val="24"/>
        </w:rPr>
        <w:t>.</w:t>
      </w:r>
    </w:p>
    <w:p w14:paraId="55787D41" w14:textId="35816E92" w:rsidR="003921C4" w:rsidRDefault="003921C4" w:rsidP="00704761">
      <w:pPr>
        <w:spacing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565C61">
        <w:rPr>
          <w:rFonts w:ascii="Georgia" w:hAnsi="Georgia" w:cs="Times New Roman"/>
          <w:sz w:val="24"/>
          <w:szCs w:val="24"/>
        </w:rPr>
        <w:t>Finally, we request that FERC disallow any and all</w:t>
      </w:r>
      <w:r w:rsidR="001D4C2C">
        <w:rPr>
          <w:rFonts w:ascii="Georgia" w:hAnsi="Georgia" w:cs="Times New Roman"/>
          <w:sz w:val="24"/>
          <w:szCs w:val="24"/>
        </w:rPr>
        <w:t xml:space="preserve"> cost recovery of expenses related to </w:t>
      </w:r>
      <w:r w:rsidR="00565C61">
        <w:rPr>
          <w:rFonts w:ascii="Georgia" w:hAnsi="Georgia" w:cs="Times New Roman"/>
          <w:sz w:val="24"/>
          <w:szCs w:val="24"/>
        </w:rPr>
        <w:t xml:space="preserve">the preparation and filing of the June 30 </w:t>
      </w:r>
      <w:r w:rsidR="00E72BF9">
        <w:rPr>
          <w:rFonts w:ascii="Georgia" w:hAnsi="Georgia" w:cs="Times New Roman"/>
          <w:sz w:val="24"/>
          <w:szCs w:val="24"/>
        </w:rPr>
        <w:t>application</w:t>
      </w:r>
      <w:r w:rsidR="001D4C2C">
        <w:rPr>
          <w:rFonts w:ascii="Georgia" w:hAnsi="Georgia" w:cs="Times New Roman"/>
          <w:sz w:val="24"/>
          <w:szCs w:val="24"/>
        </w:rPr>
        <w:t xml:space="preserve">. </w:t>
      </w:r>
    </w:p>
    <w:p w14:paraId="10B01BEC" w14:textId="4F2BE05C" w:rsidR="00AE42CF" w:rsidRDefault="00AE42CF" w:rsidP="00704761">
      <w:pPr>
        <w:spacing w:line="360" w:lineRule="auto"/>
        <w:rPr>
          <w:rFonts w:ascii="Georgia" w:hAnsi="Georgia" w:cs="Times New Roman"/>
          <w:sz w:val="24"/>
          <w:szCs w:val="24"/>
        </w:rPr>
      </w:pPr>
    </w:p>
    <w:p w14:paraId="614B0907" w14:textId="5937843B" w:rsidR="00AE42CF" w:rsidRDefault="00AE42CF" w:rsidP="00704761">
      <w:pPr>
        <w:spacing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ab/>
        <w:t xml:space="preserve">The application states that </w:t>
      </w:r>
      <w:r w:rsidR="00A425A4">
        <w:rPr>
          <w:rFonts w:ascii="Georgia" w:hAnsi="Georgia" w:cs="Times New Roman"/>
          <w:sz w:val="24"/>
          <w:szCs w:val="24"/>
        </w:rPr>
        <w:t xml:space="preserve">Network Upgrades are </w:t>
      </w:r>
      <w:r w:rsidR="009F673F">
        <w:rPr>
          <w:rFonts w:ascii="Georgia" w:hAnsi="Georgia" w:cs="Times New Roman"/>
          <w:sz w:val="24"/>
          <w:szCs w:val="24"/>
        </w:rPr>
        <w:t xml:space="preserve">financed </w:t>
      </w:r>
      <w:r w:rsidR="0048474A" w:rsidRPr="0048474A">
        <w:rPr>
          <w:rFonts w:ascii="Georgia" w:hAnsi="Georgia" w:cs="Times New Roman"/>
          <w:sz w:val="24"/>
          <w:szCs w:val="24"/>
        </w:rPr>
        <w:t xml:space="preserve">through a </w:t>
      </w:r>
      <w:r w:rsidR="009F673F">
        <w:rPr>
          <w:rFonts w:ascii="Georgia" w:hAnsi="Georgia" w:cs="Times New Roman"/>
          <w:sz w:val="24"/>
          <w:szCs w:val="24"/>
        </w:rPr>
        <w:t>“</w:t>
      </w:r>
      <w:r w:rsidR="0048474A" w:rsidRPr="0048474A">
        <w:rPr>
          <w:rFonts w:ascii="Georgia" w:hAnsi="Georgia" w:cs="Times New Roman"/>
          <w:sz w:val="24"/>
          <w:szCs w:val="24"/>
        </w:rPr>
        <w:t>participant funding model</w:t>
      </w:r>
      <w:r w:rsidR="009F673F">
        <w:rPr>
          <w:rFonts w:ascii="Georgia" w:hAnsi="Georgia" w:cs="Times New Roman"/>
          <w:sz w:val="24"/>
          <w:szCs w:val="24"/>
        </w:rPr>
        <w:t>”</w:t>
      </w:r>
      <w:r w:rsidR="0048474A" w:rsidRPr="0048474A">
        <w:rPr>
          <w:rFonts w:ascii="Georgia" w:hAnsi="Georgia" w:cs="Times New Roman"/>
          <w:sz w:val="24"/>
          <w:szCs w:val="24"/>
        </w:rPr>
        <w:t xml:space="preserve"> where the renewable project developer </w:t>
      </w:r>
      <w:r w:rsidR="009F673F">
        <w:rPr>
          <w:rFonts w:ascii="Georgia" w:hAnsi="Georgia" w:cs="Times New Roman"/>
          <w:sz w:val="24"/>
          <w:szCs w:val="24"/>
        </w:rPr>
        <w:t>“</w:t>
      </w:r>
      <w:r w:rsidR="0048474A" w:rsidRPr="0048474A">
        <w:rPr>
          <w:rFonts w:ascii="Georgia" w:hAnsi="Georgia" w:cs="Times New Roman"/>
          <w:sz w:val="24"/>
          <w:szCs w:val="24"/>
        </w:rPr>
        <w:t>is responsible for paying upfront the costs of any Network Upgrades needed to interconnect to the PJM transmission system.</w:t>
      </w:r>
      <w:r w:rsidR="009F673F">
        <w:rPr>
          <w:rFonts w:ascii="Georgia" w:hAnsi="Georgia" w:cs="Times New Roman"/>
          <w:sz w:val="24"/>
          <w:szCs w:val="24"/>
        </w:rPr>
        <w:t>”</w:t>
      </w:r>
      <w:r w:rsidR="009F673F">
        <w:rPr>
          <w:rStyle w:val="FootnoteReference"/>
          <w:rFonts w:ascii="Georgia" w:hAnsi="Georgia" w:cs="Times New Roman"/>
          <w:sz w:val="24"/>
          <w:szCs w:val="24"/>
        </w:rPr>
        <w:footnoteReference w:id="2"/>
      </w:r>
      <w:r w:rsidR="007C6BDA">
        <w:rPr>
          <w:rFonts w:ascii="Georgia" w:hAnsi="Georgia" w:cs="Times New Roman"/>
          <w:sz w:val="24"/>
          <w:szCs w:val="24"/>
        </w:rPr>
        <w:t xml:space="preserve"> So to be clear: </w:t>
      </w:r>
      <w:r w:rsidR="00696867">
        <w:rPr>
          <w:rFonts w:ascii="Georgia" w:hAnsi="Georgia" w:cs="Times New Roman"/>
          <w:sz w:val="24"/>
          <w:szCs w:val="24"/>
        </w:rPr>
        <w:t xml:space="preserve">companies other than the transmission owners </w:t>
      </w:r>
      <w:r w:rsidR="00C92EB9">
        <w:rPr>
          <w:rFonts w:ascii="Georgia" w:hAnsi="Georgia" w:cs="Times New Roman"/>
          <w:sz w:val="24"/>
          <w:szCs w:val="24"/>
        </w:rPr>
        <w:t xml:space="preserve">are spending money on Network Upgrades, and the </w:t>
      </w:r>
      <w:r w:rsidR="009315D5">
        <w:rPr>
          <w:rFonts w:ascii="Georgia" w:hAnsi="Georgia" w:cs="Times New Roman"/>
          <w:sz w:val="24"/>
          <w:szCs w:val="24"/>
        </w:rPr>
        <w:t>t</w:t>
      </w:r>
      <w:r w:rsidR="00C92EB9">
        <w:rPr>
          <w:rFonts w:ascii="Georgia" w:hAnsi="Georgia" w:cs="Times New Roman"/>
          <w:sz w:val="24"/>
          <w:szCs w:val="24"/>
        </w:rPr>
        <w:t xml:space="preserve">ransmission </w:t>
      </w:r>
      <w:r w:rsidR="009315D5">
        <w:rPr>
          <w:rFonts w:ascii="Georgia" w:hAnsi="Georgia" w:cs="Times New Roman"/>
          <w:sz w:val="24"/>
          <w:szCs w:val="24"/>
        </w:rPr>
        <w:t>o</w:t>
      </w:r>
      <w:r w:rsidR="00C92EB9">
        <w:rPr>
          <w:rFonts w:ascii="Georgia" w:hAnsi="Georgia" w:cs="Times New Roman"/>
          <w:sz w:val="24"/>
          <w:szCs w:val="24"/>
        </w:rPr>
        <w:t xml:space="preserve">wners seek to </w:t>
      </w:r>
      <w:r w:rsidR="00C636FC">
        <w:rPr>
          <w:rFonts w:ascii="Georgia" w:hAnsi="Georgia" w:cs="Times New Roman"/>
          <w:sz w:val="24"/>
          <w:szCs w:val="24"/>
        </w:rPr>
        <w:t xml:space="preserve">include those upgrades into </w:t>
      </w:r>
      <w:r w:rsidR="002F66FA">
        <w:rPr>
          <w:rFonts w:ascii="Georgia" w:hAnsi="Georgia" w:cs="Times New Roman"/>
          <w:sz w:val="24"/>
          <w:szCs w:val="24"/>
        </w:rPr>
        <w:t>their own</w:t>
      </w:r>
      <w:r w:rsidR="00C636FC">
        <w:rPr>
          <w:rFonts w:ascii="Georgia" w:hAnsi="Georgia" w:cs="Times New Roman"/>
          <w:sz w:val="24"/>
          <w:szCs w:val="24"/>
        </w:rPr>
        <w:t xml:space="preserve"> rate base </w:t>
      </w:r>
      <w:r w:rsidR="009315D5">
        <w:rPr>
          <w:rFonts w:ascii="Georgia" w:hAnsi="Georgia" w:cs="Times New Roman"/>
          <w:sz w:val="24"/>
          <w:szCs w:val="24"/>
        </w:rPr>
        <w:t>and</w:t>
      </w:r>
      <w:r w:rsidR="002F66FA">
        <w:rPr>
          <w:rFonts w:ascii="Georgia" w:hAnsi="Georgia" w:cs="Times New Roman"/>
          <w:sz w:val="24"/>
          <w:szCs w:val="24"/>
        </w:rPr>
        <w:t xml:space="preserve"> </w:t>
      </w:r>
      <w:r w:rsidR="00C636FC">
        <w:rPr>
          <w:rFonts w:ascii="Georgia" w:hAnsi="Georgia" w:cs="Times New Roman"/>
          <w:sz w:val="24"/>
          <w:szCs w:val="24"/>
        </w:rPr>
        <w:t xml:space="preserve">earn </w:t>
      </w:r>
      <w:r w:rsidR="002F66FA">
        <w:rPr>
          <w:rFonts w:ascii="Georgia" w:hAnsi="Georgia" w:cs="Times New Roman"/>
          <w:sz w:val="24"/>
          <w:szCs w:val="24"/>
        </w:rPr>
        <w:t xml:space="preserve">a </w:t>
      </w:r>
      <w:r w:rsidR="00C636FC">
        <w:rPr>
          <w:rFonts w:ascii="Georgia" w:hAnsi="Georgia" w:cs="Times New Roman"/>
          <w:sz w:val="24"/>
          <w:szCs w:val="24"/>
        </w:rPr>
        <w:t>10.3% rate of return</w:t>
      </w:r>
      <w:r w:rsidR="00E53975">
        <w:rPr>
          <w:rFonts w:ascii="Cambria" w:hAnsi="Cambria" w:cs="Times New Roman"/>
          <w:sz w:val="24"/>
          <w:szCs w:val="24"/>
        </w:rPr>
        <w:t>—</w:t>
      </w:r>
      <w:r w:rsidR="00073241">
        <w:rPr>
          <w:rFonts w:ascii="Georgia" w:hAnsi="Georgia" w:cs="Times New Roman"/>
          <w:sz w:val="24"/>
          <w:szCs w:val="24"/>
        </w:rPr>
        <w:t>which amounts to the application demanding that FERC force working families and other consumers in PJM’s footprint to pay</w:t>
      </w:r>
      <w:r w:rsidR="00620E39">
        <w:rPr>
          <w:rFonts w:ascii="Georgia" w:hAnsi="Georgia" w:cs="Times New Roman"/>
          <w:sz w:val="24"/>
          <w:szCs w:val="24"/>
        </w:rPr>
        <w:t xml:space="preserve"> </w:t>
      </w:r>
      <w:r w:rsidR="00665C12">
        <w:rPr>
          <w:rFonts w:ascii="Georgia" w:hAnsi="Georgia" w:cs="Times New Roman"/>
          <w:sz w:val="24"/>
          <w:szCs w:val="24"/>
        </w:rPr>
        <w:t>over $336 million</w:t>
      </w:r>
      <w:r w:rsidR="00073241">
        <w:rPr>
          <w:rFonts w:ascii="Georgia" w:hAnsi="Georgia" w:cs="Times New Roman"/>
          <w:sz w:val="24"/>
          <w:szCs w:val="24"/>
        </w:rPr>
        <w:t xml:space="preserve"> through their utility bills so the </w:t>
      </w:r>
      <w:r w:rsidR="00B45065">
        <w:rPr>
          <w:rFonts w:ascii="Georgia" w:hAnsi="Georgia" w:cs="Times New Roman"/>
          <w:sz w:val="24"/>
          <w:szCs w:val="24"/>
        </w:rPr>
        <w:t>t</w:t>
      </w:r>
      <w:r w:rsidR="00073241">
        <w:rPr>
          <w:rFonts w:ascii="Georgia" w:hAnsi="Georgia" w:cs="Times New Roman"/>
          <w:sz w:val="24"/>
          <w:szCs w:val="24"/>
        </w:rPr>
        <w:t xml:space="preserve">ransmission </w:t>
      </w:r>
      <w:r w:rsidR="00B45065">
        <w:rPr>
          <w:rFonts w:ascii="Georgia" w:hAnsi="Georgia" w:cs="Times New Roman"/>
          <w:sz w:val="24"/>
          <w:szCs w:val="24"/>
        </w:rPr>
        <w:t>o</w:t>
      </w:r>
      <w:r w:rsidR="00073241">
        <w:rPr>
          <w:rFonts w:ascii="Georgia" w:hAnsi="Georgia" w:cs="Times New Roman"/>
          <w:sz w:val="24"/>
          <w:szCs w:val="24"/>
        </w:rPr>
        <w:t>wners can enjoy</w:t>
      </w:r>
      <w:r w:rsidR="005F56DF">
        <w:rPr>
          <w:rFonts w:ascii="Georgia" w:hAnsi="Georgia" w:cs="Times New Roman"/>
          <w:sz w:val="24"/>
          <w:szCs w:val="24"/>
        </w:rPr>
        <w:t xml:space="preserve"> bigger </w:t>
      </w:r>
      <w:r w:rsidR="00E72BF9">
        <w:rPr>
          <w:rFonts w:ascii="Georgia" w:hAnsi="Georgia" w:cs="Times New Roman"/>
          <w:sz w:val="24"/>
          <w:szCs w:val="24"/>
        </w:rPr>
        <w:t>profits</w:t>
      </w:r>
      <w:r w:rsidR="00C81A49">
        <w:rPr>
          <w:rFonts w:ascii="Georgia" w:hAnsi="Georgia" w:cs="Times New Roman"/>
          <w:sz w:val="24"/>
          <w:szCs w:val="24"/>
        </w:rPr>
        <w:t xml:space="preserve"> at time when </w:t>
      </w:r>
      <w:r w:rsidR="00633B73">
        <w:rPr>
          <w:rFonts w:ascii="Georgia" w:hAnsi="Georgia" w:cs="Times New Roman"/>
          <w:sz w:val="24"/>
          <w:szCs w:val="24"/>
        </w:rPr>
        <w:t xml:space="preserve">millions of families are struggling to make ends meet. </w:t>
      </w:r>
      <w:r w:rsidR="00F220DB">
        <w:rPr>
          <w:rFonts w:ascii="Georgia" w:hAnsi="Georgia" w:cs="Times New Roman"/>
          <w:sz w:val="24"/>
          <w:szCs w:val="24"/>
        </w:rPr>
        <w:t xml:space="preserve">That’s some </w:t>
      </w:r>
      <w:r w:rsidR="00620E39" w:rsidRPr="00620E39">
        <w:rPr>
          <w:rFonts w:ascii="Georgia" w:hAnsi="Georgia" w:cs="Times New Roman"/>
          <w:sz w:val="24"/>
          <w:szCs w:val="24"/>
        </w:rPr>
        <w:t>chutzpah</w:t>
      </w:r>
      <w:r w:rsidR="00620E39">
        <w:rPr>
          <w:rFonts w:ascii="Georgia" w:hAnsi="Georgia" w:cs="Times New Roman"/>
          <w:sz w:val="24"/>
          <w:szCs w:val="24"/>
        </w:rPr>
        <w:t>.</w:t>
      </w:r>
      <w:r w:rsidR="00696867">
        <w:rPr>
          <w:rFonts w:ascii="Georgia" w:hAnsi="Georgia" w:cs="Times New Roman"/>
          <w:sz w:val="24"/>
          <w:szCs w:val="24"/>
        </w:rPr>
        <w:t xml:space="preserve"> </w:t>
      </w:r>
    </w:p>
    <w:p w14:paraId="59E1779B" w14:textId="38732AFA" w:rsidR="001E1399" w:rsidRDefault="00F828F9" w:rsidP="00140D76">
      <w:pPr>
        <w:spacing w:line="360" w:lineRule="auto"/>
        <w:ind w:firstLine="720"/>
        <w:rPr>
          <w:rFonts w:ascii="Georgia" w:hAnsi="Georgia" w:cs="Times New Roman"/>
          <w:sz w:val="24"/>
          <w:szCs w:val="24"/>
        </w:rPr>
      </w:pPr>
      <w:r w:rsidRPr="00F828F9">
        <w:rPr>
          <w:rFonts w:ascii="Georgia" w:hAnsi="Georgia" w:cs="Times New Roman"/>
          <w:sz w:val="24"/>
          <w:szCs w:val="24"/>
        </w:rPr>
        <w:t xml:space="preserve">The application states that PJM's Regional Transmission Expansion Plan </w:t>
      </w:r>
      <w:r w:rsidR="005F56DF">
        <w:rPr>
          <w:rFonts w:ascii="Georgia" w:hAnsi="Georgia" w:cs="Times New Roman"/>
          <w:sz w:val="24"/>
          <w:szCs w:val="24"/>
        </w:rPr>
        <w:t>estimates</w:t>
      </w:r>
      <w:r w:rsidRPr="00F828F9">
        <w:rPr>
          <w:rFonts w:ascii="Georgia" w:hAnsi="Georgia" w:cs="Times New Roman"/>
          <w:sz w:val="24"/>
          <w:szCs w:val="24"/>
        </w:rPr>
        <w:t xml:space="preserve"> $6.5 billion in Network Upgrade costs.</w:t>
      </w:r>
      <w:r>
        <w:rPr>
          <w:rStyle w:val="FootnoteReference"/>
          <w:rFonts w:ascii="Georgia" w:hAnsi="Georgia" w:cs="Times New Roman"/>
          <w:sz w:val="24"/>
          <w:szCs w:val="24"/>
        </w:rPr>
        <w:footnoteReference w:id="3"/>
      </w:r>
      <w:r w:rsidR="00A4549E">
        <w:rPr>
          <w:rFonts w:ascii="Georgia" w:hAnsi="Georgia" w:cs="Times New Roman"/>
          <w:sz w:val="24"/>
          <w:szCs w:val="24"/>
        </w:rPr>
        <w:t xml:space="preserve"> </w:t>
      </w:r>
      <w:r w:rsidR="00A4549E" w:rsidRPr="00A4549E">
        <w:rPr>
          <w:rFonts w:ascii="Georgia" w:hAnsi="Georgia" w:cs="Times New Roman"/>
          <w:sz w:val="24"/>
          <w:szCs w:val="24"/>
        </w:rPr>
        <w:t>Attachment E of the application is an example of their proposed formula rate. Page two of Attachment E includes the capital structure (at line 68), with a 50% equity ratio with a return on equity of 10.35% (line 72). So</w:t>
      </w:r>
      <w:r w:rsidR="00A4549E">
        <w:rPr>
          <w:rFonts w:ascii="Georgia" w:hAnsi="Georgia" w:cs="Times New Roman"/>
          <w:sz w:val="24"/>
          <w:szCs w:val="24"/>
        </w:rPr>
        <w:t xml:space="preserve"> </w:t>
      </w:r>
      <w:r w:rsidR="009734AC">
        <w:rPr>
          <w:rFonts w:ascii="Georgia" w:hAnsi="Georgia" w:cs="Times New Roman"/>
          <w:sz w:val="24"/>
          <w:szCs w:val="24"/>
        </w:rPr>
        <w:t xml:space="preserve">50% of $6.5 billion = </w:t>
      </w:r>
      <w:r w:rsidR="008F770F">
        <w:rPr>
          <w:rFonts w:ascii="Georgia" w:hAnsi="Georgia" w:cs="Times New Roman"/>
          <w:sz w:val="24"/>
          <w:szCs w:val="24"/>
        </w:rPr>
        <w:t>$3.25 billion</w:t>
      </w:r>
      <w:r w:rsidR="00DD4D6E">
        <w:rPr>
          <w:rFonts w:ascii="Georgia" w:hAnsi="Georgia" w:cs="Times New Roman"/>
          <w:sz w:val="24"/>
          <w:szCs w:val="24"/>
        </w:rPr>
        <w:t xml:space="preserve">, and </w:t>
      </w:r>
      <w:r w:rsidR="00CF6FB7">
        <w:rPr>
          <w:rFonts w:ascii="Georgia" w:hAnsi="Georgia" w:cs="Times New Roman"/>
          <w:sz w:val="24"/>
          <w:szCs w:val="24"/>
        </w:rPr>
        <w:t xml:space="preserve">applying a 10.35% return on </w:t>
      </w:r>
      <w:r w:rsidR="0089317F">
        <w:rPr>
          <w:rFonts w:ascii="Georgia" w:hAnsi="Georgia" w:cs="Times New Roman"/>
          <w:sz w:val="24"/>
          <w:szCs w:val="24"/>
        </w:rPr>
        <w:t xml:space="preserve">$3.25 of </w:t>
      </w:r>
      <w:r w:rsidR="00CF6FB7">
        <w:rPr>
          <w:rFonts w:ascii="Georgia" w:hAnsi="Georgia" w:cs="Times New Roman"/>
          <w:sz w:val="24"/>
          <w:szCs w:val="24"/>
        </w:rPr>
        <w:t xml:space="preserve">equity = </w:t>
      </w:r>
      <w:r w:rsidR="0000186E" w:rsidRPr="0000186E">
        <w:rPr>
          <w:rFonts w:ascii="Georgia" w:hAnsi="Georgia" w:cs="Times New Roman"/>
          <w:sz w:val="24"/>
          <w:szCs w:val="24"/>
        </w:rPr>
        <w:t>$336</w:t>
      </w:r>
      <w:r w:rsidR="0000186E">
        <w:rPr>
          <w:rFonts w:ascii="Georgia" w:hAnsi="Georgia" w:cs="Times New Roman"/>
          <w:sz w:val="24"/>
          <w:szCs w:val="24"/>
        </w:rPr>
        <w:t>.</w:t>
      </w:r>
      <w:r w:rsidR="0000186E" w:rsidRPr="0000186E">
        <w:rPr>
          <w:rFonts w:ascii="Georgia" w:hAnsi="Georgia" w:cs="Times New Roman"/>
          <w:sz w:val="24"/>
          <w:szCs w:val="24"/>
        </w:rPr>
        <w:t>375</w:t>
      </w:r>
      <w:r w:rsidR="0000186E">
        <w:rPr>
          <w:rFonts w:ascii="Georgia" w:hAnsi="Georgia" w:cs="Times New Roman"/>
          <w:sz w:val="24"/>
          <w:szCs w:val="24"/>
        </w:rPr>
        <w:t xml:space="preserve"> million</w:t>
      </w:r>
      <w:r w:rsidR="00704761">
        <w:rPr>
          <w:rFonts w:ascii="Georgia" w:hAnsi="Georgia" w:cs="Times New Roman"/>
          <w:sz w:val="24"/>
          <w:szCs w:val="24"/>
        </w:rPr>
        <w:t>, which is</w:t>
      </w:r>
      <w:r w:rsidR="0000186E">
        <w:rPr>
          <w:rFonts w:ascii="Georgia" w:hAnsi="Georgia" w:cs="Times New Roman"/>
          <w:sz w:val="24"/>
          <w:szCs w:val="24"/>
        </w:rPr>
        <w:t xml:space="preserve"> not even in the ballpark of being just and reasonable</w:t>
      </w:r>
      <w:r w:rsidR="00271CD6">
        <w:rPr>
          <w:rFonts w:ascii="Georgia" w:hAnsi="Georgia" w:cs="Times New Roman"/>
          <w:sz w:val="24"/>
          <w:szCs w:val="24"/>
        </w:rPr>
        <w:t>,</w:t>
      </w:r>
      <w:r w:rsidR="008158DE">
        <w:rPr>
          <w:rStyle w:val="FootnoteReference"/>
          <w:rFonts w:ascii="Georgia" w:hAnsi="Georgia" w:cs="Times New Roman"/>
          <w:sz w:val="24"/>
          <w:szCs w:val="24"/>
        </w:rPr>
        <w:footnoteReference w:id="4"/>
      </w:r>
      <w:r w:rsidR="00271CD6">
        <w:rPr>
          <w:rFonts w:ascii="Georgia" w:hAnsi="Georgia" w:cs="Times New Roman"/>
          <w:sz w:val="24"/>
          <w:szCs w:val="24"/>
        </w:rPr>
        <w:t xml:space="preserve"> and is </w:t>
      </w:r>
      <w:r w:rsidR="00271CD6" w:rsidRPr="00271CD6">
        <w:rPr>
          <w:rFonts w:ascii="Georgia" w:hAnsi="Georgia" w:cs="Times New Roman"/>
          <w:sz w:val="24"/>
          <w:szCs w:val="24"/>
        </w:rPr>
        <w:t xml:space="preserve">inconsistent with </w:t>
      </w:r>
      <w:r w:rsidR="007B76F8">
        <w:rPr>
          <w:rFonts w:ascii="Georgia" w:hAnsi="Georgia" w:cs="Times New Roman"/>
          <w:sz w:val="24"/>
          <w:szCs w:val="24"/>
        </w:rPr>
        <w:t xml:space="preserve">recent </w:t>
      </w:r>
      <w:r w:rsidR="00271CD6" w:rsidRPr="00271CD6">
        <w:rPr>
          <w:rFonts w:ascii="Georgia" w:hAnsi="Georgia" w:cs="Times New Roman"/>
          <w:sz w:val="24"/>
          <w:szCs w:val="24"/>
        </w:rPr>
        <w:t>Commission Order</w:t>
      </w:r>
      <w:r w:rsidR="007B76F8">
        <w:rPr>
          <w:rFonts w:ascii="Georgia" w:hAnsi="Georgia" w:cs="Times New Roman"/>
          <w:sz w:val="24"/>
          <w:szCs w:val="24"/>
        </w:rPr>
        <w:t>s</w:t>
      </w:r>
      <w:r w:rsidR="00381963">
        <w:rPr>
          <w:rFonts w:ascii="Georgia" w:hAnsi="Georgia" w:cs="Times New Roman"/>
          <w:sz w:val="24"/>
          <w:szCs w:val="24"/>
        </w:rPr>
        <w:t xml:space="preserve"> on ROE</w:t>
      </w:r>
      <w:r w:rsidR="007B76F8">
        <w:rPr>
          <w:rFonts w:ascii="Georgia" w:hAnsi="Georgia" w:cs="Times New Roman"/>
          <w:sz w:val="24"/>
          <w:szCs w:val="24"/>
        </w:rPr>
        <w:t>.</w:t>
      </w:r>
      <w:r w:rsidR="007B76F8">
        <w:rPr>
          <w:rStyle w:val="FootnoteReference"/>
          <w:rFonts w:ascii="Georgia" w:hAnsi="Georgia" w:cs="Times New Roman"/>
          <w:sz w:val="24"/>
          <w:szCs w:val="24"/>
        </w:rPr>
        <w:footnoteReference w:id="5"/>
      </w:r>
      <w:r w:rsidR="00271CD6" w:rsidRPr="00271CD6">
        <w:rPr>
          <w:rFonts w:ascii="Georgia" w:hAnsi="Georgia" w:cs="Times New Roman"/>
          <w:sz w:val="24"/>
          <w:szCs w:val="24"/>
        </w:rPr>
        <w:t xml:space="preserve"> </w:t>
      </w:r>
      <w:r w:rsidR="00ED7BD3">
        <w:rPr>
          <w:rFonts w:ascii="Georgia" w:hAnsi="Georgia" w:cs="Times New Roman"/>
          <w:sz w:val="24"/>
          <w:szCs w:val="24"/>
        </w:rPr>
        <w:t xml:space="preserve"> </w:t>
      </w:r>
    </w:p>
    <w:p w14:paraId="219729E9" w14:textId="77777777" w:rsidR="001E1399" w:rsidRDefault="001E1399" w:rsidP="005F56DF">
      <w:pPr>
        <w:ind w:firstLine="720"/>
        <w:rPr>
          <w:rFonts w:ascii="Georgia" w:hAnsi="Georgia" w:cs="Times New Roman"/>
          <w:sz w:val="24"/>
          <w:szCs w:val="24"/>
        </w:rPr>
      </w:pPr>
    </w:p>
    <w:p w14:paraId="620430A2" w14:textId="43D8AD35" w:rsidR="00704761" w:rsidRDefault="004D0215" w:rsidP="00B06B8A">
      <w:pPr>
        <w:spacing w:line="360" w:lineRule="auto"/>
        <w:ind w:firstLine="72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Second, </w:t>
      </w:r>
      <w:r w:rsidR="005A0D04">
        <w:rPr>
          <w:rFonts w:ascii="Georgia" w:hAnsi="Georgia" w:cs="Times New Roman"/>
          <w:sz w:val="24"/>
          <w:szCs w:val="24"/>
        </w:rPr>
        <w:t xml:space="preserve">the application contains evidence of an </w:t>
      </w:r>
      <w:r w:rsidR="00381963">
        <w:rPr>
          <w:rFonts w:ascii="Georgia" w:hAnsi="Georgia" w:cs="Times New Roman"/>
          <w:sz w:val="24"/>
          <w:szCs w:val="24"/>
        </w:rPr>
        <w:t>unlawful</w:t>
      </w:r>
      <w:r w:rsidR="005A0D04">
        <w:rPr>
          <w:rFonts w:ascii="Georgia" w:hAnsi="Georgia" w:cs="Times New Roman"/>
          <w:sz w:val="24"/>
          <w:szCs w:val="24"/>
        </w:rPr>
        <w:t>, collusive agreement between PJM Interconnection and the transmission owners</w:t>
      </w:r>
      <w:r w:rsidR="0089317F">
        <w:rPr>
          <w:rFonts w:ascii="Georgia" w:hAnsi="Georgia" w:cs="Times New Roman"/>
          <w:sz w:val="24"/>
          <w:szCs w:val="24"/>
        </w:rPr>
        <w:t xml:space="preserve"> that has not been </w:t>
      </w:r>
      <w:r w:rsidR="00E53E58">
        <w:rPr>
          <w:rFonts w:ascii="Georgia" w:hAnsi="Georgia" w:cs="Times New Roman"/>
          <w:sz w:val="24"/>
          <w:szCs w:val="24"/>
        </w:rPr>
        <w:t xml:space="preserve">previously </w:t>
      </w:r>
      <w:r w:rsidR="00C60D15">
        <w:rPr>
          <w:rFonts w:ascii="Georgia" w:hAnsi="Georgia" w:cs="Times New Roman"/>
          <w:sz w:val="24"/>
          <w:szCs w:val="24"/>
        </w:rPr>
        <w:t xml:space="preserve">disclosed to or </w:t>
      </w:r>
      <w:r w:rsidR="00E53E58">
        <w:rPr>
          <w:rFonts w:ascii="Georgia" w:hAnsi="Georgia" w:cs="Times New Roman"/>
          <w:sz w:val="24"/>
          <w:szCs w:val="24"/>
        </w:rPr>
        <w:t>approved by FERC</w:t>
      </w:r>
      <w:r w:rsidR="00381963">
        <w:rPr>
          <w:rFonts w:ascii="Cambria" w:hAnsi="Cambria" w:cs="Times New Roman"/>
          <w:sz w:val="24"/>
          <w:szCs w:val="24"/>
        </w:rPr>
        <w:t>—</w:t>
      </w:r>
      <w:r w:rsidR="00C86A40">
        <w:rPr>
          <w:rFonts w:ascii="Georgia" w:hAnsi="Georgia" w:cs="Times New Roman"/>
          <w:sz w:val="24"/>
          <w:szCs w:val="24"/>
        </w:rPr>
        <w:t>a flagrant violation of PJM’s tariff</w:t>
      </w:r>
      <w:r w:rsidR="005A0D04">
        <w:rPr>
          <w:rFonts w:ascii="Georgia" w:hAnsi="Georgia" w:cs="Times New Roman"/>
          <w:sz w:val="24"/>
          <w:szCs w:val="24"/>
        </w:rPr>
        <w:t xml:space="preserve">. </w:t>
      </w:r>
      <w:r w:rsidR="00EC71F2" w:rsidRPr="00EC71F2">
        <w:rPr>
          <w:rFonts w:ascii="Georgia" w:hAnsi="Georgia" w:cs="Times New Roman"/>
          <w:sz w:val="24"/>
          <w:szCs w:val="24"/>
        </w:rPr>
        <w:t>The filing notes that the transmission owners acted through the PJM Consolidated Transmission Owners Agreement</w:t>
      </w:r>
      <w:r w:rsidR="001A779C">
        <w:rPr>
          <w:rFonts w:ascii="Georgia" w:hAnsi="Georgia" w:cs="Times New Roman"/>
          <w:sz w:val="24"/>
          <w:szCs w:val="24"/>
        </w:rPr>
        <w:t xml:space="preserve">, through a vote of the </w:t>
      </w:r>
      <w:r w:rsidR="001A779C" w:rsidRPr="001A779C">
        <w:rPr>
          <w:rFonts w:ascii="Georgia" w:hAnsi="Georgia" w:cs="Times New Roman"/>
          <w:sz w:val="24"/>
          <w:szCs w:val="24"/>
        </w:rPr>
        <w:t>TOA-Administrative</w:t>
      </w:r>
      <w:r w:rsidR="001A779C">
        <w:rPr>
          <w:rFonts w:ascii="Georgia" w:hAnsi="Georgia" w:cs="Times New Roman"/>
          <w:sz w:val="24"/>
          <w:szCs w:val="24"/>
        </w:rPr>
        <w:t xml:space="preserve"> </w:t>
      </w:r>
      <w:r w:rsidR="001A779C" w:rsidRPr="001A779C">
        <w:rPr>
          <w:rFonts w:ascii="Georgia" w:hAnsi="Georgia" w:cs="Times New Roman"/>
          <w:sz w:val="24"/>
          <w:szCs w:val="24"/>
        </w:rPr>
        <w:t>Committee</w:t>
      </w:r>
      <w:r w:rsidR="001A779C">
        <w:rPr>
          <w:rFonts w:ascii="Georgia" w:hAnsi="Georgia" w:cs="Times New Roman"/>
          <w:sz w:val="24"/>
          <w:szCs w:val="24"/>
        </w:rPr>
        <w:t>,</w:t>
      </w:r>
      <w:r w:rsidR="00EC71F2" w:rsidRPr="00EC71F2">
        <w:rPr>
          <w:rFonts w:ascii="Georgia" w:hAnsi="Georgia" w:cs="Times New Roman"/>
          <w:sz w:val="24"/>
          <w:szCs w:val="24"/>
        </w:rPr>
        <w:t xml:space="preserve"> to submit the </w:t>
      </w:r>
      <w:r w:rsidR="001A779C" w:rsidRPr="00EC71F2">
        <w:rPr>
          <w:rFonts w:ascii="Georgia" w:hAnsi="Georgia" w:cs="Times New Roman"/>
          <w:sz w:val="24"/>
          <w:szCs w:val="24"/>
        </w:rPr>
        <w:t>application</w:t>
      </w:r>
      <w:r w:rsidR="00EC71F2" w:rsidRPr="00EC71F2">
        <w:rPr>
          <w:rFonts w:ascii="Georgia" w:hAnsi="Georgia" w:cs="Times New Roman"/>
          <w:sz w:val="24"/>
          <w:szCs w:val="24"/>
        </w:rPr>
        <w:t>.</w:t>
      </w:r>
      <w:r w:rsidR="00EC71F2">
        <w:rPr>
          <w:rStyle w:val="FootnoteReference"/>
          <w:rFonts w:ascii="Georgia" w:hAnsi="Georgia" w:cs="Times New Roman"/>
          <w:sz w:val="24"/>
          <w:szCs w:val="24"/>
        </w:rPr>
        <w:footnoteReference w:id="6"/>
      </w:r>
      <w:r w:rsidR="002B6421">
        <w:rPr>
          <w:rFonts w:ascii="Georgia" w:hAnsi="Georgia" w:cs="Times New Roman"/>
          <w:sz w:val="24"/>
          <w:szCs w:val="24"/>
        </w:rPr>
        <w:t xml:space="preserve"> Earlier this year, consumer advocates forced PJM to </w:t>
      </w:r>
      <w:r w:rsidR="002F6861">
        <w:rPr>
          <w:rFonts w:ascii="Georgia" w:hAnsi="Georgia" w:cs="Times New Roman"/>
          <w:sz w:val="24"/>
          <w:szCs w:val="24"/>
        </w:rPr>
        <w:t xml:space="preserve">publicly release the </w:t>
      </w:r>
      <w:r w:rsidR="00D13C11" w:rsidRPr="00D13C11">
        <w:rPr>
          <w:rFonts w:ascii="Georgia" w:hAnsi="Georgia" w:cs="Times New Roman"/>
          <w:sz w:val="24"/>
          <w:szCs w:val="24"/>
        </w:rPr>
        <w:lastRenderedPageBreak/>
        <w:t>confidentiality and common interest agreements that PJM Interconnection signed along with the transmission owners</w:t>
      </w:r>
      <w:r w:rsidR="00C86A40">
        <w:rPr>
          <w:rFonts w:ascii="Georgia" w:hAnsi="Georgia" w:cs="Times New Roman"/>
          <w:sz w:val="24"/>
          <w:szCs w:val="24"/>
        </w:rPr>
        <w:t>, first in 2011 and again in 2017</w:t>
      </w:r>
      <w:r w:rsidR="00D13C11" w:rsidRPr="00D13C11">
        <w:rPr>
          <w:rFonts w:ascii="Georgia" w:hAnsi="Georgia" w:cs="Times New Roman"/>
          <w:sz w:val="24"/>
          <w:szCs w:val="24"/>
        </w:rPr>
        <w:t>.</w:t>
      </w:r>
      <w:r w:rsidR="004576B0">
        <w:rPr>
          <w:rStyle w:val="FootnoteReference"/>
          <w:rFonts w:ascii="Georgia" w:hAnsi="Georgia" w:cs="Times New Roman"/>
          <w:sz w:val="24"/>
          <w:szCs w:val="24"/>
        </w:rPr>
        <w:footnoteReference w:id="7"/>
      </w:r>
      <w:r w:rsidR="0050533B">
        <w:rPr>
          <w:rFonts w:ascii="Georgia" w:hAnsi="Georgia" w:cs="Times New Roman"/>
          <w:sz w:val="24"/>
          <w:szCs w:val="24"/>
        </w:rPr>
        <w:t xml:space="preserve"> </w:t>
      </w:r>
      <w:r w:rsidR="00B81334">
        <w:rPr>
          <w:rFonts w:ascii="Georgia" w:hAnsi="Georgia" w:cs="Times New Roman"/>
          <w:sz w:val="24"/>
          <w:szCs w:val="24"/>
        </w:rPr>
        <w:t xml:space="preserve"> </w:t>
      </w:r>
      <w:r w:rsidR="00643BC7">
        <w:rPr>
          <w:rFonts w:ascii="Georgia" w:hAnsi="Georgia" w:cs="Times New Roman"/>
          <w:sz w:val="24"/>
          <w:szCs w:val="24"/>
        </w:rPr>
        <w:t>P</w:t>
      </w:r>
      <w:r w:rsidR="00F31E3F" w:rsidRPr="00F31E3F">
        <w:rPr>
          <w:rFonts w:ascii="Georgia" w:hAnsi="Georgia" w:cs="Times New Roman"/>
          <w:sz w:val="24"/>
          <w:szCs w:val="24"/>
        </w:rPr>
        <w:t>age 26 of the 2017 agreement (located at the link in this footnote</w:t>
      </w:r>
      <w:r w:rsidR="004A10C4">
        <w:rPr>
          <w:rStyle w:val="FootnoteReference"/>
          <w:rFonts w:ascii="Georgia" w:hAnsi="Georgia" w:cs="Times New Roman"/>
          <w:sz w:val="24"/>
          <w:szCs w:val="24"/>
        </w:rPr>
        <w:footnoteReference w:id="8"/>
      </w:r>
      <w:r w:rsidR="00F31E3F" w:rsidRPr="00F31E3F">
        <w:rPr>
          <w:rFonts w:ascii="Georgia" w:hAnsi="Georgia" w:cs="Times New Roman"/>
          <w:sz w:val="24"/>
          <w:szCs w:val="24"/>
        </w:rPr>
        <w:t>)</w:t>
      </w:r>
      <w:r w:rsidR="00643BC7">
        <w:rPr>
          <w:rFonts w:ascii="Georgia" w:hAnsi="Georgia" w:cs="Times New Roman"/>
          <w:sz w:val="24"/>
          <w:szCs w:val="24"/>
        </w:rPr>
        <w:t xml:space="preserve"> includes the signatures of </w:t>
      </w:r>
      <w:r w:rsidR="00F31E3F" w:rsidRPr="00F31E3F">
        <w:rPr>
          <w:rFonts w:ascii="Georgia" w:hAnsi="Georgia" w:cs="Times New Roman"/>
          <w:sz w:val="24"/>
          <w:szCs w:val="24"/>
        </w:rPr>
        <w:t xml:space="preserve">two PJM executives </w:t>
      </w:r>
      <w:r w:rsidR="004611B6">
        <w:rPr>
          <w:rFonts w:ascii="Georgia" w:hAnsi="Georgia" w:cs="Times New Roman"/>
          <w:sz w:val="24"/>
          <w:szCs w:val="24"/>
        </w:rPr>
        <w:t>ratifying</w:t>
      </w:r>
      <w:r w:rsidR="00F31E3F" w:rsidRPr="00F31E3F">
        <w:rPr>
          <w:rFonts w:ascii="Georgia" w:hAnsi="Georgia" w:cs="Times New Roman"/>
          <w:sz w:val="24"/>
          <w:szCs w:val="24"/>
        </w:rPr>
        <w:t xml:space="preserve"> a confidentiality agreement with the transmission owners. This is a material contract that should have been first filed with FERC under Section 205 of PJM's tariff. Instead, PJM hid it from both FERC and non-transmission owner stakeholders</w:t>
      </w:r>
      <w:r w:rsidR="004611B6">
        <w:rPr>
          <w:rFonts w:ascii="Georgia" w:hAnsi="Georgia" w:cs="Times New Roman"/>
          <w:sz w:val="24"/>
          <w:szCs w:val="24"/>
        </w:rPr>
        <w:t xml:space="preserve"> for years</w:t>
      </w:r>
      <w:r w:rsidR="00F31E3F" w:rsidRPr="00F31E3F">
        <w:rPr>
          <w:rFonts w:ascii="Georgia" w:hAnsi="Georgia" w:cs="Times New Roman"/>
          <w:sz w:val="24"/>
          <w:szCs w:val="24"/>
        </w:rPr>
        <w:t xml:space="preserve">. The existence of a formal, </w:t>
      </w:r>
      <w:r w:rsidR="00E72BF9" w:rsidRPr="00F31E3F">
        <w:rPr>
          <w:rFonts w:ascii="Georgia" w:hAnsi="Georgia" w:cs="Times New Roman"/>
          <w:sz w:val="24"/>
          <w:szCs w:val="24"/>
        </w:rPr>
        <w:t>previously</w:t>
      </w:r>
      <w:r w:rsidR="00F31E3F" w:rsidRPr="00F31E3F">
        <w:rPr>
          <w:rFonts w:ascii="Georgia" w:hAnsi="Georgia" w:cs="Times New Roman"/>
          <w:sz w:val="24"/>
          <w:szCs w:val="24"/>
        </w:rPr>
        <w:t xml:space="preserve">-non-public agreement between PJM and its transmission owners constitutes a serious violation of PJM's requirement to be independent from the financial interests of its transmission owners, </w:t>
      </w:r>
      <w:r w:rsidR="009A2E84">
        <w:rPr>
          <w:rFonts w:ascii="Georgia" w:hAnsi="Georgia" w:cs="Times New Roman"/>
          <w:sz w:val="24"/>
          <w:szCs w:val="24"/>
        </w:rPr>
        <w:t xml:space="preserve">clearly violates PJM’s tariff, and because the June 30 application is related to this </w:t>
      </w:r>
      <w:r w:rsidR="00F31E3F" w:rsidRPr="00F31E3F">
        <w:rPr>
          <w:rFonts w:ascii="Georgia" w:hAnsi="Georgia" w:cs="Times New Roman"/>
          <w:sz w:val="24"/>
          <w:szCs w:val="24"/>
        </w:rPr>
        <w:t>collusive, anti-</w:t>
      </w:r>
      <w:r w:rsidR="00E72BF9" w:rsidRPr="00F31E3F">
        <w:rPr>
          <w:rFonts w:ascii="Georgia" w:hAnsi="Georgia" w:cs="Times New Roman"/>
          <w:sz w:val="24"/>
          <w:szCs w:val="24"/>
        </w:rPr>
        <w:t>competitive</w:t>
      </w:r>
      <w:r w:rsidR="00F31E3F" w:rsidRPr="00F31E3F">
        <w:rPr>
          <w:rFonts w:ascii="Georgia" w:hAnsi="Georgia" w:cs="Times New Roman"/>
          <w:sz w:val="24"/>
          <w:szCs w:val="24"/>
        </w:rPr>
        <w:t xml:space="preserve"> pact</w:t>
      </w:r>
      <w:r w:rsidR="009A2E84">
        <w:rPr>
          <w:rFonts w:ascii="Georgia" w:hAnsi="Georgia" w:cs="Times New Roman"/>
          <w:sz w:val="24"/>
          <w:szCs w:val="24"/>
        </w:rPr>
        <w:t>, it must be rejected</w:t>
      </w:r>
      <w:r w:rsidR="00F31E3F" w:rsidRPr="00F31E3F">
        <w:rPr>
          <w:rFonts w:ascii="Georgia" w:hAnsi="Georgia" w:cs="Times New Roman"/>
          <w:sz w:val="24"/>
          <w:szCs w:val="24"/>
        </w:rPr>
        <w:t>.</w:t>
      </w:r>
    </w:p>
    <w:p w14:paraId="1D822FAE" w14:textId="77777777" w:rsidR="000B60DA" w:rsidRDefault="000B60DA" w:rsidP="00B06B8A">
      <w:pPr>
        <w:spacing w:line="360" w:lineRule="auto"/>
        <w:ind w:firstLine="720"/>
        <w:rPr>
          <w:rFonts w:ascii="Georgia" w:hAnsi="Georgia" w:cs="Times New Roman"/>
          <w:sz w:val="24"/>
          <w:szCs w:val="24"/>
        </w:rPr>
      </w:pPr>
    </w:p>
    <w:p w14:paraId="6822205F" w14:textId="4F2FE9AF" w:rsidR="00B34296" w:rsidRDefault="00B34296" w:rsidP="00B06B8A">
      <w:pPr>
        <w:spacing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 xml:space="preserve">Finally, </w:t>
      </w:r>
      <w:r w:rsidR="00DC303A">
        <w:rPr>
          <w:rFonts w:ascii="Georgia" w:hAnsi="Georgia" w:cs="Times New Roman"/>
          <w:sz w:val="24"/>
          <w:szCs w:val="24"/>
        </w:rPr>
        <w:t xml:space="preserve">we request that the Commission disallow any and all expenses related to the preparation and submission of the June 30 application from </w:t>
      </w:r>
      <w:r w:rsidR="006F4A85">
        <w:rPr>
          <w:rFonts w:ascii="Georgia" w:hAnsi="Georgia" w:cs="Times New Roman"/>
          <w:sz w:val="24"/>
          <w:szCs w:val="24"/>
        </w:rPr>
        <w:t xml:space="preserve">being included in the transmission owners’ cost recovery. This application is </w:t>
      </w:r>
      <w:r w:rsidR="00E72BF9">
        <w:rPr>
          <w:rFonts w:ascii="Georgia" w:hAnsi="Georgia" w:cs="Times New Roman"/>
          <w:sz w:val="24"/>
          <w:szCs w:val="24"/>
        </w:rPr>
        <w:t>frivolous</w:t>
      </w:r>
      <w:r w:rsidR="006F4A85">
        <w:rPr>
          <w:rFonts w:ascii="Georgia" w:hAnsi="Georgia" w:cs="Times New Roman"/>
          <w:sz w:val="24"/>
          <w:szCs w:val="24"/>
        </w:rPr>
        <w:t xml:space="preserve"> and meritless, and ratepayers should not be financially responsible to pay for the </w:t>
      </w:r>
      <w:r w:rsidR="00B06B8A">
        <w:rPr>
          <w:rFonts w:ascii="Georgia" w:hAnsi="Georgia" w:cs="Times New Roman"/>
          <w:sz w:val="24"/>
          <w:szCs w:val="24"/>
        </w:rPr>
        <w:t>significant costs associated with the June 30 application.</w:t>
      </w:r>
    </w:p>
    <w:p w14:paraId="162B7CD7" w14:textId="77777777" w:rsidR="000B60DA" w:rsidRDefault="000B60DA" w:rsidP="00B06B8A">
      <w:pPr>
        <w:spacing w:line="360" w:lineRule="auto"/>
        <w:rPr>
          <w:rFonts w:ascii="Georgia" w:hAnsi="Georgia" w:cs="Times New Roman"/>
          <w:sz w:val="24"/>
          <w:szCs w:val="24"/>
        </w:rPr>
      </w:pPr>
    </w:p>
    <w:p w14:paraId="312127C4" w14:textId="5FFF62EB" w:rsidR="00B06B8A" w:rsidRDefault="00B06B8A" w:rsidP="00B34296">
      <w:pPr>
        <w:rPr>
          <w:rFonts w:ascii="Georgia" w:hAnsi="Georgia" w:cs="Times New Roman"/>
          <w:sz w:val="24"/>
          <w:szCs w:val="24"/>
        </w:rPr>
      </w:pPr>
    </w:p>
    <w:p w14:paraId="6382AD9B" w14:textId="5C4CED11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Respectfully submitted,</w:t>
      </w:r>
    </w:p>
    <w:p w14:paraId="4C6CF618" w14:textId="0B29DE46" w:rsidR="00B06B8A" w:rsidRDefault="00B06B8A" w:rsidP="00B34296">
      <w:pPr>
        <w:rPr>
          <w:rFonts w:ascii="Georgia" w:hAnsi="Georgia" w:cs="Times New Roman"/>
          <w:sz w:val="24"/>
          <w:szCs w:val="24"/>
        </w:rPr>
      </w:pPr>
    </w:p>
    <w:p w14:paraId="6040D7F4" w14:textId="0E2F9CB1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Tyson Slocum, Energy Program Director</w:t>
      </w:r>
    </w:p>
    <w:p w14:paraId="7090D232" w14:textId="539ADAE9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Public Citizen, Inc.</w:t>
      </w:r>
    </w:p>
    <w:p w14:paraId="51AC221E" w14:textId="76CD07B7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215 Pennsylvania Ave SE</w:t>
      </w:r>
    </w:p>
    <w:p w14:paraId="74CF8A8E" w14:textId="32ADE6FA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Washington, DC  20003</w:t>
      </w:r>
    </w:p>
    <w:p w14:paraId="7AFCAB81" w14:textId="5482C316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(202) 454-5191</w:t>
      </w:r>
    </w:p>
    <w:p w14:paraId="51FF9FC9" w14:textId="3782FAA9" w:rsidR="00B06B8A" w:rsidRDefault="00B06B8A" w:rsidP="00B3429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D154A1"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tslocum@citizen.org</w:t>
      </w:r>
    </w:p>
    <w:p w14:paraId="5884F7CE" w14:textId="77777777" w:rsidR="00704761" w:rsidRDefault="00704761" w:rsidP="005F56DF">
      <w:pPr>
        <w:ind w:firstLine="720"/>
        <w:rPr>
          <w:rFonts w:ascii="Georgia" w:hAnsi="Georgia" w:cs="Times New Roman"/>
          <w:sz w:val="24"/>
          <w:szCs w:val="24"/>
        </w:rPr>
      </w:pPr>
    </w:p>
    <w:p w14:paraId="227347F4" w14:textId="3B9C2AEA" w:rsidR="00A876AF" w:rsidRDefault="00A876AF">
      <w:pPr>
        <w:rPr>
          <w:rFonts w:ascii="Georgia" w:hAnsi="Georgia" w:cs="Times New Roman"/>
          <w:sz w:val="24"/>
          <w:szCs w:val="24"/>
        </w:rPr>
      </w:pPr>
    </w:p>
    <w:p w14:paraId="71273396" w14:textId="01661247" w:rsidR="00A876AF" w:rsidRPr="005E2423" w:rsidRDefault="009C02BB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</w:p>
    <w:p w14:paraId="39FA3640" w14:textId="77777777" w:rsidR="005E2423" w:rsidRPr="005E2423" w:rsidRDefault="005E2423">
      <w:pPr>
        <w:rPr>
          <w:rFonts w:ascii="Georgia" w:hAnsi="Georgia"/>
          <w:sz w:val="24"/>
          <w:szCs w:val="24"/>
        </w:rPr>
      </w:pPr>
    </w:p>
    <w:sectPr w:rsidR="005E2423" w:rsidRPr="005E2423" w:rsidSect="00EC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2FFA" w14:textId="77777777" w:rsidR="00E96882" w:rsidRDefault="00E96882" w:rsidP="005E2423">
      <w:r>
        <w:separator/>
      </w:r>
    </w:p>
  </w:endnote>
  <w:endnote w:type="continuationSeparator" w:id="0">
    <w:p w14:paraId="2D5D3C16" w14:textId="77777777" w:rsidR="00E96882" w:rsidRDefault="00E96882" w:rsidP="005E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720F" w14:textId="77777777" w:rsidR="00EC7B90" w:rsidRDefault="00EC7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757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175C58" w14:textId="3DAAC9D9" w:rsidR="00EC7B90" w:rsidRDefault="00EC7B9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F15E63" w14:textId="77777777" w:rsidR="00EC7B90" w:rsidRDefault="00EC7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0674" w14:textId="77777777" w:rsidR="00EC7B90" w:rsidRDefault="00EC7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CB3D" w14:textId="77777777" w:rsidR="00E96882" w:rsidRDefault="00E96882" w:rsidP="005E2423">
      <w:r>
        <w:separator/>
      </w:r>
    </w:p>
  </w:footnote>
  <w:footnote w:type="continuationSeparator" w:id="0">
    <w:p w14:paraId="6B443E7E" w14:textId="77777777" w:rsidR="00E96882" w:rsidRDefault="00E96882" w:rsidP="005E2423">
      <w:r>
        <w:continuationSeparator/>
      </w:r>
    </w:p>
  </w:footnote>
  <w:footnote w:id="1">
    <w:p w14:paraId="5188E5F3" w14:textId="3ED88412" w:rsidR="005E2423" w:rsidRDefault="005E24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2423">
        <w:rPr>
          <w:rFonts w:ascii="Georgia" w:hAnsi="Georgia"/>
        </w:rPr>
        <w:t>Application, at page 2.</w:t>
      </w:r>
    </w:p>
  </w:footnote>
  <w:footnote w:id="2">
    <w:p w14:paraId="7FEFE967" w14:textId="11D9CEB0" w:rsidR="009F673F" w:rsidRDefault="009F67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46E0" w:rsidRPr="003046E0">
        <w:rPr>
          <w:rFonts w:ascii="Georgia" w:hAnsi="Georgia"/>
        </w:rPr>
        <w:t>Application, at pages 4-5.</w:t>
      </w:r>
    </w:p>
  </w:footnote>
  <w:footnote w:id="3">
    <w:p w14:paraId="4EFE78D1" w14:textId="31F433B0" w:rsidR="00F828F9" w:rsidRDefault="00F828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2EB9">
        <w:rPr>
          <w:rFonts w:ascii="Georgia" w:hAnsi="Georgia"/>
        </w:rPr>
        <w:t>Application, at page 2.</w:t>
      </w:r>
    </w:p>
  </w:footnote>
  <w:footnote w:id="4">
    <w:p w14:paraId="43537E41" w14:textId="0C6D11B9" w:rsidR="008158DE" w:rsidRDefault="008158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6C3">
        <w:rPr>
          <w:rFonts w:ascii="Georgia" w:hAnsi="Georgia"/>
        </w:rPr>
        <w:t xml:space="preserve">In addition to the entire </w:t>
      </w:r>
      <w:r w:rsidR="00CE56C3" w:rsidRPr="00CE56C3">
        <w:rPr>
          <w:rFonts w:ascii="Georgia" w:hAnsi="Georgia"/>
        </w:rPr>
        <w:t>premise</w:t>
      </w:r>
      <w:r w:rsidRPr="00CE56C3">
        <w:rPr>
          <w:rFonts w:ascii="Georgia" w:hAnsi="Georgia"/>
        </w:rPr>
        <w:t xml:space="preserve"> of allowing this massive rate of return on assets they didn’t even build, regulated rates of return for U.S. utility assets are far higher than</w:t>
      </w:r>
      <w:r w:rsidR="00CE56C3" w:rsidRPr="00CE56C3">
        <w:rPr>
          <w:rFonts w:ascii="Georgia" w:hAnsi="Georgia"/>
        </w:rPr>
        <w:t xml:space="preserve"> our counterparts in other countries. See </w:t>
      </w:r>
      <w:r w:rsidR="00CE56C3" w:rsidRPr="00CE56C3">
        <w:rPr>
          <w:rFonts w:ascii="Georgia" w:hAnsi="Georgia"/>
          <w:i/>
          <w:iCs/>
        </w:rPr>
        <w:t>A Review of International Approaches to Regulated Rates of Return</w:t>
      </w:r>
      <w:r w:rsidR="00CE56C3" w:rsidRPr="00CE56C3">
        <w:rPr>
          <w:rFonts w:ascii="Georgia" w:hAnsi="Georgia"/>
        </w:rPr>
        <w:t>, The Brattle Group, June 2020, www.aer.gov.au/system/files/Report%20to%20the%20AER%20-%20A%20Review%20of%20International%20Approaches%20to%20Regulated%20Rates%20of%20Return%20-%2030%20June%202020.pdf</w:t>
      </w:r>
    </w:p>
  </w:footnote>
  <w:footnote w:id="5">
    <w:p w14:paraId="0EB3E478" w14:textId="531166D6" w:rsidR="007B76F8" w:rsidRDefault="007B76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76F8">
        <w:rPr>
          <w:rFonts w:ascii="Georgia" w:hAnsi="Georgia"/>
        </w:rPr>
        <w:t>See February</w:t>
      </w:r>
      <w:r w:rsidRPr="007B76F8">
        <w:rPr>
          <w:rFonts w:ascii="Georgia" w:hAnsi="Georgia"/>
        </w:rPr>
        <w:t xml:space="preserve"> 18, 2021 </w:t>
      </w:r>
      <w:r w:rsidRPr="007B76F8">
        <w:rPr>
          <w:rFonts w:ascii="Georgia" w:hAnsi="Georgia"/>
        </w:rPr>
        <w:t>O</w:t>
      </w:r>
      <w:r w:rsidRPr="007B76F8">
        <w:rPr>
          <w:rFonts w:ascii="Georgia" w:hAnsi="Georgia"/>
        </w:rPr>
        <w:t>rder in FERC Docket No. ER20-1068, and the April 26, 2021 Order in FERC Docket No. ER18-1639</w:t>
      </w:r>
      <w:r w:rsidRPr="007B76F8">
        <w:rPr>
          <w:rFonts w:ascii="Georgia" w:hAnsi="Georgia"/>
        </w:rPr>
        <w:t>.</w:t>
      </w:r>
    </w:p>
  </w:footnote>
  <w:footnote w:id="6">
    <w:p w14:paraId="180D5342" w14:textId="49C52E48" w:rsidR="00EC71F2" w:rsidRDefault="00EC71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71F2">
        <w:rPr>
          <w:rFonts w:ascii="Georgia" w:hAnsi="Georgia"/>
        </w:rPr>
        <w:t>Application, at page 1.</w:t>
      </w:r>
    </w:p>
  </w:footnote>
  <w:footnote w:id="7">
    <w:p w14:paraId="4AB310FD" w14:textId="389FF135" w:rsidR="004576B0" w:rsidRDefault="004576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76B0">
        <w:rPr>
          <w:rFonts w:ascii="Georgia" w:hAnsi="Georgia"/>
        </w:rPr>
        <w:t>https://pjm.com/-/media/about-pjm/who-we-are/public-disclosures/20210225-board-response-to-caps-letter-re-common-interest-agreements.ashx</w:t>
      </w:r>
    </w:p>
  </w:footnote>
  <w:footnote w:id="8">
    <w:p w14:paraId="62963959" w14:textId="30643509" w:rsidR="004A10C4" w:rsidRDefault="004A10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10C4">
        <w:rPr>
          <w:rFonts w:ascii="Georgia" w:hAnsi="Georgia"/>
        </w:rPr>
        <w:t>https://pjm.com/-/media/committees-groups/committees/toa-ac/postings/20170124-confidentiality-and-common-interest-agreement.ashx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2260" w14:textId="77777777" w:rsidR="00EC7B90" w:rsidRDefault="00EC7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9CBE" w14:textId="3908048A" w:rsidR="003041AB" w:rsidRPr="003041AB" w:rsidRDefault="003041AB" w:rsidP="003041AB">
    <w:pPr>
      <w:pStyle w:val="Header"/>
      <w:jc w:val="center"/>
      <w:rPr>
        <w:rFonts w:ascii="Georgia" w:hAnsi="Georgia"/>
        <w:i/>
        <w:iCs/>
      </w:rPr>
    </w:pPr>
    <w:r w:rsidRPr="003041AB">
      <w:rPr>
        <w:rFonts w:ascii="Georgia" w:hAnsi="Georgia"/>
        <w:i/>
        <w:iCs/>
      </w:rPr>
      <w:t>Public Citizen Protest • July 28, 2021 • Docket No. ER21-2282</w:t>
    </w:r>
  </w:p>
  <w:p w14:paraId="4B7D46F5" w14:textId="77777777" w:rsidR="00EC7B90" w:rsidRDefault="00EC7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6E06" w14:textId="77777777" w:rsidR="00EC7B90" w:rsidRDefault="00EC7B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23"/>
    <w:rsid w:val="0000186E"/>
    <w:rsid w:val="00073241"/>
    <w:rsid w:val="00083E7F"/>
    <w:rsid w:val="000B60DA"/>
    <w:rsid w:val="000E15EC"/>
    <w:rsid w:val="00103534"/>
    <w:rsid w:val="00124B25"/>
    <w:rsid w:val="00140D76"/>
    <w:rsid w:val="001A779C"/>
    <w:rsid w:val="001B21B9"/>
    <w:rsid w:val="001C01DE"/>
    <w:rsid w:val="001D4C2C"/>
    <w:rsid w:val="001E0E89"/>
    <w:rsid w:val="001E1399"/>
    <w:rsid w:val="001E68F3"/>
    <w:rsid w:val="00271CD6"/>
    <w:rsid w:val="002B6421"/>
    <w:rsid w:val="002F66FA"/>
    <w:rsid w:val="002F6861"/>
    <w:rsid w:val="003041AB"/>
    <w:rsid w:val="003046E0"/>
    <w:rsid w:val="0030799E"/>
    <w:rsid w:val="00381963"/>
    <w:rsid w:val="003921C4"/>
    <w:rsid w:val="003C01D4"/>
    <w:rsid w:val="00426F56"/>
    <w:rsid w:val="004576B0"/>
    <w:rsid w:val="004611B6"/>
    <w:rsid w:val="0048474A"/>
    <w:rsid w:val="004A0350"/>
    <w:rsid w:val="004A10C4"/>
    <w:rsid w:val="004D0215"/>
    <w:rsid w:val="0050533B"/>
    <w:rsid w:val="00550052"/>
    <w:rsid w:val="00565C61"/>
    <w:rsid w:val="005A0D04"/>
    <w:rsid w:val="005B7D26"/>
    <w:rsid w:val="005E2423"/>
    <w:rsid w:val="005F56DF"/>
    <w:rsid w:val="00603708"/>
    <w:rsid w:val="00620E39"/>
    <w:rsid w:val="00633B73"/>
    <w:rsid w:val="0064389B"/>
    <w:rsid w:val="00643BC7"/>
    <w:rsid w:val="00662EDA"/>
    <w:rsid w:val="00665C12"/>
    <w:rsid w:val="0067607C"/>
    <w:rsid w:val="00696867"/>
    <w:rsid w:val="006F4A85"/>
    <w:rsid w:val="00704761"/>
    <w:rsid w:val="00773FA8"/>
    <w:rsid w:val="007B76F8"/>
    <w:rsid w:val="007C6BDA"/>
    <w:rsid w:val="007C7FE4"/>
    <w:rsid w:val="008158DE"/>
    <w:rsid w:val="00850CC7"/>
    <w:rsid w:val="008706EA"/>
    <w:rsid w:val="0089317F"/>
    <w:rsid w:val="00897902"/>
    <w:rsid w:val="008A4F62"/>
    <w:rsid w:val="008A7ED7"/>
    <w:rsid w:val="008B4798"/>
    <w:rsid w:val="008F770F"/>
    <w:rsid w:val="009315D5"/>
    <w:rsid w:val="009512D8"/>
    <w:rsid w:val="009734AC"/>
    <w:rsid w:val="009A2E84"/>
    <w:rsid w:val="009B4867"/>
    <w:rsid w:val="009C02BB"/>
    <w:rsid w:val="009F673F"/>
    <w:rsid w:val="00A425A4"/>
    <w:rsid w:val="00A4549E"/>
    <w:rsid w:val="00A87380"/>
    <w:rsid w:val="00A876AF"/>
    <w:rsid w:val="00AE42CF"/>
    <w:rsid w:val="00B06B8A"/>
    <w:rsid w:val="00B34296"/>
    <w:rsid w:val="00B45065"/>
    <w:rsid w:val="00B55B5C"/>
    <w:rsid w:val="00B81334"/>
    <w:rsid w:val="00BC0DD5"/>
    <w:rsid w:val="00C143D0"/>
    <w:rsid w:val="00C21539"/>
    <w:rsid w:val="00C60D15"/>
    <w:rsid w:val="00C636FC"/>
    <w:rsid w:val="00C711AB"/>
    <w:rsid w:val="00C81A49"/>
    <w:rsid w:val="00C86A40"/>
    <w:rsid w:val="00C912B7"/>
    <w:rsid w:val="00C92EB9"/>
    <w:rsid w:val="00CE56C3"/>
    <w:rsid w:val="00CF6FB7"/>
    <w:rsid w:val="00D13C11"/>
    <w:rsid w:val="00D154A1"/>
    <w:rsid w:val="00DB300D"/>
    <w:rsid w:val="00DC303A"/>
    <w:rsid w:val="00DD4D6E"/>
    <w:rsid w:val="00E25606"/>
    <w:rsid w:val="00E53975"/>
    <w:rsid w:val="00E53E58"/>
    <w:rsid w:val="00E72BF9"/>
    <w:rsid w:val="00E91FC4"/>
    <w:rsid w:val="00E96882"/>
    <w:rsid w:val="00EC71F2"/>
    <w:rsid w:val="00EC7B90"/>
    <w:rsid w:val="00ED7BD3"/>
    <w:rsid w:val="00EF363E"/>
    <w:rsid w:val="00F220DB"/>
    <w:rsid w:val="00F31E3F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0315"/>
  <w15:chartTrackingRefBased/>
  <w15:docId w15:val="{92733C46-E3FA-4D93-A6E9-CA85E1F1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1E68F3"/>
    <w:pPr>
      <w:keepLines/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8F3"/>
  </w:style>
  <w:style w:type="character" w:styleId="FootnoteReference">
    <w:name w:val="footnote reference"/>
    <w:basedOn w:val="DefaultParagraphFont"/>
    <w:uiPriority w:val="99"/>
    <w:semiHidden/>
    <w:unhideWhenUsed/>
    <w:rsid w:val="005E24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7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0"/>
  </w:style>
  <w:style w:type="paragraph" w:styleId="Footer">
    <w:name w:val="footer"/>
    <w:basedOn w:val="Normal"/>
    <w:link w:val="FooterChar"/>
    <w:uiPriority w:val="99"/>
    <w:unhideWhenUsed/>
    <w:rsid w:val="00EC7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B99B-D49B-4098-AED9-26AD33F4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101</cp:revision>
  <dcterms:created xsi:type="dcterms:W3CDTF">2021-07-26T14:54:00Z</dcterms:created>
  <dcterms:modified xsi:type="dcterms:W3CDTF">2021-07-28T14:42:00Z</dcterms:modified>
</cp:coreProperties>
</file>