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BEE6" w14:textId="277328C7" w:rsidR="005A31FA" w:rsidRPr="002E5227" w:rsidRDefault="00FB1152" w:rsidP="00173807">
      <w:pPr>
        <w:jc w:val="center"/>
        <w:rPr>
          <w:rFonts w:ascii="Georgia" w:hAnsi="Georgia"/>
          <w:sz w:val="24"/>
          <w:szCs w:val="24"/>
        </w:rPr>
      </w:pPr>
      <w:r w:rsidRPr="002E5227">
        <w:rPr>
          <w:rFonts w:ascii="Georgia" w:hAnsi="Georgia"/>
          <w:sz w:val="24"/>
          <w:szCs w:val="24"/>
        </w:rPr>
        <w:t>UNITED STATES OF AMERICA</w:t>
      </w:r>
    </w:p>
    <w:p w14:paraId="07F032A3" w14:textId="0BA53E87" w:rsidR="00FB1152" w:rsidRPr="002E5227" w:rsidRDefault="00FB1152" w:rsidP="00173807">
      <w:pPr>
        <w:jc w:val="center"/>
        <w:rPr>
          <w:rFonts w:ascii="Georgia" w:hAnsi="Georgia"/>
          <w:sz w:val="24"/>
          <w:szCs w:val="24"/>
        </w:rPr>
      </w:pPr>
      <w:r w:rsidRPr="002E5227">
        <w:rPr>
          <w:rFonts w:ascii="Georgia" w:hAnsi="Georgia"/>
          <w:sz w:val="24"/>
          <w:szCs w:val="24"/>
        </w:rPr>
        <w:t>BEFORE THE</w:t>
      </w:r>
    </w:p>
    <w:p w14:paraId="5D5C6754" w14:textId="5BEA2FEB" w:rsidR="00FB1152" w:rsidRPr="002E5227" w:rsidRDefault="00FB1152" w:rsidP="00173807">
      <w:pPr>
        <w:jc w:val="center"/>
        <w:rPr>
          <w:rFonts w:ascii="Georgia" w:hAnsi="Georgia"/>
          <w:sz w:val="24"/>
          <w:szCs w:val="24"/>
        </w:rPr>
      </w:pPr>
      <w:r w:rsidRPr="002E5227">
        <w:rPr>
          <w:rFonts w:ascii="Georgia" w:hAnsi="Georgia"/>
          <w:sz w:val="24"/>
          <w:szCs w:val="24"/>
        </w:rPr>
        <w:t>FEDERAL ENERGY REGULAOTRY COMMISSION</w:t>
      </w:r>
    </w:p>
    <w:p w14:paraId="423D37C4" w14:textId="41913B89" w:rsidR="00FB1152" w:rsidRPr="002E5227" w:rsidRDefault="00FB1152">
      <w:pPr>
        <w:rPr>
          <w:rFonts w:ascii="Georgia" w:hAnsi="Georgia"/>
          <w:sz w:val="24"/>
          <w:szCs w:val="24"/>
        </w:rPr>
      </w:pPr>
    </w:p>
    <w:p w14:paraId="4BC434FA" w14:textId="72E88B7A" w:rsidR="004B5AC4" w:rsidRPr="002E5227" w:rsidRDefault="00FB1152">
      <w:pPr>
        <w:rPr>
          <w:rFonts w:ascii="Georgia" w:hAnsi="Georgia"/>
          <w:sz w:val="24"/>
          <w:szCs w:val="24"/>
        </w:rPr>
      </w:pPr>
      <w:r w:rsidRPr="002E5227">
        <w:rPr>
          <w:rFonts w:ascii="Georgia" w:hAnsi="Georgia"/>
          <w:sz w:val="24"/>
          <w:szCs w:val="24"/>
        </w:rPr>
        <w:t>Electric Transmission Incentives Policy Under Section</w:t>
      </w:r>
      <w:r w:rsidR="002E5227" w:rsidRPr="002E5227">
        <w:rPr>
          <w:rFonts w:ascii="Georgia" w:hAnsi="Georgia"/>
          <w:sz w:val="24"/>
          <w:szCs w:val="24"/>
        </w:rPr>
        <w:tab/>
      </w:r>
      <w:r w:rsidR="002E5227" w:rsidRPr="002E5227">
        <w:rPr>
          <w:rFonts w:ascii="Georgia" w:hAnsi="Georgia"/>
          <w:sz w:val="24"/>
          <w:szCs w:val="24"/>
        </w:rPr>
        <w:tab/>
        <w:t>Docket No. RM20-10</w:t>
      </w:r>
      <w:r w:rsidRPr="002E5227">
        <w:rPr>
          <w:rFonts w:ascii="Georgia" w:hAnsi="Georgia"/>
          <w:sz w:val="24"/>
          <w:szCs w:val="24"/>
        </w:rPr>
        <w:t xml:space="preserve"> </w:t>
      </w:r>
    </w:p>
    <w:p w14:paraId="7BA5CEBB" w14:textId="659D92E8" w:rsidR="00FB1152" w:rsidRPr="002E5227" w:rsidRDefault="00FB1152">
      <w:pPr>
        <w:rPr>
          <w:rFonts w:ascii="Georgia" w:hAnsi="Georgia"/>
          <w:sz w:val="24"/>
          <w:szCs w:val="24"/>
        </w:rPr>
      </w:pPr>
      <w:r w:rsidRPr="002E5227">
        <w:rPr>
          <w:rFonts w:ascii="Georgia" w:hAnsi="Georgia"/>
          <w:sz w:val="24"/>
          <w:szCs w:val="24"/>
        </w:rPr>
        <w:t>219 of the Federal Power Act</w:t>
      </w:r>
      <w:r w:rsidRPr="002E5227">
        <w:rPr>
          <w:rFonts w:ascii="Georgia" w:hAnsi="Georgia"/>
          <w:sz w:val="24"/>
          <w:szCs w:val="24"/>
        </w:rPr>
        <w:tab/>
        <w:t xml:space="preserve"> </w:t>
      </w:r>
    </w:p>
    <w:p w14:paraId="52186D4C" w14:textId="57348118" w:rsidR="005A31FA" w:rsidRDefault="005A31FA">
      <w:pPr>
        <w:rPr>
          <w:rFonts w:ascii="Georgia" w:hAnsi="Georgia"/>
          <w:sz w:val="24"/>
          <w:szCs w:val="24"/>
        </w:rPr>
      </w:pPr>
    </w:p>
    <w:p w14:paraId="14495328" w14:textId="77777777" w:rsidR="00E93AD7" w:rsidRPr="002E5227" w:rsidRDefault="00E93AD7">
      <w:pPr>
        <w:rPr>
          <w:rFonts w:ascii="Georgia" w:hAnsi="Georgia"/>
          <w:sz w:val="24"/>
          <w:szCs w:val="24"/>
        </w:rPr>
      </w:pPr>
    </w:p>
    <w:p w14:paraId="0B9F6EA5" w14:textId="27F89772" w:rsidR="000F71DC" w:rsidRPr="000B5B42" w:rsidRDefault="00173807" w:rsidP="00173807">
      <w:pPr>
        <w:jc w:val="center"/>
        <w:rPr>
          <w:rFonts w:ascii="Georgia" w:hAnsi="Georgia"/>
          <w:b/>
          <w:bCs/>
          <w:sz w:val="24"/>
          <w:szCs w:val="24"/>
        </w:rPr>
      </w:pPr>
      <w:r w:rsidRPr="000B5B42">
        <w:rPr>
          <w:rFonts w:ascii="Georgia" w:hAnsi="Georgia"/>
          <w:b/>
          <w:bCs/>
          <w:sz w:val="24"/>
          <w:szCs w:val="24"/>
        </w:rPr>
        <w:t>Comments of Public Citizen, Inc.</w:t>
      </w:r>
    </w:p>
    <w:p w14:paraId="06D6BCB2" w14:textId="7711A8B1" w:rsidR="001D0258" w:rsidRDefault="001D0258" w:rsidP="00173807">
      <w:pPr>
        <w:jc w:val="center"/>
        <w:rPr>
          <w:rFonts w:ascii="Georgia" w:hAnsi="Georgia"/>
          <w:sz w:val="24"/>
          <w:szCs w:val="24"/>
        </w:rPr>
      </w:pPr>
    </w:p>
    <w:p w14:paraId="6808992A" w14:textId="37C3669E" w:rsidR="002B2CFF" w:rsidRDefault="00BE37AD" w:rsidP="00D25ED4">
      <w:pPr>
        <w:spacing w:line="360" w:lineRule="auto"/>
        <w:rPr>
          <w:rFonts w:ascii="Georgia" w:hAnsi="Georgia"/>
          <w:sz w:val="24"/>
          <w:szCs w:val="24"/>
        </w:rPr>
      </w:pPr>
      <w:r>
        <w:rPr>
          <w:rFonts w:ascii="Georgia" w:hAnsi="Georgia"/>
          <w:sz w:val="24"/>
          <w:szCs w:val="24"/>
        </w:rPr>
        <w:tab/>
        <w:t xml:space="preserve">We strongly support </w:t>
      </w:r>
      <w:r w:rsidR="00373F25">
        <w:rPr>
          <w:rFonts w:ascii="Georgia" w:hAnsi="Georgia"/>
          <w:sz w:val="24"/>
          <w:szCs w:val="24"/>
        </w:rPr>
        <w:t xml:space="preserve">efforts by the Commission to shield consumers from </w:t>
      </w:r>
      <w:r w:rsidR="000E7BB1">
        <w:rPr>
          <w:rFonts w:ascii="Georgia" w:hAnsi="Georgia"/>
          <w:sz w:val="24"/>
          <w:szCs w:val="24"/>
        </w:rPr>
        <w:t>extravagant Return on Equity (ROE) adders</w:t>
      </w:r>
      <w:r w:rsidR="009E1EEE">
        <w:rPr>
          <w:rFonts w:ascii="Georgia" w:hAnsi="Georgia"/>
          <w:sz w:val="24"/>
          <w:szCs w:val="24"/>
        </w:rPr>
        <w:t>, as they</w:t>
      </w:r>
      <w:r w:rsidR="000E7BB1">
        <w:rPr>
          <w:rFonts w:ascii="Georgia" w:hAnsi="Georgia"/>
          <w:sz w:val="24"/>
          <w:szCs w:val="24"/>
        </w:rPr>
        <w:t xml:space="preserve"> fail to achieve productive policy</w:t>
      </w:r>
      <w:r w:rsidR="000E6A3A" w:rsidRPr="000E6A3A">
        <w:rPr>
          <w:rFonts w:ascii="Georgia" w:hAnsi="Georgia"/>
          <w:sz w:val="24"/>
          <w:szCs w:val="24"/>
        </w:rPr>
        <w:t xml:space="preserve"> </w:t>
      </w:r>
      <w:r w:rsidR="000E6A3A">
        <w:rPr>
          <w:rFonts w:ascii="Georgia" w:hAnsi="Georgia"/>
          <w:sz w:val="24"/>
          <w:szCs w:val="24"/>
        </w:rPr>
        <w:t>aspirations</w:t>
      </w:r>
      <w:r w:rsidR="00815BDC">
        <w:rPr>
          <w:rFonts w:ascii="Georgia" w:hAnsi="Georgia"/>
          <w:sz w:val="24"/>
          <w:szCs w:val="24"/>
        </w:rPr>
        <w:t xml:space="preserve">. </w:t>
      </w:r>
      <w:r w:rsidR="00F22BD3">
        <w:rPr>
          <w:rFonts w:ascii="Georgia" w:hAnsi="Georgia"/>
          <w:sz w:val="24"/>
          <w:szCs w:val="24"/>
        </w:rPr>
        <w:t xml:space="preserve">We agree with the proposed rulemaking when it asserts that the Commission </w:t>
      </w:r>
      <w:r w:rsidR="00F22BD3" w:rsidRPr="008441BC">
        <w:rPr>
          <w:rFonts w:ascii="Georgia" w:hAnsi="Georgia"/>
          <w:sz w:val="24"/>
          <w:szCs w:val="24"/>
        </w:rPr>
        <w:t>believe</w:t>
      </w:r>
      <w:r w:rsidR="00F22BD3">
        <w:rPr>
          <w:rFonts w:ascii="Georgia" w:hAnsi="Georgia"/>
          <w:sz w:val="24"/>
          <w:szCs w:val="24"/>
        </w:rPr>
        <w:t>s</w:t>
      </w:r>
      <w:r w:rsidR="00F22BD3" w:rsidRPr="008441BC">
        <w:rPr>
          <w:rFonts w:ascii="Georgia" w:hAnsi="Georgia"/>
          <w:sz w:val="24"/>
          <w:szCs w:val="24"/>
        </w:rPr>
        <w:t xml:space="preserve"> </w:t>
      </w:r>
      <w:r w:rsidR="00F22BD3">
        <w:rPr>
          <w:rFonts w:ascii="Georgia" w:hAnsi="Georgia"/>
          <w:sz w:val="24"/>
          <w:szCs w:val="24"/>
        </w:rPr>
        <w:t>“</w:t>
      </w:r>
      <w:r w:rsidR="00F22BD3" w:rsidRPr="008441BC">
        <w:rPr>
          <w:rFonts w:ascii="Georgia" w:hAnsi="Georgia"/>
          <w:sz w:val="24"/>
          <w:szCs w:val="24"/>
        </w:rPr>
        <w:t>that providing</w:t>
      </w:r>
      <w:r w:rsidR="00F22BD3">
        <w:rPr>
          <w:rFonts w:ascii="Georgia" w:hAnsi="Georgia"/>
          <w:sz w:val="24"/>
          <w:szCs w:val="24"/>
        </w:rPr>
        <w:t xml:space="preserve"> </w:t>
      </w:r>
      <w:r w:rsidR="00F22BD3" w:rsidRPr="008441BC">
        <w:rPr>
          <w:rFonts w:ascii="Georgia" w:hAnsi="Georgia"/>
          <w:sz w:val="24"/>
          <w:szCs w:val="24"/>
        </w:rPr>
        <w:t>the Transmission Organization</w:t>
      </w:r>
      <w:r w:rsidR="00F22BD3">
        <w:rPr>
          <w:rFonts w:ascii="Georgia" w:hAnsi="Georgia"/>
          <w:sz w:val="24"/>
          <w:szCs w:val="24"/>
        </w:rPr>
        <w:t xml:space="preserve"> </w:t>
      </w:r>
      <w:r w:rsidR="00F22BD3" w:rsidRPr="008441BC">
        <w:rPr>
          <w:rFonts w:ascii="Georgia" w:hAnsi="Georgia"/>
          <w:sz w:val="24"/>
          <w:szCs w:val="24"/>
        </w:rPr>
        <w:t>incentive indefinitely may not be</w:t>
      </w:r>
      <w:r w:rsidR="00CD6C9B">
        <w:rPr>
          <w:rFonts w:ascii="Georgia" w:hAnsi="Georgia"/>
          <w:sz w:val="24"/>
          <w:szCs w:val="24"/>
        </w:rPr>
        <w:t xml:space="preserve"> </w:t>
      </w:r>
      <w:r w:rsidR="00F22BD3" w:rsidRPr="008441BC">
        <w:rPr>
          <w:rFonts w:ascii="Georgia" w:hAnsi="Georgia"/>
          <w:sz w:val="24"/>
          <w:szCs w:val="24"/>
        </w:rPr>
        <w:t>necessary to incentivize a transmitting</w:t>
      </w:r>
      <w:r w:rsidR="00F22BD3">
        <w:rPr>
          <w:rFonts w:ascii="Georgia" w:hAnsi="Georgia"/>
          <w:sz w:val="24"/>
          <w:szCs w:val="24"/>
        </w:rPr>
        <w:t xml:space="preserve"> </w:t>
      </w:r>
      <w:r w:rsidR="00F22BD3" w:rsidRPr="008441BC">
        <w:rPr>
          <w:rFonts w:ascii="Georgia" w:hAnsi="Georgia"/>
          <w:sz w:val="24"/>
          <w:szCs w:val="24"/>
        </w:rPr>
        <w:t>utility to join a Transmission</w:t>
      </w:r>
      <w:r w:rsidR="00F22BD3">
        <w:rPr>
          <w:rFonts w:ascii="Georgia" w:hAnsi="Georgia"/>
          <w:sz w:val="24"/>
          <w:szCs w:val="24"/>
        </w:rPr>
        <w:t xml:space="preserve"> </w:t>
      </w:r>
      <w:r w:rsidR="00F22BD3" w:rsidRPr="008441BC">
        <w:rPr>
          <w:rFonts w:ascii="Georgia" w:hAnsi="Georgia"/>
          <w:sz w:val="24"/>
          <w:szCs w:val="24"/>
        </w:rPr>
        <w:t>Organization and, given the large impact</w:t>
      </w:r>
      <w:r w:rsidR="00F22BD3">
        <w:rPr>
          <w:rFonts w:ascii="Georgia" w:hAnsi="Georgia"/>
          <w:sz w:val="24"/>
          <w:szCs w:val="24"/>
        </w:rPr>
        <w:t xml:space="preserve"> </w:t>
      </w:r>
      <w:r w:rsidR="00F22BD3" w:rsidRPr="008441BC">
        <w:rPr>
          <w:rFonts w:ascii="Georgia" w:hAnsi="Georgia"/>
          <w:sz w:val="24"/>
          <w:szCs w:val="24"/>
        </w:rPr>
        <w:t>that such an incentive has on</w:t>
      </w:r>
      <w:r w:rsidR="00F22BD3">
        <w:rPr>
          <w:rFonts w:ascii="Georgia" w:hAnsi="Georgia"/>
          <w:sz w:val="24"/>
          <w:szCs w:val="24"/>
        </w:rPr>
        <w:t xml:space="preserve"> </w:t>
      </w:r>
      <w:r w:rsidR="00F22BD3" w:rsidRPr="008441BC">
        <w:rPr>
          <w:rFonts w:ascii="Georgia" w:hAnsi="Georgia"/>
          <w:sz w:val="24"/>
          <w:szCs w:val="24"/>
        </w:rPr>
        <w:t>ratepayers, may not appropriately</w:t>
      </w:r>
      <w:r w:rsidR="00F22BD3">
        <w:rPr>
          <w:rFonts w:ascii="Georgia" w:hAnsi="Georgia"/>
          <w:sz w:val="24"/>
          <w:szCs w:val="24"/>
        </w:rPr>
        <w:t xml:space="preserve"> </w:t>
      </w:r>
      <w:r w:rsidR="00F22BD3" w:rsidRPr="000D3783">
        <w:rPr>
          <w:rFonts w:ascii="Georgia" w:hAnsi="Georgia"/>
          <w:sz w:val="24"/>
          <w:szCs w:val="24"/>
        </w:rPr>
        <w:t>balance utility and ratepayer interests</w:t>
      </w:r>
      <w:r w:rsidR="00F22BD3">
        <w:rPr>
          <w:rFonts w:ascii="Georgia" w:hAnsi="Georgia"/>
          <w:sz w:val="24"/>
          <w:szCs w:val="24"/>
        </w:rPr>
        <w:t>”.</w:t>
      </w:r>
      <w:r w:rsidR="00F22BD3">
        <w:rPr>
          <w:rStyle w:val="FootnoteReference"/>
          <w:rFonts w:ascii="Georgia" w:hAnsi="Georgia"/>
          <w:sz w:val="24"/>
          <w:szCs w:val="24"/>
        </w:rPr>
        <w:footnoteReference w:id="1"/>
      </w:r>
      <w:r w:rsidR="009E1EEE">
        <w:rPr>
          <w:rFonts w:ascii="Georgia" w:hAnsi="Georgia"/>
          <w:sz w:val="24"/>
          <w:szCs w:val="24"/>
        </w:rPr>
        <w:t xml:space="preserve"> </w:t>
      </w:r>
      <w:r w:rsidR="00CD6C9B">
        <w:rPr>
          <w:rFonts w:ascii="Georgia" w:hAnsi="Georgia"/>
          <w:sz w:val="24"/>
          <w:szCs w:val="24"/>
        </w:rPr>
        <w:t>And we</w:t>
      </w:r>
      <w:r w:rsidR="00BE7375">
        <w:rPr>
          <w:rFonts w:ascii="Georgia" w:hAnsi="Georgia"/>
          <w:sz w:val="24"/>
          <w:szCs w:val="24"/>
        </w:rPr>
        <w:t xml:space="preserve"> </w:t>
      </w:r>
      <w:r w:rsidR="009E1EEE">
        <w:rPr>
          <w:rFonts w:ascii="Georgia" w:hAnsi="Georgia"/>
          <w:sz w:val="24"/>
          <w:szCs w:val="24"/>
        </w:rPr>
        <w:t xml:space="preserve">could not have characterized it better than </w:t>
      </w:r>
      <w:r w:rsidR="00BE7375" w:rsidRPr="00BE7375">
        <w:rPr>
          <w:rFonts w:ascii="Georgia" w:hAnsi="Georgia"/>
          <w:sz w:val="24"/>
          <w:szCs w:val="24"/>
        </w:rPr>
        <w:t>Commissioner Mark C. Christie</w:t>
      </w:r>
      <w:r w:rsidR="00AA2BEF">
        <w:rPr>
          <w:rFonts w:ascii="Georgia" w:hAnsi="Georgia"/>
          <w:sz w:val="24"/>
          <w:szCs w:val="24"/>
        </w:rPr>
        <w:t xml:space="preserve">: </w:t>
      </w:r>
    </w:p>
    <w:p w14:paraId="1DB3B38D" w14:textId="632E7AA6" w:rsidR="00CB1EEB" w:rsidRDefault="00AA2BEF" w:rsidP="00463EC3">
      <w:pPr>
        <w:ind w:left="720"/>
        <w:rPr>
          <w:rFonts w:ascii="Georgia" w:hAnsi="Georgia"/>
          <w:sz w:val="24"/>
          <w:szCs w:val="24"/>
        </w:rPr>
      </w:pPr>
      <w:r w:rsidRPr="00463EC3">
        <w:rPr>
          <w:rFonts w:ascii="Georgia" w:hAnsi="Georgia"/>
          <w:i/>
          <w:iCs/>
        </w:rPr>
        <w:t xml:space="preserve">. . . </w:t>
      </w:r>
      <w:r w:rsidRPr="00463EC3">
        <w:rPr>
          <w:rFonts w:ascii="Georgia" w:hAnsi="Georgia"/>
          <w:i/>
          <w:iCs/>
        </w:rPr>
        <w:t>transmission costs are already a significant and rising part of consumers’ retail bills</w:t>
      </w:r>
      <w:r w:rsidR="00030A1A" w:rsidRPr="00463EC3">
        <w:rPr>
          <w:rFonts w:ascii="Georgia" w:hAnsi="Georgia"/>
          <w:i/>
          <w:iCs/>
        </w:rPr>
        <w:t>,</w:t>
      </w:r>
      <w:r w:rsidRPr="00463EC3">
        <w:rPr>
          <w:rFonts w:ascii="Georgia" w:hAnsi="Georgia"/>
          <w:i/>
          <w:iCs/>
        </w:rPr>
        <w:t xml:space="preserve"> ROE adders needlessly burden consumers with substantial additional costs without demonstrable evidence that they actually incentivize the particular action they are aimed at incentivizing</w:t>
      </w:r>
      <w:r w:rsidR="00DA74BB" w:rsidRPr="00463EC3">
        <w:rPr>
          <w:rFonts w:ascii="Georgia" w:hAnsi="Georgia"/>
          <w:i/>
          <w:iCs/>
        </w:rPr>
        <w:t xml:space="preserve"> . . . </w:t>
      </w:r>
      <w:r w:rsidR="00DA74BB" w:rsidRPr="00463EC3">
        <w:rPr>
          <w:rFonts w:ascii="Georgia" w:hAnsi="Georgia"/>
          <w:i/>
          <w:iCs/>
        </w:rPr>
        <w:t>such adders are duplicative of other Commission incentives already granted to public utilities by virtue of their participation in an RTO</w:t>
      </w:r>
      <w:r w:rsidR="0052469E" w:rsidRPr="00463EC3">
        <w:rPr>
          <w:rFonts w:ascii="Georgia" w:hAnsi="Georgia"/>
          <w:i/>
          <w:iCs/>
        </w:rPr>
        <w:t xml:space="preserve"> . . . </w:t>
      </w:r>
      <w:r w:rsidR="0052469E" w:rsidRPr="00463EC3">
        <w:rPr>
          <w:rFonts w:ascii="Georgia" w:hAnsi="Georgia"/>
          <w:i/>
          <w:iCs/>
        </w:rPr>
        <w:t>section 219 of the FPA does not require an incentive for RTO/ISO participation to take the form of an ROE adder</w:t>
      </w:r>
      <w:r w:rsidR="00A96964" w:rsidRPr="00463EC3">
        <w:rPr>
          <w:rFonts w:ascii="Georgia" w:hAnsi="Georgia"/>
          <w:i/>
          <w:iCs/>
        </w:rPr>
        <w:t xml:space="preserve"> . . . </w:t>
      </w:r>
      <w:r w:rsidR="00A96964" w:rsidRPr="00463EC3">
        <w:rPr>
          <w:rFonts w:ascii="Georgia" w:hAnsi="Georgia"/>
          <w:i/>
          <w:iCs/>
        </w:rPr>
        <w:t>adding basis points to the ROE makes the regulator not the guardian against market power, but the facilitator of it. For by definition, an ROE adder raises the cost of capital above the market cost, inflicting on consumers exactly the harm that utility regulation is supposed to prevent. In sum, an ROE adder is a subsidy</w:t>
      </w:r>
      <w:r w:rsidR="002B2CFF" w:rsidRPr="00463EC3">
        <w:rPr>
          <w:rFonts w:ascii="Georgia" w:hAnsi="Georgia"/>
          <w:i/>
          <w:iCs/>
        </w:rPr>
        <w:t xml:space="preserve"> . . . </w:t>
      </w:r>
      <w:r w:rsidR="002B2CFF" w:rsidRPr="00463EC3">
        <w:rPr>
          <w:rFonts w:ascii="Georgia" w:hAnsi="Georgia"/>
          <w:i/>
          <w:iCs/>
        </w:rPr>
        <w:t>As a result, absent a clear declaration from Congress that a FERC-authorized incentive must take the form of an ROE adder—which it did not require for RTO participation incentives—awarding an ROE adder for any length of time as a “reward” for joining an RTO/ISO may be inconsistent with FPA section 219’s concurrent mandate that rates must be just and reasonable and not unduly discriminatory or preferential.</w:t>
      </w:r>
      <w:r w:rsidR="00EA0895">
        <w:rPr>
          <w:rStyle w:val="FootnoteReference"/>
          <w:rFonts w:ascii="Georgia" w:hAnsi="Georgia"/>
          <w:sz w:val="24"/>
          <w:szCs w:val="24"/>
        </w:rPr>
        <w:footnoteReference w:id="2"/>
      </w:r>
    </w:p>
    <w:p w14:paraId="669B34BB" w14:textId="77777777" w:rsidR="00463EC3" w:rsidRDefault="00463EC3" w:rsidP="000B5B42">
      <w:pPr>
        <w:spacing w:line="360" w:lineRule="auto"/>
        <w:rPr>
          <w:rFonts w:ascii="Georgia" w:hAnsi="Georgia"/>
          <w:sz w:val="24"/>
          <w:szCs w:val="24"/>
        </w:rPr>
      </w:pPr>
    </w:p>
    <w:p w14:paraId="41566881" w14:textId="59D6886C" w:rsidR="00431358" w:rsidRDefault="00611210" w:rsidP="00D25ED4">
      <w:pPr>
        <w:spacing w:line="360" w:lineRule="auto"/>
        <w:ind w:firstLine="720"/>
        <w:rPr>
          <w:rFonts w:ascii="Georgia" w:hAnsi="Georgia"/>
          <w:sz w:val="24"/>
          <w:szCs w:val="24"/>
        </w:rPr>
      </w:pPr>
      <w:r>
        <w:rPr>
          <w:rFonts w:ascii="Georgia" w:hAnsi="Georgia"/>
          <w:sz w:val="24"/>
          <w:szCs w:val="24"/>
        </w:rPr>
        <w:t>T</w:t>
      </w:r>
      <w:r w:rsidR="00BE37AD">
        <w:rPr>
          <w:rFonts w:ascii="Georgia" w:hAnsi="Georgia"/>
          <w:sz w:val="24"/>
          <w:szCs w:val="24"/>
        </w:rPr>
        <w:t xml:space="preserve">he Commission’s proposal </w:t>
      </w:r>
      <w:r w:rsidR="00537F4E">
        <w:rPr>
          <w:rFonts w:ascii="Georgia" w:hAnsi="Georgia"/>
          <w:sz w:val="24"/>
          <w:szCs w:val="24"/>
        </w:rPr>
        <w:t>would</w:t>
      </w:r>
      <w:r w:rsidR="00BE37AD">
        <w:rPr>
          <w:rFonts w:ascii="Georgia" w:hAnsi="Georgia"/>
          <w:sz w:val="24"/>
          <w:szCs w:val="24"/>
        </w:rPr>
        <w:t xml:space="preserve"> limit a 50 basis point ROE adder for those transmission owners joining a Transmission Organization</w:t>
      </w:r>
      <w:r w:rsidR="0049443E">
        <w:rPr>
          <w:rFonts w:ascii="Georgia" w:hAnsi="Georgia"/>
          <w:sz w:val="24"/>
          <w:szCs w:val="24"/>
        </w:rPr>
        <w:t xml:space="preserve"> (commonly called RTOs or ISOs).</w:t>
      </w:r>
      <w:r w:rsidR="002A27A5">
        <w:rPr>
          <w:rFonts w:ascii="Georgia" w:hAnsi="Georgia"/>
          <w:sz w:val="24"/>
          <w:szCs w:val="24"/>
        </w:rPr>
        <w:t xml:space="preserve"> Specifically, the proposal</w:t>
      </w:r>
      <w:r w:rsidR="002A27A5" w:rsidRPr="002A27A5">
        <w:rPr>
          <w:rFonts w:ascii="Georgia" w:hAnsi="Georgia"/>
          <w:sz w:val="24"/>
          <w:szCs w:val="24"/>
        </w:rPr>
        <w:t xml:space="preserve"> require</w:t>
      </w:r>
      <w:r w:rsidR="002A27A5">
        <w:rPr>
          <w:rFonts w:ascii="Georgia" w:hAnsi="Georgia"/>
          <w:sz w:val="24"/>
          <w:szCs w:val="24"/>
        </w:rPr>
        <w:t>s</w:t>
      </w:r>
      <w:r w:rsidR="002A27A5" w:rsidRPr="002A27A5">
        <w:rPr>
          <w:rFonts w:ascii="Georgia" w:hAnsi="Georgia"/>
          <w:sz w:val="24"/>
          <w:szCs w:val="24"/>
        </w:rPr>
        <w:t xml:space="preserve"> each</w:t>
      </w:r>
      <w:r w:rsidR="002A27A5">
        <w:rPr>
          <w:rFonts w:ascii="Georgia" w:hAnsi="Georgia"/>
          <w:sz w:val="24"/>
          <w:szCs w:val="24"/>
        </w:rPr>
        <w:t xml:space="preserve"> </w:t>
      </w:r>
      <w:r w:rsidR="002A27A5" w:rsidRPr="002A27A5">
        <w:rPr>
          <w:rFonts w:ascii="Georgia" w:hAnsi="Georgia"/>
          <w:sz w:val="24"/>
          <w:szCs w:val="24"/>
        </w:rPr>
        <w:t>utility that has received a</w:t>
      </w:r>
      <w:r w:rsidR="002A27A5">
        <w:rPr>
          <w:rFonts w:ascii="Georgia" w:hAnsi="Georgia"/>
          <w:sz w:val="24"/>
          <w:szCs w:val="24"/>
        </w:rPr>
        <w:t xml:space="preserve"> financial</w:t>
      </w:r>
      <w:r w:rsidR="002A27A5" w:rsidRPr="002A27A5">
        <w:rPr>
          <w:rFonts w:ascii="Georgia" w:hAnsi="Georgia"/>
          <w:sz w:val="24"/>
          <w:szCs w:val="24"/>
        </w:rPr>
        <w:t xml:space="preserve"> </w:t>
      </w:r>
      <w:r w:rsidR="002A27A5" w:rsidRPr="002A27A5">
        <w:rPr>
          <w:rFonts w:ascii="Georgia" w:hAnsi="Georgia"/>
          <w:sz w:val="24"/>
          <w:szCs w:val="24"/>
        </w:rPr>
        <w:lastRenderedPageBreak/>
        <w:t>incentive for</w:t>
      </w:r>
      <w:r w:rsidR="002A27A5">
        <w:rPr>
          <w:rFonts w:ascii="Georgia" w:hAnsi="Georgia"/>
          <w:sz w:val="24"/>
          <w:szCs w:val="24"/>
        </w:rPr>
        <w:t xml:space="preserve"> </w:t>
      </w:r>
      <w:r w:rsidR="002A27A5" w:rsidRPr="002A27A5">
        <w:rPr>
          <w:rFonts w:ascii="Georgia" w:hAnsi="Georgia"/>
          <w:sz w:val="24"/>
          <w:szCs w:val="24"/>
        </w:rPr>
        <w:t>joining and remaining in a Transmission</w:t>
      </w:r>
      <w:r w:rsidR="002A27A5">
        <w:rPr>
          <w:rFonts w:ascii="Georgia" w:hAnsi="Georgia"/>
          <w:sz w:val="24"/>
          <w:szCs w:val="24"/>
        </w:rPr>
        <w:t xml:space="preserve"> </w:t>
      </w:r>
      <w:r w:rsidR="002A27A5" w:rsidRPr="002A27A5">
        <w:rPr>
          <w:rFonts w:ascii="Georgia" w:hAnsi="Georgia"/>
          <w:sz w:val="24"/>
          <w:szCs w:val="24"/>
        </w:rPr>
        <w:t>Organization for three or more years to</w:t>
      </w:r>
      <w:r w:rsidR="002A27A5">
        <w:rPr>
          <w:rFonts w:ascii="Georgia" w:hAnsi="Georgia"/>
          <w:sz w:val="24"/>
          <w:szCs w:val="24"/>
        </w:rPr>
        <w:t xml:space="preserve"> </w:t>
      </w:r>
      <w:r w:rsidR="002A27A5" w:rsidRPr="002A27A5">
        <w:rPr>
          <w:rFonts w:ascii="Georgia" w:hAnsi="Georgia"/>
          <w:sz w:val="24"/>
          <w:szCs w:val="24"/>
        </w:rPr>
        <w:t>submit a compliance filing to remove the incentive from its</w:t>
      </w:r>
      <w:r w:rsidR="006434EE">
        <w:rPr>
          <w:rFonts w:ascii="Georgia" w:hAnsi="Georgia"/>
          <w:sz w:val="24"/>
          <w:szCs w:val="24"/>
        </w:rPr>
        <w:t xml:space="preserve"> </w:t>
      </w:r>
      <w:r w:rsidR="002A27A5" w:rsidRPr="002A27A5">
        <w:rPr>
          <w:rFonts w:ascii="Georgia" w:hAnsi="Georgia"/>
          <w:sz w:val="24"/>
          <w:szCs w:val="24"/>
        </w:rPr>
        <w:t xml:space="preserve">transmission tariff. </w:t>
      </w:r>
      <w:r w:rsidR="00196603">
        <w:rPr>
          <w:rFonts w:ascii="Georgia" w:hAnsi="Georgia"/>
          <w:sz w:val="24"/>
          <w:szCs w:val="24"/>
        </w:rPr>
        <w:t>We agree with Commissioner Christie that this proposal “</w:t>
      </w:r>
      <w:r w:rsidR="00196603" w:rsidRPr="00196603">
        <w:rPr>
          <w:rFonts w:ascii="Georgia" w:hAnsi="Georgia"/>
          <w:sz w:val="24"/>
          <w:szCs w:val="24"/>
        </w:rPr>
        <w:t>moves in the right direction</w:t>
      </w:r>
      <w:r w:rsidR="00196603">
        <w:rPr>
          <w:rFonts w:ascii="Georgia" w:hAnsi="Georgia"/>
          <w:sz w:val="24"/>
          <w:szCs w:val="24"/>
        </w:rPr>
        <w:t>,”</w:t>
      </w:r>
      <w:r w:rsidR="000B3B60">
        <w:rPr>
          <w:rStyle w:val="FootnoteReference"/>
          <w:rFonts w:ascii="Georgia" w:hAnsi="Georgia"/>
          <w:sz w:val="24"/>
          <w:szCs w:val="24"/>
        </w:rPr>
        <w:footnoteReference w:id="3"/>
      </w:r>
      <w:r w:rsidR="00196603">
        <w:rPr>
          <w:rFonts w:ascii="Georgia" w:hAnsi="Georgia"/>
          <w:sz w:val="24"/>
          <w:szCs w:val="24"/>
        </w:rPr>
        <w:t xml:space="preserve"> but </w:t>
      </w:r>
      <w:r w:rsidR="00C923E0">
        <w:rPr>
          <w:rFonts w:ascii="Georgia" w:hAnsi="Georgia"/>
          <w:sz w:val="24"/>
          <w:szCs w:val="24"/>
        </w:rPr>
        <w:t>believe it can be improved to better protect consumers.</w:t>
      </w:r>
      <w:r w:rsidR="0080143D">
        <w:rPr>
          <w:rFonts w:ascii="Georgia" w:hAnsi="Georgia"/>
          <w:sz w:val="24"/>
          <w:szCs w:val="24"/>
        </w:rPr>
        <w:t xml:space="preserve"> Transmission costs have been escalating rapidly across the country and in our largest market, PJM</w:t>
      </w:r>
      <w:r w:rsidR="00EC142B">
        <w:rPr>
          <w:rStyle w:val="FootnoteReference"/>
          <w:rFonts w:ascii="Georgia" w:hAnsi="Georgia"/>
          <w:sz w:val="24"/>
          <w:szCs w:val="24"/>
        </w:rPr>
        <w:footnoteReference w:id="4"/>
      </w:r>
      <w:r w:rsidR="004B3F9B">
        <w:rPr>
          <w:rFonts w:ascii="Georgia" w:hAnsi="Georgia"/>
          <w:sz w:val="24"/>
          <w:szCs w:val="24"/>
        </w:rPr>
        <w:t>, so limiting or removing these adders will be a important start to controlling inflated costs charged to consumers.</w:t>
      </w:r>
    </w:p>
    <w:p w14:paraId="5F6F3CB4" w14:textId="4E940B7C" w:rsidR="004012D7" w:rsidRDefault="004012D7" w:rsidP="00CB1EEB">
      <w:pPr>
        <w:ind w:firstLine="720"/>
        <w:rPr>
          <w:rFonts w:ascii="Georgia" w:hAnsi="Georgia"/>
          <w:sz w:val="24"/>
          <w:szCs w:val="24"/>
        </w:rPr>
      </w:pPr>
    </w:p>
    <w:p w14:paraId="2089754E" w14:textId="3DF2D65C" w:rsidR="004012D7" w:rsidRDefault="004012D7" w:rsidP="000B5B42">
      <w:pPr>
        <w:jc w:val="center"/>
        <w:rPr>
          <w:rFonts w:ascii="Georgia" w:hAnsi="Georgia"/>
          <w:b/>
          <w:bCs/>
          <w:sz w:val="24"/>
          <w:szCs w:val="24"/>
        </w:rPr>
      </w:pPr>
      <w:r w:rsidRPr="000B5B42">
        <w:rPr>
          <w:rFonts w:ascii="Georgia" w:hAnsi="Georgia"/>
          <w:b/>
          <w:bCs/>
          <w:sz w:val="24"/>
          <w:szCs w:val="24"/>
        </w:rPr>
        <w:t>About Public Citizen</w:t>
      </w:r>
    </w:p>
    <w:p w14:paraId="2816543A" w14:textId="77777777" w:rsidR="00431358" w:rsidRPr="000B5B42" w:rsidRDefault="00431358" w:rsidP="000B5B42">
      <w:pPr>
        <w:jc w:val="center"/>
        <w:rPr>
          <w:rFonts w:ascii="Georgia" w:hAnsi="Georgia"/>
          <w:b/>
          <w:bCs/>
          <w:sz w:val="24"/>
          <w:szCs w:val="24"/>
        </w:rPr>
      </w:pPr>
    </w:p>
    <w:p w14:paraId="6F58D23F" w14:textId="77777777" w:rsidR="000B5B42" w:rsidRPr="006C7A97" w:rsidRDefault="000B5B42" w:rsidP="000B5B42">
      <w:pPr>
        <w:spacing w:line="360" w:lineRule="auto"/>
        <w:ind w:firstLine="720"/>
        <w:rPr>
          <w:rFonts w:ascii="Georgia" w:hAnsi="Georgia"/>
          <w:sz w:val="24"/>
          <w:szCs w:val="24"/>
        </w:rPr>
      </w:pPr>
      <w:r w:rsidRPr="006C7A97">
        <w:rPr>
          <w:rFonts w:ascii="Georgia" w:hAnsi="Georgia"/>
          <w:sz w:val="24"/>
          <w:szCs w:val="24"/>
        </w:rPr>
        <w:t>Established in 1971, Public Citizen is a national, not-for-profit, non-partisan,</w:t>
      </w:r>
    </w:p>
    <w:p w14:paraId="3D86A6A2" w14:textId="77777777" w:rsidR="000B5B42" w:rsidRPr="006C7A97" w:rsidRDefault="000B5B42" w:rsidP="000B5B42">
      <w:pPr>
        <w:spacing w:line="360" w:lineRule="auto"/>
        <w:rPr>
          <w:rFonts w:ascii="Georgia" w:hAnsi="Georgia"/>
          <w:sz w:val="24"/>
          <w:szCs w:val="24"/>
        </w:rPr>
      </w:pPr>
      <w:r w:rsidRPr="006C7A97">
        <w:rPr>
          <w:rFonts w:ascii="Georgia" w:hAnsi="Georgia"/>
          <w:sz w:val="24"/>
          <w:szCs w:val="24"/>
        </w:rPr>
        <w:t>research and advocacy organization representing the interests of household consumers.</w:t>
      </w:r>
    </w:p>
    <w:p w14:paraId="71B3767B" w14:textId="77777777" w:rsidR="000B5B42" w:rsidRPr="006C7A97" w:rsidRDefault="000B5B42" w:rsidP="000B5B42">
      <w:pPr>
        <w:spacing w:line="360" w:lineRule="auto"/>
        <w:rPr>
          <w:rFonts w:ascii="Georgia" w:hAnsi="Georgia"/>
          <w:sz w:val="24"/>
          <w:szCs w:val="24"/>
        </w:rPr>
      </w:pPr>
      <w:r w:rsidRPr="006C7A97">
        <w:rPr>
          <w:rFonts w:ascii="Georgia" w:hAnsi="Georgia"/>
          <w:sz w:val="24"/>
          <w:szCs w:val="24"/>
        </w:rPr>
        <w:t>Public Citizen is active before FERC promoting just and reasonable rates, and</w:t>
      </w:r>
    </w:p>
    <w:p w14:paraId="0CD54087" w14:textId="77777777" w:rsidR="000B5B42" w:rsidRPr="006C7A97" w:rsidRDefault="000B5B42" w:rsidP="000B5B42">
      <w:pPr>
        <w:spacing w:line="360" w:lineRule="auto"/>
        <w:rPr>
          <w:rFonts w:ascii="Georgia" w:hAnsi="Georgia"/>
          <w:sz w:val="24"/>
          <w:szCs w:val="24"/>
        </w:rPr>
      </w:pPr>
      <w:r w:rsidRPr="006C7A97">
        <w:rPr>
          <w:rFonts w:ascii="Georgia" w:hAnsi="Georgia"/>
          <w:sz w:val="24"/>
          <w:szCs w:val="24"/>
        </w:rPr>
        <w:t>supporting efforts for utilities to be accountable to the public interest. Our financial</w:t>
      </w:r>
    </w:p>
    <w:p w14:paraId="1A920865" w14:textId="2DC58F0C" w:rsidR="000B5B42" w:rsidRDefault="000B5B42" w:rsidP="00D25ED4">
      <w:pPr>
        <w:spacing w:line="360" w:lineRule="auto"/>
        <w:rPr>
          <w:rFonts w:ascii="Georgia" w:hAnsi="Georgia"/>
          <w:sz w:val="24"/>
          <w:szCs w:val="24"/>
        </w:rPr>
      </w:pPr>
      <w:r w:rsidRPr="006C7A97">
        <w:rPr>
          <w:rFonts w:ascii="Georgia" w:hAnsi="Georgia"/>
          <w:sz w:val="24"/>
          <w:szCs w:val="24"/>
        </w:rPr>
        <w:t>details are located on our web site.</w:t>
      </w:r>
      <w:r>
        <w:rPr>
          <w:rStyle w:val="FootnoteReference"/>
          <w:rFonts w:ascii="Georgia" w:hAnsi="Georgia"/>
          <w:sz w:val="24"/>
          <w:szCs w:val="24"/>
        </w:rPr>
        <w:footnoteReference w:id="5"/>
      </w:r>
    </w:p>
    <w:p w14:paraId="223C381D" w14:textId="7B4187E6" w:rsidR="00C41D7F" w:rsidRDefault="00C41D7F" w:rsidP="002A27A5">
      <w:pPr>
        <w:rPr>
          <w:rFonts w:ascii="Georgia" w:hAnsi="Georgia"/>
          <w:sz w:val="24"/>
          <w:szCs w:val="24"/>
        </w:rPr>
      </w:pPr>
    </w:p>
    <w:p w14:paraId="75A27B49" w14:textId="7E54772E" w:rsidR="000E78D4" w:rsidRPr="003F50F4" w:rsidRDefault="000E78D4" w:rsidP="003F50F4">
      <w:pPr>
        <w:jc w:val="center"/>
        <w:rPr>
          <w:rFonts w:ascii="Georgia" w:hAnsi="Georgia"/>
          <w:b/>
          <w:bCs/>
          <w:sz w:val="24"/>
          <w:szCs w:val="24"/>
        </w:rPr>
      </w:pPr>
      <w:r w:rsidRPr="003F50F4">
        <w:rPr>
          <w:rFonts w:ascii="Georgia" w:hAnsi="Georgia"/>
          <w:b/>
          <w:bCs/>
          <w:sz w:val="24"/>
          <w:szCs w:val="24"/>
        </w:rPr>
        <w:t>Comments</w:t>
      </w:r>
    </w:p>
    <w:p w14:paraId="096D2DD9" w14:textId="3C849FB2" w:rsidR="000E78D4" w:rsidRDefault="000E78D4" w:rsidP="001611AB">
      <w:pPr>
        <w:rPr>
          <w:rFonts w:ascii="Georgia" w:hAnsi="Georgia"/>
          <w:sz w:val="24"/>
          <w:szCs w:val="24"/>
        </w:rPr>
      </w:pPr>
    </w:p>
    <w:p w14:paraId="6345A231" w14:textId="2D015CD0" w:rsidR="00685C43" w:rsidRPr="00B72585" w:rsidRDefault="000E5F09" w:rsidP="001611AB">
      <w:pPr>
        <w:pStyle w:val="ListParagraph"/>
        <w:numPr>
          <w:ilvl w:val="0"/>
          <w:numId w:val="1"/>
        </w:numPr>
        <w:rPr>
          <w:rFonts w:ascii="Georgia" w:hAnsi="Georgia"/>
          <w:b/>
          <w:bCs/>
          <w:sz w:val="24"/>
          <w:szCs w:val="24"/>
        </w:rPr>
      </w:pPr>
      <w:r w:rsidRPr="00B72585">
        <w:rPr>
          <w:rFonts w:ascii="Georgia" w:hAnsi="Georgia"/>
          <w:b/>
          <w:bCs/>
          <w:sz w:val="24"/>
          <w:szCs w:val="24"/>
        </w:rPr>
        <w:t xml:space="preserve">The Commission should disallow ROE adders and instead </w:t>
      </w:r>
      <w:r w:rsidR="00182239" w:rsidRPr="00B72585">
        <w:rPr>
          <w:rFonts w:ascii="Georgia" w:hAnsi="Georgia"/>
          <w:b/>
          <w:bCs/>
          <w:sz w:val="24"/>
          <w:szCs w:val="24"/>
        </w:rPr>
        <w:t xml:space="preserve">focus </w:t>
      </w:r>
      <w:r w:rsidR="00617980" w:rsidRPr="00B72585">
        <w:rPr>
          <w:rFonts w:ascii="Georgia" w:hAnsi="Georgia"/>
          <w:b/>
          <w:bCs/>
          <w:sz w:val="24"/>
          <w:szCs w:val="24"/>
        </w:rPr>
        <w:t>solely</w:t>
      </w:r>
      <w:r w:rsidR="00182239" w:rsidRPr="00B72585">
        <w:rPr>
          <w:rFonts w:ascii="Georgia" w:hAnsi="Georgia"/>
          <w:b/>
          <w:bCs/>
          <w:sz w:val="24"/>
          <w:szCs w:val="24"/>
        </w:rPr>
        <w:t xml:space="preserve"> on</w:t>
      </w:r>
      <w:r w:rsidRPr="00B72585">
        <w:rPr>
          <w:rFonts w:ascii="Georgia" w:hAnsi="Georgia"/>
          <w:b/>
          <w:bCs/>
          <w:sz w:val="24"/>
          <w:szCs w:val="24"/>
        </w:rPr>
        <w:t xml:space="preserve"> incentives</w:t>
      </w:r>
      <w:r w:rsidR="00182239" w:rsidRPr="00B72585">
        <w:rPr>
          <w:rFonts w:ascii="Georgia" w:hAnsi="Georgia"/>
          <w:b/>
          <w:bCs/>
          <w:sz w:val="24"/>
          <w:szCs w:val="24"/>
        </w:rPr>
        <w:t xml:space="preserve"> for new transmission</w:t>
      </w:r>
      <w:r w:rsidR="00617980">
        <w:rPr>
          <w:rFonts w:ascii="Georgia" w:hAnsi="Georgia"/>
          <w:b/>
          <w:bCs/>
          <w:sz w:val="24"/>
          <w:szCs w:val="24"/>
        </w:rPr>
        <w:t>,</w:t>
      </w:r>
      <w:r w:rsidRPr="00B72585">
        <w:rPr>
          <w:rFonts w:ascii="Georgia" w:hAnsi="Georgia"/>
          <w:b/>
          <w:bCs/>
          <w:sz w:val="24"/>
          <w:szCs w:val="24"/>
        </w:rPr>
        <w:t xml:space="preserve"> such as c</w:t>
      </w:r>
      <w:r w:rsidR="00B5737F" w:rsidRPr="00B72585">
        <w:rPr>
          <w:rFonts w:ascii="Georgia" w:hAnsi="Georgia"/>
          <w:b/>
          <w:bCs/>
          <w:sz w:val="24"/>
          <w:szCs w:val="24"/>
        </w:rPr>
        <w:t xml:space="preserve">onstruction work in progress and </w:t>
      </w:r>
      <w:r w:rsidR="000A219C" w:rsidRPr="00B72585">
        <w:rPr>
          <w:rFonts w:ascii="Georgia" w:hAnsi="Georgia"/>
          <w:b/>
          <w:bCs/>
          <w:sz w:val="24"/>
          <w:szCs w:val="24"/>
        </w:rPr>
        <w:t>guaranteed cost recovery for project abandonment</w:t>
      </w:r>
      <w:r w:rsidR="00A30DC9" w:rsidRPr="00B72585">
        <w:rPr>
          <w:rFonts w:ascii="Georgia" w:hAnsi="Georgia"/>
          <w:b/>
          <w:bCs/>
          <w:sz w:val="24"/>
          <w:szCs w:val="24"/>
        </w:rPr>
        <w:t>.</w:t>
      </w:r>
    </w:p>
    <w:p w14:paraId="4ABAF180" w14:textId="75AF4BDD" w:rsidR="00A30DC9" w:rsidRDefault="00A30DC9" w:rsidP="00A30DC9">
      <w:pPr>
        <w:rPr>
          <w:rFonts w:ascii="Georgia" w:hAnsi="Georgia"/>
          <w:sz w:val="24"/>
          <w:szCs w:val="24"/>
        </w:rPr>
      </w:pPr>
    </w:p>
    <w:p w14:paraId="07EB23EB" w14:textId="72118209" w:rsidR="00A30DC9" w:rsidRDefault="00A30DC9" w:rsidP="00464A0F">
      <w:pPr>
        <w:spacing w:line="360" w:lineRule="auto"/>
        <w:ind w:firstLine="360"/>
        <w:rPr>
          <w:rFonts w:ascii="Georgia" w:hAnsi="Georgia"/>
          <w:sz w:val="24"/>
          <w:szCs w:val="24"/>
        </w:rPr>
      </w:pPr>
      <w:r>
        <w:rPr>
          <w:rFonts w:ascii="Georgia" w:hAnsi="Georgia"/>
          <w:sz w:val="24"/>
          <w:szCs w:val="24"/>
        </w:rPr>
        <w:t xml:space="preserve">The NOPR </w:t>
      </w:r>
      <w:r w:rsidR="003E56FF">
        <w:rPr>
          <w:rFonts w:ascii="Georgia" w:hAnsi="Georgia"/>
          <w:sz w:val="24"/>
          <w:szCs w:val="24"/>
        </w:rPr>
        <w:t>states that Federal Power Act</w:t>
      </w:r>
      <w:r w:rsidRPr="008F32C6">
        <w:rPr>
          <w:rFonts w:ascii="Georgia" w:hAnsi="Georgia"/>
          <w:sz w:val="24"/>
          <w:szCs w:val="24"/>
        </w:rPr>
        <w:t xml:space="preserve"> </w:t>
      </w:r>
      <w:r w:rsidR="003E56FF">
        <w:rPr>
          <w:rFonts w:ascii="Georgia" w:hAnsi="Georgia"/>
          <w:sz w:val="24"/>
          <w:szCs w:val="24"/>
        </w:rPr>
        <w:t>“</w:t>
      </w:r>
      <w:r w:rsidRPr="008F32C6">
        <w:rPr>
          <w:rFonts w:ascii="Georgia" w:hAnsi="Georgia"/>
          <w:sz w:val="24"/>
          <w:szCs w:val="24"/>
        </w:rPr>
        <w:t>section 219(c) does</w:t>
      </w:r>
      <w:r w:rsidR="003E56FF">
        <w:rPr>
          <w:rFonts w:ascii="Georgia" w:hAnsi="Georgia"/>
          <w:sz w:val="24"/>
          <w:szCs w:val="24"/>
        </w:rPr>
        <w:t xml:space="preserve"> </w:t>
      </w:r>
      <w:r w:rsidRPr="008F32C6">
        <w:rPr>
          <w:rFonts w:ascii="Georgia" w:hAnsi="Georgia"/>
          <w:sz w:val="24"/>
          <w:szCs w:val="24"/>
        </w:rPr>
        <w:t>not specify the form of the incentive for</w:t>
      </w:r>
      <w:r w:rsidR="003E56FF">
        <w:rPr>
          <w:rFonts w:ascii="Georgia" w:hAnsi="Georgia"/>
          <w:sz w:val="24"/>
          <w:szCs w:val="24"/>
        </w:rPr>
        <w:t xml:space="preserve"> </w:t>
      </w:r>
      <w:r w:rsidRPr="008F32C6">
        <w:rPr>
          <w:rFonts w:ascii="Georgia" w:hAnsi="Georgia"/>
          <w:sz w:val="24"/>
          <w:szCs w:val="24"/>
        </w:rPr>
        <w:t>utilities that join a Transmission</w:t>
      </w:r>
      <w:r w:rsidR="003E56FF">
        <w:rPr>
          <w:rFonts w:ascii="Georgia" w:hAnsi="Georgia"/>
          <w:sz w:val="24"/>
          <w:szCs w:val="24"/>
        </w:rPr>
        <w:t xml:space="preserve"> </w:t>
      </w:r>
      <w:r w:rsidRPr="008F32C6">
        <w:rPr>
          <w:rFonts w:ascii="Georgia" w:hAnsi="Georgia"/>
          <w:sz w:val="24"/>
          <w:szCs w:val="24"/>
        </w:rPr>
        <w:t>Organization</w:t>
      </w:r>
      <w:r w:rsidR="003E56FF">
        <w:rPr>
          <w:rFonts w:ascii="Georgia" w:hAnsi="Georgia"/>
          <w:sz w:val="24"/>
          <w:szCs w:val="24"/>
        </w:rPr>
        <w:t xml:space="preserve">” and </w:t>
      </w:r>
      <w:proofErr w:type="gramStart"/>
      <w:r w:rsidR="003E56FF">
        <w:rPr>
          <w:rFonts w:ascii="Georgia" w:hAnsi="Georgia"/>
          <w:sz w:val="24"/>
          <w:szCs w:val="24"/>
        </w:rPr>
        <w:t>asks</w:t>
      </w:r>
      <w:proofErr w:type="gramEnd"/>
      <w:r w:rsidR="003E56FF">
        <w:rPr>
          <w:rFonts w:ascii="Georgia" w:hAnsi="Georgia"/>
          <w:sz w:val="24"/>
          <w:szCs w:val="24"/>
        </w:rPr>
        <w:t xml:space="preserve"> “</w:t>
      </w:r>
      <w:r w:rsidRPr="008F32C6">
        <w:rPr>
          <w:rFonts w:ascii="Georgia" w:hAnsi="Georgia"/>
          <w:sz w:val="24"/>
          <w:szCs w:val="24"/>
        </w:rPr>
        <w:t>whether there are</w:t>
      </w:r>
      <w:r w:rsidR="003E56FF">
        <w:rPr>
          <w:rFonts w:ascii="Georgia" w:hAnsi="Georgia"/>
          <w:sz w:val="24"/>
          <w:szCs w:val="24"/>
        </w:rPr>
        <w:t xml:space="preserve"> </w:t>
      </w:r>
      <w:r w:rsidRPr="008F32C6">
        <w:rPr>
          <w:rFonts w:ascii="Georgia" w:hAnsi="Georgia"/>
          <w:sz w:val="24"/>
          <w:szCs w:val="24"/>
        </w:rPr>
        <w:t>alternative, non-ROE incentives that are</w:t>
      </w:r>
      <w:r w:rsidR="003E56FF">
        <w:rPr>
          <w:rFonts w:ascii="Georgia" w:hAnsi="Georgia"/>
          <w:sz w:val="24"/>
          <w:szCs w:val="24"/>
        </w:rPr>
        <w:t xml:space="preserve"> </w:t>
      </w:r>
      <w:r w:rsidRPr="008F32C6">
        <w:rPr>
          <w:rFonts w:ascii="Georgia" w:hAnsi="Georgia"/>
          <w:sz w:val="24"/>
          <w:szCs w:val="24"/>
        </w:rPr>
        <w:t>more appropriate for the Transmission</w:t>
      </w:r>
      <w:r w:rsidR="003E56FF">
        <w:rPr>
          <w:rFonts w:ascii="Georgia" w:hAnsi="Georgia"/>
          <w:sz w:val="24"/>
          <w:szCs w:val="24"/>
        </w:rPr>
        <w:t xml:space="preserve"> </w:t>
      </w:r>
      <w:r w:rsidRPr="008F32C6">
        <w:rPr>
          <w:rFonts w:ascii="Georgia" w:hAnsi="Georgia"/>
          <w:sz w:val="24"/>
          <w:szCs w:val="24"/>
        </w:rPr>
        <w:t>Organization Incentive.</w:t>
      </w:r>
      <w:r w:rsidR="0023270C">
        <w:rPr>
          <w:rFonts w:ascii="Georgia" w:hAnsi="Georgia"/>
          <w:sz w:val="24"/>
          <w:szCs w:val="24"/>
        </w:rPr>
        <w:t>”</w:t>
      </w:r>
      <w:r w:rsidR="003E56FF">
        <w:rPr>
          <w:rStyle w:val="FootnoteReference"/>
          <w:rFonts w:ascii="Georgia" w:hAnsi="Georgia"/>
          <w:sz w:val="24"/>
          <w:szCs w:val="24"/>
        </w:rPr>
        <w:footnoteReference w:id="6"/>
      </w:r>
      <w:r w:rsidR="00B2473D">
        <w:rPr>
          <w:rFonts w:ascii="Georgia" w:hAnsi="Georgia"/>
          <w:sz w:val="24"/>
          <w:szCs w:val="24"/>
        </w:rPr>
        <w:t xml:space="preserve"> We believe that the Commission allows two forms of rate recovery that provide ample incentive for transmission owners that seek to voluntarily join an RTO. </w:t>
      </w:r>
    </w:p>
    <w:p w14:paraId="24B6828A" w14:textId="41E9A8E5" w:rsidR="00167526" w:rsidRDefault="00167526" w:rsidP="00464A0F">
      <w:pPr>
        <w:spacing w:line="360" w:lineRule="auto"/>
        <w:ind w:firstLine="360"/>
        <w:rPr>
          <w:rFonts w:ascii="Georgia" w:hAnsi="Georgia"/>
          <w:sz w:val="24"/>
          <w:szCs w:val="24"/>
        </w:rPr>
      </w:pPr>
      <w:r>
        <w:rPr>
          <w:rFonts w:ascii="Georgia" w:hAnsi="Georgia"/>
          <w:sz w:val="24"/>
          <w:szCs w:val="24"/>
        </w:rPr>
        <w:lastRenderedPageBreak/>
        <w:t>First</w:t>
      </w:r>
      <w:r w:rsidR="001D6841">
        <w:rPr>
          <w:rFonts w:ascii="Georgia" w:hAnsi="Georgia"/>
          <w:sz w:val="24"/>
          <w:szCs w:val="24"/>
        </w:rPr>
        <w:t>, the Commission can offer transmission developers seeking to join an RTO</w:t>
      </w:r>
      <w:r w:rsidR="00BD34B8">
        <w:rPr>
          <w:rFonts w:ascii="Georgia" w:hAnsi="Georgia"/>
          <w:sz w:val="24"/>
          <w:szCs w:val="24"/>
        </w:rPr>
        <w:t xml:space="preserve"> construction work in progress rate treatment. This allows a transmission developer to </w:t>
      </w:r>
      <w:r w:rsidR="009C0A5F">
        <w:rPr>
          <w:rFonts w:ascii="Georgia" w:hAnsi="Georgia"/>
          <w:sz w:val="24"/>
          <w:szCs w:val="24"/>
        </w:rPr>
        <w:t xml:space="preserve">recover expenses as they occur, rather than waiting until the project is in operation. </w:t>
      </w:r>
    </w:p>
    <w:p w14:paraId="3C013D5F" w14:textId="6D379958" w:rsidR="009C0A5F" w:rsidRDefault="009C0A5F" w:rsidP="00464A0F">
      <w:pPr>
        <w:spacing w:line="360" w:lineRule="auto"/>
        <w:ind w:firstLine="360"/>
        <w:rPr>
          <w:rFonts w:ascii="Georgia" w:hAnsi="Georgia"/>
          <w:sz w:val="24"/>
          <w:szCs w:val="24"/>
        </w:rPr>
      </w:pPr>
      <w:r>
        <w:rPr>
          <w:rFonts w:ascii="Georgia" w:hAnsi="Georgia"/>
          <w:sz w:val="24"/>
          <w:szCs w:val="24"/>
        </w:rPr>
        <w:t>Second, the Commission</w:t>
      </w:r>
      <w:r w:rsidR="00182239">
        <w:rPr>
          <w:rFonts w:ascii="Georgia" w:hAnsi="Georgia"/>
          <w:sz w:val="24"/>
          <w:szCs w:val="24"/>
        </w:rPr>
        <w:t xml:space="preserve"> can authorize</w:t>
      </w:r>
      <w:r w:rsidR="00177FF3">
        <w:rPr>
          <w:rFonts w:ascii="Georgia" w:hAnsi="Georgia"/>
          <w:sz w:val="24"/>
          <w:szCs w:val="24"/>
        </w:rPr>
        <w:t xml:space="preserve"> 100% rate recovery for prudently incurred expenses if the transmission project is cancelled due to no fault of the transmission developer.</w:t>
      </w:r>
    </w:p>
    <w:p w14:paraId="0902B1C5" w14:textId="53A5A2B3" w:rsidR="002866EA" w:rsidRDefault="002866EA" w:rsidP="00464A0F">
      <w:pPr>
        <w:spacing w:line="360" w:lineRule="auto"/>
        <w:ind w:firstLine="360"/>
        <w:rPr>
          <w:rFonts w:ascii="Georgia" w:hAnsi="Georgia"/>
          <w:sz w:val="24"/>
          <w:szCs w:val="24"/>
        </w:rPr>
      </w:pPr>
      <w:r>
        <w:rPr>
          <w:rFonts w:ascii="Georgia" w:hAnsi="Georgia"/>
          <w:sz w:val="24"/>
          <w:szCs w:val="24"/>
        </w:rPr>
        <w:t xml:space="preserve">A focus on </w:t>
      </w:r>
      <w:r w:rsidR="00680AD1">
        <w:rPr>
          <w:rFonts w:ascii="Georgia" w:hAnsi="Georgia"/>
          <w:sz w:val="24"/>
          <w:szCs w:val="24"/>
        </w:rPr>
        <w:t>new-build transmission will better align Commission incentives to encourage new investment, rather than simply shoveling ratepayer money at existing infrastructure</w:t>
      </w:r>
      <w:r w:rsidR="00464A0F">
        <w:rPr>
          <w:rFonts w:ascii="Georgia" w:hAnsi="Georgia"/>
          <w:sz w:val="24"/>
          <w:szCs w:val="24"/>
        </w:rPr>
        <w:t xml:space="preserve">, and better ensures that rates are “just and </w:t>
      </w:r>
      <w:r w:rsidR="00980E18">
        <w:rPr>
          <w:rFonts w:ascii="Georgia" w:hAnsi="Georgia"/>
          <w:sz w:val="24"/>
          <w:szCs w:val="24"/>
        </w:rPr>
        <w:t>reasonable</w:t>
      </w:r>
      <w:r w:rsidR="00464A0F">
        <w:rPr>
          <w:rFonts w:ascii="Georgia" w:hAnsi="Georgia"/>
          <w:sz w:val="24"/>
          <w:szCs w:val="24"/>
        </w:rPr>
        <w:t>.”</w:t>
      </w:r>
    </w:p>
    <w:p w14:paraId="60FE6461" w14:textId="77777777" w:rsidR="00A30DC9" w:rsidRPr="00A30DC9" w:rsidRDefault="00A30DC9" w:rsidP="00A30DC9">
      <w:pPr>
        <w:rPr>
          <w:rFonts w:ascii="Georgia" w:hAnsi="Georgia"/>
          <w:sz w:val="24"/>
          <w:szCs w:val="24"/>
        </w:rPr>
      </w:pPr>
    </w:p>
    <w:p w14:paraId="1FBEC02B" w14:textId="019A12F8" w:rsidR="000C783B" w:rsidRPr="00B72585" w:rsidRDefault="00E91A6B" w:rsidP="001611AB">
      <w:pPr>
        <w:pStyle w:val="ListParagraph"/>
        <w:numPr>
          <w:ilvl w:val="0"/>
          <w:numId w:val="1"/>
        </w:numPr>
        <w:rPr>
          <w:rFonts w:ascii="Georgia" w:hAnsi="Georgia"/>
          <w:b/>
          <w:bCs/>
          <w:sz w:val="24"/>
          <w:szCs w:val="24"/>
        </w:rPr>
      </w:pPr>
      <w:r>
        <w:rPr>
          <w:rFonts w:ascii="Georgia" w:hAnsi="Georgia"/>
          <w:b/>
          <w:bCs/>
          <w:sz w:val="24"/>
          <w:szCs w:val="24"/>
        </w:rPr>
        <w:t>P</w:t>
      </w:r>
      <w:r w:rsidR="000610D9" w:rsidRPr="00B72585">
        <w:rPr>
          <w:rFonts w:ascii="Georgia" w:hAnsi="Georgia"/>
          <w:b/>
          <w:bCs/>
          <w:sz w:val="24"/>
          <w:szCs w:val="24"/>
        </w:rPr>
        <w:t xml:space="preserve">ublic </w:t>
      </w:r>
      <w:r w:rsidRPr="00B72585">
        <w:rPr>
          <w:rFonts w:ascii="Georgia" w:hAnsi="Georgia"/>
          <w:b/>
          <w:bCs/>
          <w:sz w:val="24"/>
          <w:szCs w:val="24"/>
        </w:rPr>
        <w:t>ownership</w:t>
      </w:r>
      <w:r w:rsidR="000610D9" w:rsidRPr="00B72585">
        <w:rPr>
          <w:rFonts w:ascii="Georgia" w:hAnsi="Georgia"/>
          <w:b/>
          <w:bCs/>
          <w:sz w:val="24"/>
          <w:szCs w:val="24"/>
        </w:rPr>
        <w:t xml:space="preserve"> of transmission</w:t>
      </w:r>
      <w:r>
        <w:rPr>
          <w:rFonts w:ascii="Georgia" w:hAnsi="Georgia"/>
          <w:b/>
          <w:bCs/>
          <w:sz w:val="24"/>
          <w:szCs w:val="24"/>
        </w:rPr>
        <w:t xml:space="preserve"> can</w:t>
      </w:r>
      <w:r w:rsidR="000610D9" w:rsidRPr="00B72585">
        <w:rPr>
          <w:rFonts w:ascii="Georgia" w:hAnsi="Georgia"/>
          <w:b/>
          <w:bCs/>
          <w:sz w:val="24"/>
          <w:szCs w:val="24"/>
        </w:rPr>
        <w:t xml:space="preserve"> </w:t>
      </w:r>
      <w:r w:rsidR="00CF4F1B" w:rsidRPr="00B72585">
        <w:rPr>
          <w:rFonts w:ascii="Georgia" w:hAnsi="Georgia"/>
          <w:b/>
          <w:bCs/>
          <w:sz w:val="24"/>
          <w:szCs w:val="24"/>
        </w:rPr>
        <w:t>mollif</w:t>
      </w:r>
      <w:r>
        <w:rPr>
          <w:rFonts w:ascii="Georgia" w:hAnsi="Georgia"/>
          <w:b/>
          <w:bCs/>
          <w:sz w:val="24"/>
          <w:szCs w:val="24"/>
        </w:rPr>
        <w:t>y</w:t>
      </w:r>
      <w:r w:rsidR="00CF4F1B" w:rsidRPr="00B72585">
        <w:rPr>
          <w:rFonts w:ascii="Georgia" w:hAnsi="Georgia"/>
          <w:b/>
          <w:bCs/>
          <w:sz w:val="24"/>
          <w:szCs w:val="24"/>
        </w:rPr>
        <w:t xml:space="preserve"> the need for R</w:t>
      </w:r>
      <w:r w:rsidR="004A1621" w:rsidRPr="00B72585">
        <w:rPr>
          <w:rFonts w:ascii="Georgia" w:hAnsi="Georgia"/>
          <w:b/>
          <w:bCs/>
          <w:sz w:val="24"/>
          <w:szCs w:val="24"/>
        </w:rPr>
        <w:t xml:space="preserve">OE </w:t>
      </w:r>
      <w:proofErr w:type="gramStart"/>
      <w:r w:rsidR="004A1621" w:rsidRPr="00B72585">
        <w:rPr>
          <w:rFonts w:ascii="Georgia" w:hAnsi="Georgia"/>
          <w:b/>
          <w:bCs/>
          <w:sz w:val="24"/>
          <w:szCs w:val="24"/>
        </w:rPr>
        <w:t>adders</w:t>
      </w:r>
      <w:proofErr w:type="gramEnd"/>
    </w:p>
    <w:p w14:paraId="2AEC5D2F" w14:textId="17A7E95B" w:rsidR="004A1621" w:rsidRDefault="004A1621" w:rsidP="004A1621">
      <w:pPr>
        <w:rPr>
          <w:rFonts w:ascii="Georgia" w:hAnsi="Georgia"/>
          <w:sz w:val="24"/>
          <w:szCs w:val="24"/>
        </w:rPr>
      </w:pPr>
    </w:p>
    <w:p w14:paraId="1FB00D72" w14:textId="27D8A468" w:rsidR="004A1621" w:rsidRPr="004A1621" w:rsidRDefault="004A1621" w:rsidP="00D25ED4">
      <w:pPr>
        <w:spacing w:line="360" w:lineRule="auto"/>
        <w:ind w:firstLine="360"/>
        <w:rPr>
          <w:rFonts w:ascii="Georgia" w:hAnsi="Georgia"/>
          <w:sz w:val="24"/>
          <w:szCs w:val="24"/>
        </w:rPr>
      </w:pPr>
      <w:r>
        <w:rPr>
          <w:rFonts w:ascii="Georgia" w:hAnsi="Georgia"/>
          <w:sz w:val="24"/>
          <w:szCs w:val="24"/>
        </w:rPr>
        <w:t>The Commission’s assumption that transmission development and participation in RTOs requires an investor-owned</w:t>
      </w:r>
      <w:r w:rsidR="00D56D11">
        <w:rPr>
          <w:rFonts w:ascii="Georgia" w:hAnsi="Georgia"/>
          <w:sz w:val="24"/>
          <w:szCs w:val="24"/>
        </w:rPr>
        <w:t xml:space="preserve"> financing model ignores the significant benefits that can </w:t>
      </w:r>
      <w:r w:rsidR="00F73DFE">
        <w:rPr>
          <w:rFonts w:ascii="Georgia" w:hAnsi="Georgia"/>
          <w:sz w:val="24"/>
          <w:szCs w:val="24"/>
        </w:rPr>
        <w:t>accrue</w:t>
      </w:r>
      <w:r w:rsidR="00D56D11">
        <w:rPr>
          <w:rFonts w:ascii="Georgia" w:hAnsi="Georgia"/>
          <w:sz w:val="24"/>
          <w:szCs w:val="24"/>
        </w:rPr>
        <w:t xml:space="preserve"> to consumers when such projects are publicly-owned. Among other benefits, a publicly-owned transmission system </w:t>
      </w:r>
      <w:r w:rsidR="007C4D14">
        <w:rPr>
          <w:rFonts w:ascii="Georgia" w:hAnsi="Georgia"/>
          <w:sz w:val="24"/>
          <w:szCs w:val="24"/>
        </w:rPr>
        <w:t xml:space="preserve">negates the need for any ROE adder. Therefore, as </w:t>
      </w:r>
      <w:r w:rsidR="00005999">
        <w:rPr>
          <w:rFonts w:ascii="Georgia" w:hAnsi="Georgia"/>
          <w:sz w:val="24"/>
          <w:szCs w:val="24"/>
        </w:rPr>
        <w:t>the Commission seeks “</w:t>
      </w:r>
      <w:r w:rsidR="00005999" w:rsidRPr="008F32C6">
        <w:rPr>
          <w:rFonts w:ascii="Georgia" w:hAnsi="Georgia"/>
          <w:sz w:val="24"/>
          <w:szCs w:val="24"/>
        </w:rPr>
        <w:t>alternative, non-ROE incentives</w:t>
      </w:r>
      <w:r w:rsidR="00005999">
        <w:rPr>
          <w:rFonts w:ascii="Georgia" w:hAnsi="Georgia"/>
          <w:sz w:val="24"/>
          <w:szCs w:val="24"/>
        </w:rPr>
        <w:t>,” it should consider efforts to encourage public transmission ownership.</w:t>
      </w:r>
    </w:p>
    <w:p w14:paraId="4D4EF07B" w14:textId="77777777" w:rsidR="000C783B" w:rsidRDefault="000C783B" w:rsidP="000C783B">
      <w:pPr>
        <w:pStyle w:val="ListParagraph"/>
        <w:rPr>
          <w:rFonts w:ascii="Georgia" w:hAnsi="Georgia"/>
          <w:sz w:val="24"/>
          <w:szCs w:val="24"/>
        </w:rPr>
      </w:pPr>
    </w:p>
    <w:p w14:paraId="306F1B5C" w14:textId="16126225" w:rsidR="00A55CDE" w:rsidRPr="00E91A6B" w:rsidRDefault="00DC6CF9" w:rsidP="001611AB">
      <w:pPr>
        <w:pStyle w:val="ListParagraph"/>
        <w:numPr>
          <w:ilvl w:val="0"/>
          <w:numId w:val="1"/>
        </w:numPr>
        <w:rPr>
          <w:rFonts w:ascii="Georgia" w:hAnsi="Georgia"/>
          <w:b/>
          <w:bCs/>
          <w:sz w:val="24"/>
          <w:szCs w:val="24"/>
        </w:rPr>
      </w:pPr>
      <w:r>
        <w:rPr>
          <w:rFonts w:ascii="Georgia" w:hAnsi="Georgia"/>
          <w:b/>
          <w:bCs/>
          <w:sz w:val="24"/>
          <w:szCs w:val="24"/>
        </w:rPr>
        <w:t>T</w:t>
      </w:r>
      <w:r w:rsidR="00FF778F" w:rsidRPr="00E91A6B">
        <w:rPr>
          <w:rFonts w:ascii="Georgia" w:hAnsi="Georgia"/>
          <w:b/>
          <w:bCs/>
          <w:sz w:val="24"/>
          <w:szCs w:val="24"/>
        </w:rPr>
        <w:t>he Commission</w:t>
      </w:r>
      <w:r w:rsidR="00464A0F" w:rsidRPr="00E91A6B">
        <w:rPr>
          <w:rFonts w:ascii="Georgia" w:hAnsi="Georgia"/>
          <w:b/>
          <w:bCs/>
          <w:sz w:val="24"/>
          <w:szCs w:val="24"/>
        </w:rPr>
        <w:t xml:space="preserve"> should </w:t>
      </w:r>
      <w:r w:rsidR="00C625CB">
        <w:rPr>
          <w:rFonts w:ascii="Georgia" w:hAnsi="Georgia"/>
          <w:b/>
          <w:bCs/>
          <w:sz w:val="24"/>
          <w:szCs w:val="24"/>
        </w:rPr>
        <w:t>include</w:t>
      </w:r>
      <w:r w:rsidR="00464A0F" w:rsidRPr="00E91A6B">
        <w:rPr>
          <w:rFonts w:ascii="Georgia" w:hAnsi="Georgia"/>
          <w:b/>
          <w:bCs/>
          <w:sz w:val="24"/>
          <w:szCs w:val="24"/>
        </w:rPr>
        <w:t xml:space="preserve"> </w:t>
      </w:r>
      <w:r w:rsidR="00913BE4" w:rsidRPr="00E91A6B">
        <w:rPr>
          <w:rFonts w:ascii="Georgia" w:hAnsi="Georgia"/>
          <w:b/>
          <w:bCs/>
          <w:sz w:val="24"/>
          <w:szCs w:val="24"/>
        </w:rPr>
        <w:t>public reporting detail</w:t>
      </w:r>
      <w:r w:rsidR="00F73DFE">
        <w:rPr>
          <w:rFonts w:ascii="Georgia" w:hAnsi="Georgia"/>
          <w:b/>
          <w:bCs/>
          <w:sz w:val="24"/>
          <w:szCs w:val="24"/>
        </w:rPr>
        <w:t>ing</w:t>
      </w:r>
      <w:r w:rsidR="00913BE4" w:rsidRPr="00E91A6B">
        <w:rPr>
          <w:rFonts w:ascii="Georgia" w:hAnsi="Georgia"/>
          <w:b/>
          <w:bCs/>
          <w:sz w:val="24"/>
          <w:szCs w:val="24"/>
        </w:rPr>
        <w:t xml:space="preserve"> </w:t>
      </w:r>
      <w:r w:rsidR="00F73DFE">
        <w:rPr>
          <w:rFonts w:ascii="Georgia" w:hAnsi="Georgia"/>
          <w:b/>
          <w:bCs/>
          <w:sz w:val="24"/>
          <w:szCs w:val="24"/>
        </w:rPr>
        <w:t>how much consumers are charged for the ROE adder</w:t>
      </w:r>
      <w:r w:rsidR="00A55CDE" w:rsidRPr="00E91A6B">
        <w:rPr>
          <w:rFonts w:ascii="Georgia" w:hAnsi="Georgia"/>
          <w:b/>
          <w:bCs/>
          <w:sz w:val="24"/>
          <w:szCs w:val="24"/>
        </w:rPr>
        <w:t>, by utility recipient.</w:t>
      </w:r>
    </w:p>
    <w:p w14:paraId="1727B3CC" w14:textId="77777777" w:rsidR="00A55CDE" w:rsidRDefault="00A55CDE" w:rsidP="00A55CDE">
      <w:pPr>
        <w:pStyle w:val="ListParagraph"/>
        <w:rPr>
          <w:rFonts w:ascii="Georgia" w:hAnsi="Georgia"/>
          <w:sz w:val="24"/>
          <w:szCs w:val="24"/>
        </w:rPr>
      </w:pPr>
    </w:p>
    <w:p w14:paraId="1C077AD1" w14:textId="03191D03" w:rsidR="00C41D7F" w:rsidRDefault="00434BCD" w:rsidP="00D25ED4">
      <w:pPr>
        <w:spacing w:line="360" w:lineRule="auto"/>
        <w:ind w:firstLine="360"/>
        <w:rPr>
          <w:rFonts w:ascii="Georgia" w:hAnsi="Georgia"/>
          <w:sz w:val="24"/>
          <w:szCs w:val="24"/>
        </w:rPr>
      </w:pPr>
      <w:r w:rsidRPr="00A55CDE">
        <w:rPr>
          <w:rFonts w:ascii="Georgia" w:hAnsi="Georgia"/>
          <w:sz w:val="24"/>
          <w:szCs w:val="24"/>
        </w:rPr>
        <w:t xml:space="preserve">The commission should provide an annual report </w:t>
      </w:r>
      <w:r w:rsidR="00244023" w:rsidRPr="00A55CDE">
        <w:rPr>
          <w:rFonts w:ascii="Georgia" w:hAnsi="Georgia"/>
          <w:sz w:val="24"/>
          <w:szCs w:val="24"/>
        </w:rPr>
        <w:t xml:space="preserve">detailing the total amount charged by </w:t>
      </w:r>
      <w:r w:rsidR="000E2F6E" w:rsidRPr="00A55CDE">
        <w:rPr>
          <w:rFonts w:ascii="Georgia" w:hAnsi="Georgia"/>
          <w:sz w:val="24"/>
          <w:szCs w:val="24"/>
        </w:rPr>
        <w:t xml:space="preserve">each </w:t>
      </w:r>
      <w:r w:rsidR="00244023" w:rsidRPr="00A55CDE">
        <w:rPr>
          <w:rFonts w:ascii="Georgia" w:hAnsi="Georgia"/>
          <w:sz w:val="24"/>
          <w:szCs w:val="24"/>
        </w:rPr>
        <w:t>utilit</w:t>
      </w:r>
      <w:r w:rsidR="000E2F6E" w:rsidRPr="00A55CDE">
        <w:rPr>
          <w:rFonts w:ascii="Georgia" w:hAnsi="Georgia"/>
          <w:sz w:val="24"/>
          <w:szCs w:val="24"/>
        </w:rPr>
        <w:t>y</w:t>
      </w:r>
      <w:r w:rsidR="00244023" w:rsidRPr="00A55CDE">
        <w:rPr>
          <w:rFonts w:ascii="Georgia" w:hAnsi="Georgia"/>
          <w:sz w:val="24"/>
          <w:szCs w:val="24"/>
        </w:rPr>
        <w:t xml:space="preserve"> under</w:t>
      </w:r>
      <w:r w:rsidR="000E2F6E" w:rsidRPr="00A55CDE">
        <w:rPr>
          <w:rFonts w:ascii="Georgia" w:hAnsi="Georgia"/>
          <w:sz w:val="24"/>
          <w:szCs w:val="24"/>
        </w:rPr>
        <w:t xml:space="preserve"> the ROE adder policy</w:t>
      </w:r>
      <w:r w:rsidR="0039652F" w:rsidRPr="00A55CDE">
        <w:rPr>
          <w:rFonts w:ascii="Georgia" w:hAnsi="Georgia"/>
          <w:sz w:val="24"/>
          <w:szCs w:val="24"/>
        </w:rPr>
        <w:t xml:space="preserve">. </w:t>
      </w:r>
      <w:r w:rsidR="002F6A01" w:rsidRPr="00A55CDE">
        <w:rPr>
          <w:rFonts w:ascii="Georgia" w:hAnsi="Georgia"/>
          <w:sz w:val="24"/>
          <w:szCs w:val="24"/>
        </w:rPr>
        <w:t xml:space="preserve">Surprisingly, it does not appear that the Commission currently </w:t>
      </w:r>
      <w:r w:rsidR="00CA6297" w:rsidRPr="00A55CDE">
        <w:rPr>
          <w:rFonts w:ascii="Georgia" w:hAnsi="Georgia"/>
          <w:sz w:val="24"/>
          <w:szCs w:val="24"/>
        </w:rPr>
        <w:t>has any comprehensive information, as t</w:t>
      </w:r>
      <w:r w:rsidR="0039652F" w:rsidRPr="00A55CDE">
        <w:rPr>
          <w:rFonts w:ascii="Georgia" w:hAnsi="Georgia"/>
          <w:sz w:val="24"/>
          <w:szCs w:val="24"/>
        </w:rPr>
        <w:t xml:space="preserve">he proposed rule </w:t>
      </w:r>
      <w:r w:rsidR="009465C2" w:rsidRPr="00A55CDE">
        <w:rPr>
          <w:rFonts w:ascii="Georgia" w:hAnsi="Georgia"/>
          <w:sz w:val="24"/>
          <w:szCs w:val="24"/>
        </w:rPr>
        <w:t>simply</w:t>
      </w:r>
      <w:r w:rsidR="001611AB" w:rsidRPr="00A55CDE">
        <w:rPr>
          <w:rFonts w:ascii="Georgia" w:hAnsi="Georgia"/>
          <w:sz w:val="24"/>
          <w:szCs w:val="24"/>
        </w:rPr>
        <w:t xml:space="preserve"> </w:t>
      </w:r>
      <w:r w:rsidR="009465C2" w:rsidRPr="00A55CDE">
        <w:rPr>
          <w:rFonts w:ascii="Georgia" w:hAnsi="Georgia"/>
          <w:sz w:val="24"/>
          <w:szCs w:val="24"/>
        </w:rPr>
        <w:t>“</w:t>
      </w:r>
      <w:r w:rsidR="001611AB" w:rsidRPr="00A55CDE">
        <w:rPr>
          <w:rFonts w:ascii="Georgia" w:hAnsi="Georgia"/>
          <w:sz w:val="24"/>
          <w:szCs w:val="24"/>
        </w:rPr>
        <w:t>estimates that no</w:t>
      </w:r>
      <w:r w:rsidR="009465C2" w:rsidRPr="00A55CDE">
        <w:rPr>
          <w:rFonts w:ascii="Georgia" w:hAnsi="Georgia"/>
          <w:sz w:val="24"/>
          <w:szCs w:val="24"/>
        </w:rPr>
        <w:t xml:space="preserve"> </w:t>
      </w:r>
      <w:r w:rsidR="001611AB" w:rsidRPr="00A55CDE">
        <w:rPr>
          <w:rFonts w:ascii="Georgia" w:hAnsi="Georgia"/>
          <w:sz w:val="24"/>
          <w:szCs w:val="24"/>
        </w:rPr>
        <w:t>more than 190 transmitting utilities</w:t>
      </w:r>
      <w:r w:rsidR="009465C2" w:rsidRPr="00A55CDE">
        <w:rPr>
          <w:rFonts w:ascii="Georgia" w:hAnsi="Georgia"/>
          <w:sz w:val="24"/>
          <w:szCs w:val="24"/>
        </w:rPr>
        <w:t xml:space="preserve"> </w:t>
      </w:r>
      <w:r w:rsidR="001611AB" w:rsidRPr="00A55CDE">
        <w:rPr>
          <w:rFonts w:ascii="Georgia" w:hAnsi="Georgia"/>
          <w:sz w:val="24"/>
          <w:szCs w:val="24"/>
        </w:rPr>
        <w:t>currently receive a 50-basis-point ROE</w:t>
      </w:r>
      <w:r w:rsidR="009465C2" w:rsidRPr="00A55CDE">
        <w:rPr>
          <w:rFonts w:ascii="Georgia" w:hAnsi="Georgia"/>
          <w:sz w:val="24"/>
          <w:szCs w:val="24"/>
        </w:rPr>
        <w:t>.</w:t>
      </w:r>
      <w:r w:rsidR="00F232DB" w:rsidRPr="00A55CDE">
        <w:rPr>
          <w:rFonts w:ascii="Georgia" w:hAnsi="Georgia"/>
          <w:sz w:val="24"/>
          <w:szCs w:val="24"/>
        </w:rPr>
        <w:t>”</w:t>
      </w:r>
      <w:r w:rsidR="009465C2">
        <w:rPr>
          <w:rStyle w:val="FootnoteReference"/>
          <w:rFonts w:ascii="Georgia" w:hAnsi="Georgia"/>
          <w:sz w:val="24"/>
          <w:szCs w:val="24"/>
        </w:rPr>
        <w:footnoteReference w:id="7"/>
      </w:r>
      <w:r w:rsidR="00CB5357" w:rsidRPr="00A55CDE">
        <w:rPr>
          <w:rFonts w:ascii="Georgia" w:hAnsi="Georgia"/>
          <w:sz w:val="24"/>
          <w:szCs w:val="24"/>
        </w:rPr>
        <w:t xml:space="preserve"> Adam Pollock</w:t>
      </w:r>
      <w:r w:rsidR="00296513" w:rsidRPr="00A55CDE">
        <w:rPr>
          <w:rFonts w:ascii="Georgia" w:hAnsi="Georgia"/>
          <w:sz w:val="24"/>
          <w:szCs w:val="24"/>
        </w:rPr>
        <w:t xml:space="preserve"> with </w:t>
      </w:r>
      <w:r w:rsidR="00296513" w:rsidRPr="00A55CDE">
        <w:rPr>
          <w:rFonts w:ascii="Georgia" w:hAnsi="Georgia"/>
          <w:sz w:val="24"/>
          <w:szCs w:val="24"/>
        </w:rPr>
        <w:t>the Office of Energy Market Regulation</w:t>
      </w:r>
      <w:r w:rsidR="00296513" w:rsidRPr="00A55CDE">
        <w:rPr>
          <w:rFonts w:ascii="Georgia" w:hAnsi="Georgia"/>
          <w:sz w:val="24"/>
          <w:szCs w:val="24"/>
        </w:rPr>
        <w:t xml:space="preserve"> at FERC </w:t>
      </w:r>
      <w:r w:rsidR="00A55CDE">
        <w:rPr>
          <w:rFonts w:ascii="Georgia" w:hAnsi="Georgia"/>
          <w:sz w:val="24"/>
          <w:szCs w:val="24"/>
        </w:rPr>
        <w:t>provides</w:t>
      </w:r>
      <w:r w:rsidR="00920FA6">
        <w:rPr>
          <w:rFonts w:ascii="Georgia" w:hAnsi="Georgia"/>
          <w:sz w:val="24"/>
          <w:szCs w:val="24"/>
        </w:rPr>
        <w:t xml:space="preserve"> an approximation</w:t>
      </w:r>
      <w:r w:rsidR="00920FA6" w:rsidRPr="00A55CDE">
        <w:rPr>
          <w:rFonts w:ascii="Georgia" w:hAnsi="Georgia"/>
          <w:sz w:val="24"/>
          <w:szCs w:val="24"/>
        </w:rPr>
        <w:t xml:space="preserve"> </w:t>
      </w:r>
      <w:r w:rsidR="00296513" w:rsidRPr="00A55CDE">
        <w:rPr>
          <w:rFonts w:ascii="Georgia" w:hAnsi="Georgia"/>
          <w:sz w:val="24"/>
          <w:szCs w:val="24"/>
        </w:rPr>
        <w:t xml:space="preserve">that </w:t>
      </w:r>
      <w:r w:rsidR="00920FA6">
        <w:rPr>
          <w:rFonts w:ascii="Georgia" w:hAnsi="Georgia"/>
          <w:sz w:val="24"/>
          <w:szCs w:val="24"/>
        </w:rPr>
        <w:t>the NOPR</w:t>
      </w:r>
      <w:r w:rsidR="00544171" w:rsidRPr="00A55CDE">
        <w:rPr>
          <w:rFonts w:ascii="Georgia" w:hAnsi="Georgia"/>
          <w:sz w:val="24"/>
          <w:szCs w:val="24"/>
        </w:rPr>
        <w:t xml:space="preserve"> will save consumers $350 million a year</w:t>
      </w:r>
      <w:r w:rsidR="00A47484">
        <w:rPr>
          <w:rFonts w:ascii="Georgia" w:hAnsi="Georgia"/>
          <w:sz w:val="24"/>
          <w:szCs w:val="24"/>
        </w:rPr>
        <w:t>,</w:t>
      </w:r>
      <w:r w:rsidR="00471A3D">
        <w:rPr>
          <w:rStyle w:val="FootnoteReference"/>
          <w:rFonts w:ascii="Georgia" w:hAnsi="Georgia"/>
          <w:sz w:val="24"/>
          <w:szCs w:val="24"/>
        </w:rPr>
        <w:footnoteReference w:id="8"/>
      </w:r>
      <w:r w:rsidR="00A47484">
        <w:rPr>
          <w:rFonts w:ascii="Georgia" w:hAnsi="Georgia"/>
          <w:sz w:val="24"/>
          <w:szCs w:val="24"/>
        </w:rPr>
        <w:t xml:space="preserve"> but the Commission does not appear to have a firm number, or utility-specific figures.</w:t>
      </w:r>
      <w:r w:rsidR="00471A3D" w:rsidRPr="00A55CDE">
        <w:rPr>
          <w:rFonts w:ascii="Georgia" w:hAnsi="Georgia"/>
          <w:sz w:val="24"/>
          <w:szCs w:val="24"/>
        </w:rPr>
        <w:t xml:space="preserve"> </w:t>
      </w:r>
      <w:r w:rsidR="00121CAE" w:rsidRPr="00A55CDE">
        <w:rPr>
          <w:rFonts w:ascii="Georgia" w:hAnsi="Georgia"/>
          <w:sz w:val="24"/>
          <w:szCs w:val="24"/>
        </w:rPr>
        <w:t xml:space="preserve">A reporting requirement by utility </w:t>
      </w:r>
      <w:r w:rsidR="004F6C37" w:rsidRPr="00A55CDE">
        <w:rPr>
          <w:rFonts w:ascii="Georgia" w:hAnsi="Georgia"/>
          <w:sz w:val="24"/>
          <w:szCs w:val="24"/>
        </w:rPr>
        <w:t>of the amount recovered from ratepayers under the RTO adder will provide</w:t>
      </w:r>
      <w:r w:rsidR="00121CAE" w:rsidRPr="00A55CDE">
        <w:rPr>
          <w:rFonts w:ascii="Georgia" w:hAnsi="Georgia"/>
          <w:sz w:val="24"/>
          <w:szCs w:val="24"/>
        </w:rPr>
        <w:t xml:space="preserve"> transparency and</w:t>
      </w:r>
      <w:r w:rsidR="004F6C37" w:rsidRPr="00A55CDE">
        <w:rPr>
          <w:rFonts w:ascii="Georgia" w:hAnsi="Georgia"/>
          <w:sz w:val="24"/>
          <w:szCs w:val="24"/>
        </w:rPr>
        <w:t xml:space="preserve"> help ensure just and reasonable rates</w:t>
      </w:r>
      <w:r w:rsidR="0079506D">
        <w:rPr>
          <w:rFonts w:ascii="Georgia" w:hAnsi="Georgia"/>
          <w:sz w:val="24"/>
          <w:szCs w:val="24"/>
        </w:rPr>
        <w:t xml:space="preserve">, and will </w:t>
      </w:r>
      <w:r w:rsidR="0079506D">
        <w:rPr>
          <w:rFonts w:ascii="Georgia" w:hAnsi="Georgia"/>
          <w:sz w:val="24"/>
          <w:szCs w:val="24"/>
        </w:rPr>
        <w:lastRenderedPageBreak/>
        <w:t xml:space="preserve">relieve the Commission from having to </w:t>
      </w:r>
      <w:r w:rsidR="00A86500">
        <w:rPr>
          <w:rFonts w:ascii="Georgia" w:hAnsi="Georgia"/>
          <w:sz w:val="24"/>
          <w:szCs w:val="24"/>
        </w:rPr>
        <w:t>estimate the value of the subsidy</w:t>
      </w:r>
      <w:r w:rsidR="006F510E">
        <w:rPr>
          <w:rFonts w:ascii="Cambria" w:hAnsi="Cambria"/>
          <w:sz w:val="24"/>
          <w:szCs w:val="24"/>
        </w:rPr>
        <w:t xml:space="preserve">, since </w:t>
      </w:r>
      <w:r w:rsidR="00A86500">
        <w:rPr>
          <w:rFonts w:ascii="Georgia" w:hAnsi="Georgia"/>
          <w:sz w:val="24"/>
          <w:szCs w:val="24"/>
        </w:rPr>
        <w:t>recipients will disclose exact amounts</w:t>
      </w:r>
      <w:r w:rsidR="004F6C37" w:rsidRPr="00A55CDE">
        <w:rPr>
          <w:rFonts w:ascii="Georgia" w:hAnsi="Georgia"/>
          <w:sz w:val="24"/>
          <w:szCs w:val="24"/>
        </w:rPr>
        <w:t>.</w:t>
      </w:r>
    </w:p>
    <w:p w14:paraId="382EB53B" w14:textId="72EB59EB" w:rsidR="00F7779E" w:rsidRDefault="00F7779E" w:rsidP="00A55CDE">
      <w:pPr>
        <w:ind w:left="360"/>
        <w:rPr>
          <w:rFonts w:ascii="Georgia" w:hAnsi="Georgia"/>
          <w:sz w:val="24"/>
          <w:szCs w:val="24"/>
        </w:rPr>
      </w:pPr>
    </w:p>
    <w:p w14:paraId="49E58322" w14:textId="7888B392" w:rsidR="00F7779E" w:rsidRPr="00C625CB" w:rsidRDefault="00E115C0" w:rsidP="00F7779E">
      <w:pPr>
        <w:pStyle w:val="ListParagraph"/>
        <w:numPr>
          <w:ilvl w:val="0"/>
          <w:numId w:val="1"/>
        </w:numPr>
        <w:rPr>
          <w:rFonts w:ascii="Georgia" w:hAnsi="Georgia"/>
          <w:b/>
          <w:bCs/>
          <w:sz w:val="24"/>
          <w:szCs w:val="24"/>
        </w:rPr>
      </w:pPr>
      <w:r w:rsidRPr="00C625CB">
        <w:rPr>
          <w:rFonts w:ascii="Georgia" w:hAnsi="Georgia"/>
          <w:b/>
          <w:bCs/>
          <w:sz w:val="24"/>
          <w:szCs w:val="24"/>
        </w:rPr>
        <w:t xml:space="preserve">Any </w:t>
      </w:r>
      <w:r w:rsidR="00F7779E" w:rsidRPr="00C625CB">
        <w:rPr>
          <w:rFonts w:ascii="Georgia" w:hAnsi="Georgia"/>
          <w:b/>
          <w:bCs/>
          <w:sz w:val="24"/>
          <w:szCs w:val="24"/>
        </w:rPr>
        <w:t>ROE adders</w:t>
      </w:r>
      <w:r w:rsidRPr="00C625CB">
        <w:rPr>
          <w:rFonts w:ascii="Georgia" w:hAnsi="Georgia"/>
          <w:b/>
          <w:bCs/>
          <w:sz w:val="24"/>
          <w:szCs w:val="24"/>
        </w:rPr>
        <w:t xml:space="preserve"> </w:t>
      </w:r>
      <w:r w:rsidR="00F7779E" w:rsidRPr="00C625CB">
        <w:rPr>
          <w:rFonts w:ascii="Georgia" w:hAnsi="Georgia"/>
          <w:b/>
          <w:bCs/>
          <w:sz w:val="24"/>
          <w:szCs w:val="24"/>
        </w:rPr>
        <w:t>should be</w:t>
      </w:r>
      <w:r w:rsidR="00E00902" w:rsidRPr="00C625CB">
        <w:rPr>
          <w:rFonts w:ascii="Georgia" w:hAnsi="Georgia"/>
          <w:b/>
          <w:bCs/>
          <w:sz w:val="24"/>
          <w:szCs w:val="24"/>
        </w:rPr>
        <w:t xml:space="preserve"> eliminated if the transmission owner engages in significant corporate restructuring or a sale during the three year period.</w:t>
      </w:r>
    </w:p>
    <w:p w14:paraId="7E65868E" w14:textId="17E7FB56" w:rsidR="000D0886" w:rsidRDefault="000D0886" w:rsidP="002A27A5">
      <w:pPr>
        <w:rPr>
          <w:rFonts w:ascii="Georgia" w:hAnsi="Georgia"/>
          <w:sz w:val="24"/>
          <w:szCs w:val="24"/>
        </w:rPr>
      </w:pPr>
    </w:p>
    <w:p w14:paraId="39A1CE8F" w14:textId="28D82FE7" w:rsidR="000D0886" w:rsidRDefault="00E00902" w:rsidP="00D25ED4">
      <w:pPr>
        <w:spacing w:line="360" w:lineRule="auto"/>
        <w:ind w:firstLine="360"/>
        <w:rPr>
          <w:rFonts w:ascii="Georgia" w:hAnsi="Georgia"/>
          <w:sz w:val="24"/>
          <w:szCs w:val="24"/>
        </w:rPr>
      </w:pPr>
      <w:r>
        <w:rPr>
          <w:rFonts w:ascii="Georgia" w:hAnsi="Georgia"/>
          <w:sz w:val="24"/>
          <w:szCs w:val="24"/>
        </w:rPr>
        <w:t>The NOPR asks “</w:t>
      </w:r>
      <w:r w:rsidR="000D0886" w:rsidRPr="000D0886">
        <w:rPr>
          <w:rFonts w:ascii="Georgia" w:hAnsi="Georgia"/>
          <w:sz w:val="24"/>
          <w:szCs w:val="24"/>
        </w:rPr>
        <w:t>what restrictions the Commission</w:t>
      </w:r>
      <w:r>
        <w:rPr>
          <w:rFonts w:ascii="Georgia" w:hAnsi="Georgia"/>
          <w:sz w:val="24"/>
          <w:szCs w:val="24"/>
        </w:rPr>
        <w:t xml:space="preserve"> </w:t>
      </w:r>
      <w:r w:rsidR="000D0886" w:rsidRPr="000D0886">
        <w:rPr>
          <w:rFonts w:ascii="Georgia" w:hAnsi="Georgia"/>
          <w:sz w:val="24"/>
          <w:szCs w:val="24"/>
        </w:rPr>
        <w:t>should impose on incentive eligibility</w:t>
      </w:r>
      <w:r>
        <w:rPr>
          <w:rFonts w:ascii="Georgia" w:hAnsi="Georgia"/>
          <w:sz w:val="24"/>
          <w:szCs w:val="24"/>
        </w:rPr>
        <w:t xml:space="preserve"> </w:t>
      </w:r>
      <w:r w:rsidR="000D0886" w:rsidRPr="000D0886">
        <w:rPr>
          <w:rFonts w:ascii="Georgia" w:hAnsi="Georgia"/>
          <w:sz w:val="24"/>
          <w:szCs w:val="24"/>
        </w:rPr>
        <w:t>based on sales/affiliate corporate</w:t>
      </w:r>
      <w:r>
        <w:rPr>
          <w:rFonts w:ascii="Georgia" w:hAnsi="Georgia"/>
          <w:sz w:val="24"/>
          <w:szCs w:val="24"/>
        </w:rPr>
        <w:t xml:space="preserve"> </w:t>
      </w:r>
      <w:r w:rsidR="000D0886" w:rsidRPr="000D0886">
        <w:rPr>
          <w:rFonts w:ascii="Georgia" w:hAnsi="Georgia"/>
          <w:sz w:val="24"/>
          <w:szCs w:val="24"/>
        </w:rPr>
        <w:t>restructurings</w:t>
      </w:r>
      <w:r>
        <w:rPr>
          <w:rFonts w:ascii="Georgia" w:hAnsi="Georgia"/>
          <w:sz w:val="24"/>
          <w:szCs w:val="24"/>
        </w:rPr>
        <w:t>.”</w:t>
      </w:r>
      <w:r w:rsidR="00F22BD3">
        <w:rPr>
          <w:rStyle w:val="FootnoteReference"/>
          <w:rFonts w:ascii="Georgia" w:hAnsi="Georgia"/>
          <w:sz w:val="24"/>
          <w:szCs w:val="24"/>
        </w:rPr>
        <w:footnoteReference w:id="9"/>
      </w:r>
      <w:r w:rsidR="00CC0E25">
        <w:rPr>
          <w:rFonts w:ascii="Georgia" w:hAnsi="Georgia"/>
          <w:sz w:val="24"/>
          <w:szCs w:val="24"/>
        </w:rPr>
        <w:t xml:space="preserve"> To prohibit the lucrative ROE adder from being exploited as a benefit to be extracted through a corporate restructuring</w:t>
      </w:r>
      <w:r w:rsidR="00B410AB">
        <w:rPr>
          <w:rFonts w:ascii="Georgia" w:hAnsi="Georgia"/>
          <w:sz w:val="24"/>
          <w:szCs w:val="24"/>
        </w:rPr>
        <w:t>, asset sale or merger, the Commission should immediately terminate it upon</w:t>
      </w:r>
      <w:r w:rsidR="0069184B">
        <w:rPr>
          <w:rFonts w:ascii="Georgia" w:hAnsi="Georgia"/>
          <w:sz w:val="24"/>
          <w:szCs w:val="24"/>
        </w:rPr>
        <w:t xml:space="preserve"> </w:t>
      </w:r>
      <w:r w:rsidR="002F4F87">
        <w:rPr>
          <w:rFonts w:ascii="Georgia" w:hAnsi="Georgia"/>
          <w:sz w:val="24"/>
          <w:szCs w:val="24"/>
        </w:rPr>
        <w:t>announcement</w:t>
      </w:r>
      <w:r w:rsidR="0069184B">
        <w:rPr>
          <w:rFonts w:ascii="Georgia" w:hAnsi="Georgia"/>
          <w:sz w:val="24"/>
          <w:szCs w:val="24"/>
        </w:rPr>
        <w:t xml:space="preserve"> of any significant sale or restructuring.</w:t>
      </w:r>
    </w:p>
    <w:p w14:paraId="2E0E7715" w14:textId="7BFB361E" w:rsidR="0069184B" w:rsidRDefault="0069184B" w:rsidP="00E00D32">
      <w:pPr>
        <w:ind w:firstLine="360"/>
        <w:rPr>
          <w:rFonts w:ascii="Georgia" w:hAnsi="Georgia"/>
          <w:sz w:val="24"/>
          <w:szCs w:val="24"/>
        </w:rPr>
      </w:pPr>
    </w:p>
    <w:p w14:paraId="6F5826C4" w14:textId="56E93294" w:rsidR="0069184B" w:rsidRPr="00C625CB" w:rsidRDefault="001B6B35" w:rsidP="0069184B">
      <w:pPr>
        <w:pStyle w:val="ListParagraph"/>
        <w:numPr>
          <w:ilvl w:val="0"/>
          <w:numId w:val="1"/>
        </w:numPr>
        <w:rPr>
          <w:rFonts w:ascii="Georgia" w:hAnsi="Georgia"/>
          <w:b/>
          <w:bCs/>
          <w:sz w:val="24"/>
          <w:szCs w:val="24"/>
        </w:rPr>
      </w:pPr>
      <w:r w:rsidRPr="00C625CB">
        <w:rPr>
          <w:rFonts w:ascii="Georgia" w:hAnsi="Georgia"/>
          <w:b/>
          <w:bCs/>
          <w:sz w:val="24"/>
          <w:szCs w:val="24"/>
        </w:rPr>
        <w:t>ROE adder</w:t>
      </w:r>
      <w:r w:rsidR="004F3C0A" w:rsidRPr="00C625CB">
        <w:rPr>
          <w:rFonts w:ascii="Georgia" w:hAnsi="Georgia"/>
          <w:b/>
          <w:bCs/>
          <w:sz w:val="24"/>
          <w:szCs w:val="24"/>
        </w:rPr>
        <w:t>s</w:t>
      </w:r>
      <w:r w:rsidRPr="00C625CB">
        <w:rPr>
          <w:rFonts w:ascii="Georgia" w:hAnsi="Georgia"/>
          <w:b/>
          <w:bCs/>
          <w:sz w:val="24"/>
          <w:szCs w:val="24"/>
        </w:rPr>
        <w:t xml:space="preserve"> should be disallowed if RTO participation is mandated</w:t>
      </w:r>
      <w:r w:rsidR="008F0EBB" w:rsidRPr="00C625CB">
        <w:rPr>
          <w:rFonts w:ascii="Georgia" w:hAnsi="Georgia"/>
          <w:b/>
          <w:bCs/>
          <w:sz w:val="24"/>
          <w:szCs w:val="24"/>
        </w:rPr>
        <w:t xml:space="preserve">. </w:t>
      </w:r>
    </w:p>
    <w:p w14:paraId="1344423D" w14:textId="55920A15" w:rsidR="008F0EBB" w:rsidRDefault="008F0EBB" w:rsidP="008F0EBB">
      <w:pPr>
        <w:rPr>
          <w:rFonts w:ascii="Georgia" w:hAnsi="Georgia"/>
          <w:sz w:val="24"/>
          <w:szCs w:val="24"/>
        </w:rPr>
      </w:pPr>
    </w:p>
    <w:p w14:paraId="093DE627" w14:textId="7C710762" w:rsidR="00CB6FBD" w:rsidRPr="002D1953" w:rsidRDefault="00CB6FBD" w:rsidP="00837777">
      <w:pPr>
        <w:spacing w:line="360" w:lineRule="auto"/>
        <w:ind w:firstLine="360"/>
        <w:rPr>
          <w:rFonts w:ascii="Georgia" w:hAnsi="Georgia"/>
          <w:sz w:val="24"/>
          <w:szCs w:val="24"/>
        </w:rPr>
      </w:pPr>
      <w:r>
        <w:rPr>
          <w:rFonts w:ascii="Georgia" w:hAnsi="Georgia"/>
          <w:sz w:val="24"/>
          <w:szCs w:val="24"/>
        </w:rPr>
        <w:t>The Commission’s NOPR asks: “</w:t>
      </w:r>
      <w:r w:rsidRPr="002D1953">
        <w:rPr>
          <w:rFonts w:ascii="Georgia" w:hAnsi="Georgia"/>
          <w:sz w:val="24"/>
          <w:szCs w:val="24"/>
        </w:rPr>
        <w:t>should the</w:t>
      </w:r>
      <w:r w:rsidR="004F3C0A">
        <w:rPr>
          <w:rFonts w:ascii="Georgia" w:hAnsi="Georgia"/>
          <w:sz w:val="24"/>
          <w:szCs w:val="24"/>
        </w:rPr>
        <w:t xml:space="preserve"> </w:t>
      </w:r>
      <w:r w:rsidRPr="002D1953">
        <w:rPr>
          <w:rFonts w:ascii="Georgia" w:hAnsi="Georgia"/>
          <w:sz w:val="24"/>
          <w:szCs w:val="24"/>
        </w:rPr>
        <w:t xml:space="preserve">Commission allow an applicant to </w:t>
      </w:r>
      <w:proofErr w:type="gramStart"/>
      <w:r w:rsidRPr="002D1953">
        <w:rPr>
          <w:rFonts w:ascii="Georgia" w:hAnsi="Georgia"/>
          <w:sz w:val="24"/>
          <w:szCs w:val="24"/>
        </w:rPr>
        <w:t>seek</w:t>
      </w:r>
      <w:proofErr w:type="gramEnd"/>
    </w:p>
    <w:p w14:paraId="54C538C4" w14:textId="199CBAD8" w:rsidR="00CB6FBD" w:rsidRPr="002D1953" w:rsidRDefault="00CB6FBD" w:rsidP="00837777">
      <w:pPr>
        <w:spacing w:line="360" w:lineRule="auto"/>
        <w:rPr>
          <w:rFonts w:ascii="Georgia" w:hAnsi="Georgia"/>
          <w:sz w:val="24"/>
          <w:szCs w:val="24"/>
        </w:rPr>
      </w:pPr>
      <w:r w:rsidRPr="002D1953">
        <w:rPr>
          <w:rFonts w:ascii="Georgia" w:hAnsi="Georgia"/>
          <w:sz w:val="24"/>
          <w:szCs w:val="24"/>
        </w:rPr>
        <w:t>the Transmission Organization</w:t>
      </w:r>
      <w:r w:rsidR="004F3C0A">
        <w:rPr>
          <w:rFonts w:ascii="Georgia" w:hAnsi="Georgia"/>
          <w:sz w:val="24"/>
          <w:szCs w:val="24"/>
        </w:rPr>
        <w:t xml:space="preserve"> </w:t>
      </w:r>
      <w:r w:rsidRPr="002D1953">
        <w:rPr>
          <w:rFonts w:ascii="Georgia" w:hAnsi="Georgia"/>
          <w:sz w:val="24"/>
          <w:szCs w:val="24"/>
        </w:rPr>
        <w:t>Incentive where states and/or other</w:t>
      </w:r>
      <w:r w:rsidR="004F3C0A">
        <w:rPr>
          <w:rFonts w:ascii="Georgia" w:hAnsi="Georgia"/>
          <w:sz w:val="24"/>
          <w:szCs w:val="24"/>
        </w:rPr>
        <w:t xml:space="preserve"> </w:t>
      </w:r>
      <w:r w:rsidRPr="002D1953">
        <w:rPr>
          <w:rFonts w:ascii="Georgia" w:hAnsi="Georgia"/>
          <w:sz w:val="24"/>
          <w:szCs w:val="24"/>
        </w:rPr>
        <w:t>relevant electric retail regulatory</w:t>
      </w:r>
      <w:r w:rsidR="004F3C0A">
        <w:rPr>
          <w:rFonts w:ascii="Georgia" w:hAnsi="Georgia"/>
          <w:sz w:val="24"/>
          <w:szCs w:val="24"/>
        </w:rPr>
        <w:t xml:space="preserve"> </w:t>
      </w:r>
      <w:r w:rsidRPr="002D1953">
        <w:rPr>
          <w:rFonts w:ascii="Georgia" w:hAnsi="Georgia"/>
          <w:sz w:val="24"/>
          <w:szCs w:val="24"/>
        </w:rPr>
        <w:t>authorities support receipt of such an</w:t>
      </w:r>
      <w:r w:rsidR="004F3C0A">
        <w:rPr>
          <w:rFonts w:ascii="Georgia" w:hAnsi="Georgia"/>
          <w:sz w:val="24"/>
          <w:szCs w:val="24"/>
        </w:rPr>
        <w:t xml:space="preserve"> </w:t>
      </w:r>
      <w:r w:rsidRPr="002D1953">
        <w:rPr>
          <w:rFonts w:ascii="Georgia" w:hAnsi="Georgia"/>
          <w:sz w:val="24"/>
          <w:szCs w:val="24"/>
        </w:rPr>
        <w:t>incentive by the transmitting utility</w:t>
      </w:r>
      <w:r w:rsidR="004F3C0A">
        <w:rPr>
          <w:rFonts w:ascii="Georgia" w:hAnsi="Georgia"/>
          <w:sz w:val="24"/>
          <w:szCs w:val="24"/>
        </w:rPr>
        <w:t xml:space="preserve"> </w:t>
      </w:r>
      <w:r w:rsidRPr="002D1953">
        <w:rPr>
          <w:rFonts w:ascii="Georgia" w:hAnsi="Georgia"/>
          <w:sz w:val="24"/>
          <w:szCs w:val="24"/>
        </w:rPr>
        <w:t>even though participation in the</w:t>
      </w:r>
      <w:r w:rsidR="004F3C0A">
        <w:rPr>
          <w:rFonts w:ascii="Georgia" w:hAnsi="Georgia"/>
          <w:sz w:val="24"/>
          <w:szCs w:val="24"/>
        </w:rPr>
        <w:t xml:space="preserve"> </w:t>
      </w:r>
      <w:r w:rsidRPr="002D1953">
        <w:rPr>
          <w:rFonts w:ascii="Georgia" w:hAnsi="Georgia"/>
          <w:sz w:val="24"/>
          <w:szCs w:val="24"/>
        </w:rPr>
        <w:t>Transmission Organization is mandated</w:t>
      </w:r>
    </w:p>
    <w:p w14:paraId="331CB5DA" w14:textId="7204AA01" w:rsidR="00CB6FBD" w:rsidRDefault="00CB6FBD" w:rsidP="00837777">
      <w:pPr>
        <w:spacing w:line="360" w:lineRule="auto"/>
        <w:rPr>
          <w:rFonts w:ascii="Georgia" w:hAnsi="Georgia"/>
          <w:sz w:val="24"/>
          <w:szCs w:val="24"/>
        </w:rPr>
      </w:pPr>
      <w:r w:rsidRPr="002D1953">
        <w:rPr>
          <w:rFonts w:ascii="Georgia" w:hAnsi="Georgia"/>
          <w:sz w:val="24"/>
          <w:szCs w:val="24"/>
        </w:rPr>
        <w:t>by the state and/or other relevant</w:t>
      </w:r>
      <w:r w:rsidR="002C6BA4">
        <w:rPr>
          <w:rFonts w:ascii="Georgia" w:hAnsi="Georgia"/>
          <w:sz w:val="24"/>
          <w:szCs w:val="24"/>
        </w:rPr>
        <w:t xml:space="preserve"> </w:t>
      </w:r>
      <w:r w:rsidRPr="002D1953">
        <w:rPr>
          <w:rFonts w:ascii="Georgia" w:hAnsi="Georgia"/>
          <w:sz w:val="24"/>
          <w:szCs w:val="24"/>
        </w:rPr>
        <w:t>electric retail regulatory authority?</w:t>
      </w:r>
      <w:r w:rsidR="00F35EEE">
        <w:rPr>
          <w:rFonts w:ascii="Georgia" w:hAnsi="Georgia"/>
          <w:sz w:val="24"/>
          <w:szCs w:val="24"/>
        </w:rPr>
        <w:t>”</w:t>
      </w:r>
      <w:r w:rsidR="00F35EEE">
        <w:rPr>
          <w:rStyle w:val="FootnoteReference"/>
          <w:rFonts w:ascii="Georgia" w:hAnsi="Georgia"/>
          <w:sz w:val="24"/>
          <w:szCs w:val="24"/>
        </w:rPr>
        <w:footnoteReference w:id="10"/>
      </w:r>
    </w:p>
    <w:p w14:paraId="5E99AB6F" w14:textId="23B77909" w:rsidR="008F0EBB" w:rsidRDefault="008F0EBB" w:rsidP="00837777">
      <w:pPr>
        <w:spacing w:line="360" w:lineRule="auto"/>
        <w:ind w:firstLine="360"/>
        <w:rPr>
          <w:rFonts w:ascii="Georgia" w:hAnsi="Georgia"/>
          <w:sz w:val="24"/>
          <w:szCs w:val="24"/>
        </w:rPr>
      </w:pPr>
      <w:r>
        <w:rPr>
          <w:rFonts w:ascii="Georgia" w:hAnsi="Georgia"/>
          <w:sz w:val="24"/>
          <w:szCs w:val="24"/>
        </w:rPr>
        <w:t xml:space="preserve">The justification for offering an ROE adder </w:t>
      </w:r>
      <w:r w:rsidR="002C6BA4">
        <w:rPr>
          <w:rFonts w:ascii="Georgia" w:hAnsi="Georgia"/>
          <w:sz w:val="24"/>
          <w:szCs w:val="24"/>
        </w:rPr>
        <w:t>is</w:t>
      </w:r>
      <w:r>
        <w:rPr>
          <w:rFonts w:ascii="Georgia" w:hAnsi="Georgia"/>
          <w:sz w:val="24"/>
          <w:szCs w:val="24"/>
        </w:rPr>
        <w:t xml:space="preserve"> to incentivize RTO participation. </w:t>
      </w:r>
      <w:r w:rsidR="000F2F35">
        <w:rPr>
          <w:rFonts w:ascii="Georgia" w:hAnsi="Georgia"/>
          <w:sz w:val="24"/>
          <w:szCs w:val="24"/>
        </w:rPr>
        <w:t>I</w:t>
      </w:r>
      <w:r>
        <w:rPr>
          <w:rFonts w:ascii="Georgia" w:hAnsi="Georgia"/>
          <w:sz w:val="24"/>
          <w:szCs w:val="24"/>
        </w:rPr>
        <w:t>f RTO participation is a requirement of state or federal law, then</w:t>
      </w:r>
      <w:r w:rsidR="00244BBA">
        <w:rPr>
          <w:rFonts w:ascii="Georgia" w:hAnsi="Georgia"/>
          <w:sz w:val="24"/>
          <w:szCs w:val="24"/>
        </w:rPr>
        <w:t xml:space="preserve"> </w:t>
      </w:r>
      <w:r w:rsidR="0073452F">
        <w:rPr>
          <w:rFonts w:ascii="Georgia" w:hAnsi="Georgia"/>
          <w:sz w:val="24"/>
          <w:szCs w:val="24"/>
        </w:rPr>
        <w:t xml:space="preserve">there is literally no need </w:t>
      </w:r>
      <w:r w:rsidR="00AF7A08">
        <w:rPr>
          <w:rFonts w:ascii="Georgia" w:hAnsi="Georgia"/>
          <w:sz w:val="24"/>
          <w:szCs w:val="24"/>
        </w:rPr>
        <w:t xml:space="preserve">to </w:t>
      </w:r>
      <w:r w:rsidR="002331BC">
        <w:rPr>
          <w:rFonts w:ascii="Georgia" w:hAnsi="Georgia"/>
          <w:sz w:val="24"/>
          <w:szCs w:val="24"/>
        </w:rPr>
        <w:t>incentivize</w:t>
      </w:r>
      <w:r w:rsidR="00AF7A08">
        <w:rPr>
          <w:rFonts w:ascii="Georgia" w:hAnsi="Georgia"/>
          <w:sz w:val="24"/>
          <w:szCs w:val="24"/>
        </w:rPr>
        <w:t xml:space="preserve"> </w:t>
      </w:r>
      <w:r w:rsidR="002331BC">
        <w:rPr>
          <w:rFonts w:ascii="Georgia" w:hAnsi="Georgia"/>
          <w:sz w:val="24"/>
          <w:szCs w:val="24"/>
        </w:rPr>
        <w:t>participation</w:t>
      </w:r>
      <w:r w:rsidR="005F20B0">
        <w:rPr>
          <w:rFonts w:ascii="Georgia" w:hAnsi="Georgia"/>
          <w:sz w:val="24"/>
          <w:szCs w:val="24"/>
        </w:rPr>
        <w:t>, otherwise the</w:t>
      </w:r>
      <w:r w:rsidR="0073452F">
        <w:rPr>
          <w:rFonts w:ascii="Georgia" w:hAnsi="Georgia"/>
          <w:sz w:val="24"/>
          <w:szCs w:val="24"/>
        </w:rPr>
        <w:t xml:space="preserve"> </w:t>
      </w:r>
      <w:r w:rsidR="00244BBA">
        <w:rPr>
          <w:rFonts w:ascii="Georgia" w:hAnsi="Georgia"/>
          <w:sz w:val="24"/>
          <w:szCs w:val="24"/>
        </w:rPr>
        <w:t xml:space="preserve">ROE adder </w:t>
      </w:r>
      <w:r w:rsidR="002331BC">
        <w:rPr>
          <w:rFonts w:ascii="Georgia" w:hAnsi="Georgia"/>
          <w:sz w:val="24"/>
          <w:szCs w:val="24"/>
        </w:rPr>
        <w:t>subsidy</w:t>
      </w:r>
      <w:r w:rsidR="00244BBA">
        <w:rPr>
          <w:rFonts w:ascii="Georgia" w:hAnsi="Georgia"/>
          <w:sz w:val="24"/>
          <w:szCs w:val="24"/>
        </w:rPr>
        <w:t xml:space="preserve"> </w:t>
      </w:r>
      <w:r w:rsidR="004D464E">
        <w:rPr>
          <w:rFonts w:ascii="Georgia" w:hAnsi="Georgia"/>
          <w:sz w:val="24"/>
          <w:szCs w:val="24"/>
        </w:rPr>
        <w:t>exists as nothing more than</w:t>
      </w:r>
      <w:r w:rsidR="00244BBA">
        <w:rPr>
          <w:rFonts w:ascii="Georgia" w:hAnsi="Georgia"/>
          <w:sz w:val="24"/>
          <w:szCs w:val="24"/>
        </w:rPr>
        <w:t xml:space="preserve"> an egregious consumer-funded giveaway to a transmission owner.</w:t>
      </w:r>
    </w:p>
    <w:p w14:paraId="27857637" w14:textId="4614EB8E" w:rsidR="000C783B" w:rsidRDefault="000C783B" w:rsidP="008F0EBB">
      <w:pPr>
        <w:rPr>
          <w:rFonts w:ascii="Georgia" w:hAnsi="Georgia"/>
          <w:sz w:val="24"/>
          <w:szCs w:val="24"/>
        </w:rPr>
      </w:pPr>
    </w:p>
    <w:p w14:paraId="3944B0F3" w14:textId="555819B8" w:rsidR="009650AA" w:rsidRPr="00C625CB" w:rsidRDefault="009650AA" w:rsidP="000C783B">
      <w:pPr>
        <w:pStyle w:val="ListParagraph"/>
        <w:numPr>
          <w:ilvl w:val="0"/>
          <w:numId w:val="1"/>
        </w:numPr>
        <w:rPr>
          <w:rFonts w:ascii="Georgia" w:hAnsi="Georgia"/>
          <w:b/>
          <w:bCs/>
          <w:sz w:val="24"/>
          <w:szCs w:val="24"/>
        </w:rPr>
      </w:pPr>
      <w:r w:rsidRPr="00C625CB">
        <w:rPr>
          <w:rFonts w:ascii="Georgia" w:hAnsi="Georgia"/>
          <w:b/>
          <w:bCs/>
          <w:sz w:val="24"/>
          <w:szCs w:val="24"/>
        </w:rPr>
        <w:t>Transmission owners will likely have access to additional financial incentives</w:t>
      </w:r>
      <w:r w:rsidR="008D690E" w:rsidRPr="00C625CB">
        <w:rPr>
          <w:rFonts w:ascii="Georgia" w:hAnsi="Georgia"/>
          <w:b/>
          <w:bCs/>
          <w:sz w:val="24"/>
          <w:szCs w:val="24"/>
        </w:rPr>
        <w:t xml:space="preserve">, and the impediments to </w:t>
      </w:r>
      <w:r w:rsidR="0063032F" w:rsidRPr="00C625CB">
        <w:rPr>
          <w:rFonts w:ascii="Georgia" w:hAnsi="Georgia"/>
          <w:b/>
          <w:bCs/>
          <w:sz w:val="24"/>
          <w:szCs w:val="24"/>
        </w:rPr>
        <w:t>expanding transmission are process-related, not financial</w:t>
      </w:r>
      <w:r w:rsidRPr="00C625CB">
        <w:rPr>
          <w:rFonts w:ascii="Georgia" w:hAnsi="Georgia"/>
          <w:b/>
          <w:bCs/>
          <w:sz w:val="24"/>
          <w:szCs w:val="24"/>
        </w:rPr>
        <w:t>.</w:t>
      </w:r>
    </w:p>
    <w:p w14:paraId="2B9D7CAE" w14:textId="7F689E74" w:rsidR="000C783B" w:rsidRPr="009650AA" w:rsidRDefault="000C783B" w:rsidP="009650AA">
      <w:pPr>
        <w:rPr>
          <w:rFonts w:ascii="Georgia" w:hAnsi="Georgia"/>
          <w:sz w:val="24"/>
          <w:szCs w:val="24"/>
        </w:rPr>
      </w:pPr>
    </w:p>
    <w:p w14:paraId="0E2A5A1B" w14:textId="5DCCC116" w:rsidR="001B05E2" w:rsidRDefault="0014346B" w:rsidP="00AA7593">
      <w:pPr>
        <w:spacing w:line="360" w:lineRule="auto"/>
        <w:ind w:firstLine="360"/>
        <w:rPr>
          <w:rFonts w:ascii="Georgia" w:hAnsi="Georgia"/>
          <w:sz w:val="24"/>
          <w:szCs w:val="24"/>
        </w:rPr>
      </w:pPr>
      <w:r>
        <w:rPr>
          <w:rFonts w:ascii="Georgia" w:hAnsi="Georgia"/>
          <w:sz w:val="24"/>
          <w:szCs w:val="24"/>
        </w:rPr>
        <w:t xml:space="preserve">ROE adders are </w:t>
      </w:r>
      <w:r w:rsidR="00AC33DE">
        <w:rPr>
          <w:rFonts w:ascii="Georgia" w:hAnsi="Georgia"/>
          <w:sz w:val="24"/>
          <w:szCs w:val="24"/>
        </w:rPr>
        <w:t>unnecessary</w:t>
      </w:r>
      <w:r>
        <w:rPr>
          <w:rFonts w:ascii="Georgia" w:hAnsi="Georgia"/>
          <w:sz w:val="24"/>
          <w:szCs w:val="24"/>
        </w:rPr>
        <w:t xml:space="preserve"> because transmission owners have access to other financial incentives. The U.S. Department of Energy just announced more than $8 billion</w:t>
      </w:r>
      <w:r w:rsidR="00745CC4">
        <w:rPr>
          <w:rFonts w:ascii="Georgia" w:hAnsi="Georgia"/>
          <w:sz w:val="24"/>
          <w:szCs w:val="24"/>
        </w:rPr>
        <w:t xml:space="preserve"> in loan guarantees “</w:t>
      </w:r>
      <w:r w:rsidR="00745CC4" w:rsidRPr="00745CC4">
        <w:rPr>
          <w:rFonts w:ascii="Georgia" w:hAnsi="Georgia"/>
          <w:sz w:val="24"/>
          <w:szCs w:val="24"/>
        </w:rPr>
        <w:t>to expand and improve the nation’s transmission grid</w:t>
      </w:r>
      <w:r w:rsidR="00745CC4">
        <w:rPr>
          <w:rFonts w:ascii="Georgia" w:hAnsi="Georgia"/>
          <w:sz w:val="24"/>
          <w:szCs w:val="24"/>
        </w:rPr>
        <w:t>.”</w:t>
      </w:r>
      <w:r w:rsidR="008D690E">
        <w:rPr>
          <w:rStyle w:val="FootnoteReference"/>
          <w:rFonts w:ascii="Georgia" w:hAnsi="Georgia"/>
          <w:sz w:val="24"/>
          <w:szCs w:val="24"/>
        </w:rPr>
        <w:footnoteReference w:id="11"/>
      </w:r>
      <w:r w:rsidR="00AC33DE">
        <w:rPr>
          <w:rFonts w:ascii="Georgia" w:hAnsi="Georgia"/>
          <w:sz w:val="24"/>
          <w:szCs w:val="24"/>
        </w:rPr>
        <w:t xml:space="preserve"> And </w:t>
      </w:r>
      <w:r w:rsidR="00AC33DE">
        <w:rPr>
          <w:rFonts w:ascii="Georgia" w:hAnsi="Georgia"/>
          <w:sz w:val="24"/>
          <w:szCs w:val="24"/>
        </w:rPr>
        <w:lastRenderedPageBreak/>
        <w:t xml:space="preserve">a </w:t>
      </w:r>
      <w:r w:rsidR="002331BC">
        <w:rPr>
          <w:rFonts w:ascii="Georgia" w:hAnsi="Georgia"/>
          <w:sz w:val="24"/>
          <w:szCs w:val="24"/>
        </w:rPr>
        <w:t xml:space="preserve">June 2021 </w:t>
      </w:r>
      <w:r w:rsidR="00AC33DE">
        <w:rPr>
          <w:rFonts w:ascii="Georgia" w:hAnsi="Georgia"/>
          <w:sz w:val="24"/>
          <w:szCs w:val="24"/>
        </w:rPr>
        <w:t>bi</w:t>
      </w:r>
      <w:r w:rsidR="00022A5F">
        <w:rPr>
          <w:rFonts w:ascii="Georgia" w:hAnsi="Georgia"/>
          <w:sz w:val="24"/>
          <w:szCs w:val="24"/>
        </w:rPr>
        <w:t xml:space="preserve">partisan agreement between key members of Congress and the Biden </w:t>
      </w:r>
      <w:r w:rsidR="00727A58">
        <w:rPr>
          <w:rFonts w:ascii="Georgia" w:hAnsi="Georgia"/>
          <w:sz w:val="24"/>
          <w:szCs w:val="24"/>
        </w:rPr>
        <w:t>Administration</w:t>
      </w:r>
      <w:r w:rsidR="00DE2EFB">
        <w:rPr>
          <w:rFonts w:ascii="Georgia" w:hAnsi="Georgia"/>
          <w:sz w:val="24"/>
          <w:szCs w:val="24"/>
        </w:rPr>
        <w:t xml:space="preserve"> would allocate $73 billion</w:t>
      </w:r>
      <w:r w:rsidR="000E7ECD">
        <w:rPr>
          <w:rFonts w:ascii="Georgia" w:hAnsi="Georgia"/>
          <w:sz w:val="24"/>
          <w:szCs w:val="24"/>
        </w:rPr>
        <w:t xml:space="preserve"> to “u</w:t>
      </w:r>
      <w:r w:rsidR="000E7ECD" w:rsidRPr="000E7ECD">
        <w:rPr>
          <w:rFonts w:ascii="Georgia" w:hAnsi="Georgia"/>
          <w:sz w:val="24"/>
          <w:szCs w:val="24"/>
        </w:rPr>
        <w:t>pgrade our power infrastructure, including by building thousands of miles of new, resilient transmission lines</w:t>
      </w:r>
      <w:r w:rsidR="000E7ECD">
        <w:rPr>
          <w:rFonts w:ascii="Georgia" w:hAnsi="Georgia"/>
          <w:sz w:val="24"/>
          <w:szCs w:val="24"/>
        </w:rPr>
        <w:t>.”</w:t>
      </w:r>
    </w:p>
    <w:p w14:paraId="0D36EB76" w14:textId="3CF70D04" w:rsidR="008F2F89" w:rsidRDefault="008F2F89" w:rsidP="00AA7593">
      <w:pPr>
        <w:spacing w:line="360" w:lineRule="auto"/>
        <w:ind w:firstLine="360"/>
        <w:rPr>
          <w:rFonts w:ascii="Georgia" w:hAnsi="Georgia"/>
          <w:sz w:val="24"/>
          <w:szCs w:val="24"/>
        </w:rPr>
      </w:pPr>
      <w:r>
        <w:rPr>
          <w:rFonts w:ascii="Georgia" w:hAnsi="Georgia"/>
          <w:sz w:val="24"/>
          <w:szCs w:val="24"/>
        </w:rPr>
        <w:t xml:space="preserve">Indeed, </w:t>
      </w:r>
      <w:r w:rsidR="00C139C8">
        <w:rPr>
          <w:rFonts w:ascii="Georgia" w:hAnsi="Georgia"/>
          <w:sz w:val="24"/>
          <w:szCs w:val="24"/>
        </w:rPr>
        <w:t>utilities have been significantly increasing investment in new transmission over the last several years</w:t>
      </w:r>
      <w:r w:rsidR="00C139C8">
        <w:rPr>
          <w:rStyle w:val="FootnoteReference"/>
          <w:rFonts w:ascii="Georgia" w:hAnsi="Georgia"/>
          <w:sz w:val="24"/>
          <w:szCs w:val="24"/>
        </w:rPr>
        <w:footnoteReference w:id="12"/>
      </w:r>
      <w:r w:rsidR="00AF0035">
        <w:rPr>
          <w:rFonts w:ascii="Cambria" w:hAnsi="Cambria"/>
          <w:sz w:val="24"/>
          <w:szCs w:val="24"/>
        </w:rPr>
        <w:t>—</w:t>
      </w:r>
      <w:r w:rsidR="00AF0035">
        <w:rPr>
          <w:rFonts w:ascii="Georgia" w:hAnsi="Georgia"/>
          <w:sz w:val="24"/>
          <w:szCs w:val="24"/>
        </w:rPr>
        <w:t xml:space="preserve">suggesting that ROE adder </w:t>
      </w:r>
      <w:r w:rsidR="007B6613">
        <w:rPr>
          <w:rFonts w:ascii="Georgia" w:hAnsi="Georgia"/>
          <w:sz w:val="24"/>
          <w:szCs w:val="24"/>
        </w:rPr>
        <w:t>subsidies</w:t>
      </w:r>
      <w:r w:rsidR="00AF0035">
        <w:rPr>
          <w:rFonts w:ascii="Georgia" w:hAnsi="Georgia"/>
          <w:sz w:val="24"/>
          <w:szCs w:val="24"/>
        </w:rPr>
        <w:t xml:space="preserve"> are </w:t>
      </w:r>
      <w:r w:rsidR="007B6613">
        <w:rPr>
          <w:rFonts w:ascii="Georgia" w:hAnsi="Georgia"/>
          <w:sz w:val="24"/>
          <w:szCs w:val="24"/>
        </w:rPr>
        <w:t>unnecessary</w:t>
      </w:r>
      <w:r w:rsidR="00AF0035">
        <w:rPr>
          <w:rFonts w:ascii="Georgia" w:hAnsi="Georgia"/>
          <w:sz w:val="24"/>
          <w:szCs w:val="24"/>
        </w:rPr>
        <w:t xml:space="preserve"> to incentivize new transmission investment.</w:t>
      </w:r>
    </w:p>
    <w:p w14:paraId="2CB2A5EB" w14:textId="416F3B01" w:rsidR="0063032F" w:rsidRDefault="0063032F" w:rsidP="00AA7593">
      <w:pPr>
        <w:spacing w:line="360" w:lineRule="auto"/>
        <w:ind w:firstLine="360"/>
        <w:rPr>
          <w:rFonts w:ascii="Georgia" w:hAnsi="Georgia"/>
          <w:sz w:val="24"/>
          <w:szCs w:val="24"/>
        </w:rPr>
      </w:pPr>
      <w:r>
        <w:rPr>
          <w:rFonts w:ascii="Georgia" w:hAnsi="Georgia"/>
          <w:sz w:val="24"/>
          <w:szCs w:val="24"/>
        </w:rPr>
        <w:t xml:space="preserve">Importantly, the primary barriers to expanding transmission capacity </w:t>
      </w:r>
      <w:r w:rsidR="00F25428">
        <w:rPr>
          <w:rFonts w:ascii="Georgia" w:hAnsi="Georgia"/>
          <w:sz w:val="24"/>
          <w:szCs w:val="24"/>
        </w:rPr>
        <w:t>are</w:t>
      </w:r>
      <w:r>
        <w:rPr>
          <w:rFonts w:ascii="Georgia" w:hAnsi="Georgia"/>
          <w:sz w:val="24"/>
          <w:szCs w:val="24"/>
        </w:rPr>
        <w:t xml:space="preserve"> not whether FERC provides a ROE adder for RTO membership, but the </w:t>
      </w:r>
      <w:r w:rsidR="001813D3">
        <w:rPr>
          <w:rFonts w:ascii="Georgia" w:hAnsi="Georgia"/>
          <w:sz w:val="24"/>
          <w:szCs w:val="24"/>
        </w:rPr>
        <w:t xml:space="preserve">challenges associated with obtaining necessary regulatory approvals. FERC has already taken an important, </w:t>
      </w:r>
      <w:r w:rsidR="00AC33DE">
        <w:rPr>
          <w:rFonts w:ascii="Georgia" w:hAnsi="Georgia"/>
          <w:sz w:val="24"/>
          <w:szCs w:val="24"/>
        </w:rPr>
        <w:t>constructive</w:t>
      </w:r>
      <w:r w:rsidR="001813D3">
        <w:rPr>
          <w:rFonts w:ascii="Georgia" w:hAnsi="Georgia"/>
          <w:sz w:val="24"/>
          <w:szCs w:val="24"/>
        </w:rPr>
        <w:t xml:space="preserve"> step to address these </w:t>
      </w:r>
      <w:r w:rsidR="00EF4F19">
        <w:rPr>
          <w:rFonts w:ascii="Georgia" w:hAnsi="Georgia"/>
          <w:sz w:val="24"/>
          <w:szCs w:val="24"/>
        </w:rPr>
        <w:t>hurdles</w:t>
      </w:r>
      <w:r w:rsidR="001813D3">
        <w:rPr>
          <w:rFonts w:ascii="Georgia" w:hAnsi="Georgia"/>
          <w:sz w:val="24"/>
          <w:szCs w:val="24"/>
        </w:rPr>
        <w:t xml:space="preserve"> by announcing a </w:t>
      </w:r>
      <w:r w:rsidR="005577A8">
        <w:rPr>
          <w:rFonts w:ascii="Georgia" w:hAnsi="Georgia"/>
          <w:sz w:val="24"/>
          <w:szCs w:val="24"/>
        </w:rPr>
        <w:t>joint federal-state task force to explore ways to pay and plan for transmission expansion.</w:t>
      </w:r>
      <w:r w:rsidR="00FB29F1">
        <w:rPr>
          <w:rStyle w:val="FootnoteReference"/>
          <w:rFonts w:ascii="Georgia" w:hAnsi="Georgia"/>
          <w:sz w:val="24"/>
          <w:szCs w:val="24"/>
        </w:rPr>
        <w:footnoteReference w:id="13"/>
      </w:r>
      <w:r w:rsidR="00FB29F1">
        <w:rPr>
          <w:rFonts w:ascii="Georgia" w:hAnsi="Georgia"/>
          <w:sz w:val="24"/>
          <w:szCs w:val="24"/>
        </w:rPr>
        <w:t xml:space="preserve"> (</w:t>
      </w:r>
      <w:r w:rsidR="00E35200">
        <w:rPr>
          <w:rFonts w:ascii="Georgia" w:hAnsi="Georgia"/>
          <w:sz w:val="24"/>
          <w:szCs w:val="24"/>
        </w:rPr>
        <w:t xml:space="preserve">In November 2020, </w:t>
      </w:r>
      <w:r w:rsidR="00FB29F1">
        <w:rPr>
          <w:rFonts w:ascii="Georgia" w:hAnsi="Georgia"/>
          <w:sz w:val="24"/>
          <w:szCs w:val="24"/>
        </w:rPr>
        <w:t xml:space="preserve">Public Citizen advocated for </w:t>
      </w:r>
      <w:r w:rsidR="00E35200">
        <w:rPr>
          <w:rFonts w:ascii="Georgia" w:hAnsi="Georgia"/>
          <w:sz w:val="24"/>
          <w:szCs w:val="24"/>
        </w:rPr>
        <w:t>FERC to “e</w:t>
      </w:r>
      <w:r w:rsidR="00E35200" w:rsidRPr="00E35200">
        <w:rPr>
          <w:rFonts w:ascii="Georgia" w:hAnsi="Georgia"/>
          <w:sz w:val="24"/>
          <w:szCs w:val="24"/>
        </w:rPr>
        <w:t>stablish boards of state officials</w:t>
      </w:r>
      <w:r w:rsidR="00713942">
        <w:rPr>
          <w:rFonts w:ascii="Georgia" w:hAnsi="Georgia"/>
          <w:sz w:val="24"/>
          <w:szCs w:val="24"/>
        </w:rPr>
        <w:t xml:space="preserve">” to </w:t>
      </w:r>
      <w:r w:rsidR="00DB40CE">
        <w:rPr>
          <w:rFonts w:ascii="Georgia" w:hAnsi="Georgia"/>
          <w:sz w:val="24"/>
          <w:szCs w:val="24"/>
        </w:rPr>
        <w:t>coordinate on</w:t>
      </w:r>
      <w:r w:rsidR="00713942">
        <w:rPr>
          <w:rFonts w:ascii="Georgia" w:hAnsi="Georgia"/>
          <w:sz w:val="24"/>
          <w:szCs w:val="24"/>
        </w:rPr>
        <w:t xml:space="preserve"> transmission </w:t>
      </w:r>
      <w:r w:rsidR="00DB40CE">
        <w:rPr>
          <w:rFonts w:ascii="Georgia" w:hAnsi="Georgia"/>
          <w:sz w:val="24"/>
          <w:szCs w:val="24"/>
        </w:rPr>
        <w:t>and RTO matters</w:t>
      </w:r>
      <w:r w:rsidR="00DB40CE">
        <w:rPr>
          <w:rStyle w:val="FootnoteReference"/>
          <w:rFonts w:ascii="Georgia" w:hAnsi="Georgia"/>
          <w:sz w:val="24"/>
          <w:szCs w:val="24"/>
        </w:rPr>
        <w:footnoteReference w:id="14"/>
      </w:r>
      <w:r w:rsidR="00EF4F19">
        <w:rPr>
          <w:rFonts w:ascii="Georgia" w:hAnsi="Georgia"/>
          <w:sz w:val="24"/>
          <w:szCs w:val="24"/>
        </w:rPr>
        <w:t>).</w:t>
      </w:r>
    </w:p>
    <w:p w14:paraId="0F7EB4A5" w14:textId="77777777" w:rsidR="000758C3" w:rsidRPr="002E5227" w:rsidRDefault="000758C3" w:rsidP="002A27A5">
      <w:pPr>
        <w:rPr>
          <w:rFonts w:ascii="Georgia" w:hAnsi="Georgia"/>
          <w:sz w:val="24"/>
          <w:szCs w:val="24"/>
        </w:rPr>
      </w:pPr>
    </w:p>
    <w:p w14:paraId="14234265" w14:textId="77777777" w:rsidR="008F32C6" w:rsidRDefault="008F32C6" w:rsidP="00215D6B">
      <w:pPr>
        <w:rPr>
          <w:rFonts w:ascii="Georgia" w:hAnsi="Georgia"/>
          <w:sz w:val="24"/>
          <w:szCs w:val="24"/>
        </w:rPr>
      </w:pPr>
    </w:p>
    <w:p w14:paraId="29FE2313" w14:textId="77777777" w:rsidR="008F32C6" w:rsidRDefault="008F32C6" w:rsidP="00215D6B">
      <w:pPr>
        <w:rPr>
          <w:rFonts w:ascii="Georgia" w:hAnsi="Georgia"/>
          <w:sz w:val="24"/>
          <w:szCs w:val="24"/>
        </w:rPr>
      </w:pPr>
    </w:p>
    <w:p w14:paraId="3A22875E" w14:textId="48D21D91" w:rsidR="00853DA7" w:rsidRDefault="001F00EC">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Respectfully submitted,</w:t>
      </w:r>
    </w:p>
    <w:p w14:paraId="3FC51D84" w14:textId="080A22A1" w:rsidR="001F00EC" w:rsidRDefault="001F00EC">
      <w:pPr>
        <w:rPr>
          <w:rFonts w:ascii="Georgia" w:hAnsi="Georgia"/>
          <w:sz w:val="24"/>
          <w:szCs w:val="24"/>
        </w:rPr>
      </w:pPr>
    </w:p>
    <w:p w14:paraId="07DF2D85" w14:textId="39243832" w:rsidR="001F00EC" w:rsidRDefault="001F00EC">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sidR="00AA7593">
        <w:rPr>
          <w:rFonts w:ascii="Georgia" w:hAnsi="Georgia"/>
          <w:sz w:val="24"/>
          <w:szCs w:val="24"/>
        </w:rPr>
        <w:t>Tyson Slocum, Energy Program Director</w:t>
      </w:r>
    </w:p>
    <w:p w14:paraId="3D8CBB65" w14:textId="4E62120E" w:rsidR="00AA7593" w:rsidRDefault="00AA7593">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Public Citizen, Inc.</w:t>
      </w:r>
    </w:p>
    <w:p w14:paraId="235B779B" w14:textId="5D4A7B82" w:rsidR="00AA7593" w:rsidRDefault="00AA7593">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215 Pennsylvania Ave SE</w:t>
      </w:r>
    </w:p>
    <w:p w14:paraId="0D71020C" w14:textId="1DA3967D" w:rsidR="00AA7593" w:rsidRDefault="00AA7593">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Washington, DC  20003</w:t>
      </w:r>
    </w:p>
    <w:p w14:paraId="27D0ED43" w14:textId="2173702E" w:rsidR="00AA7593" w:rsidRDefault="00AA7593">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(202) 454-5191</w:t>
      </w:r>
    </w:p>
    <w:p w14:paraId="64A36602" w14:textId="333FA4A4" w:rsidR="00AA7593" w:rsidRPr="002E5227" w:rsidRDefault="00AA7593">
      <w:pPr>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tslocum@citizen.org</w:t>
      </w:r>
    </w:p>
    <w:sectPr w:rsidR="00AA7593" w:rsidRPr="002E5227" w:rsidSect="001248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EE14" w14:textId="77777777" w:rsidR="00D42298" w:rsidRDefault="00D42298" w:rsidP="000D3783">
      <w:r>
        <w:separator/>
      </w:r>
    </w:p>
  </w:endnote>
  <w:endnote w:type="continuationSeparator" w:id="0">
    <w:p w14:paraId="4E0C2067" w14:textId="77777777" w:rsidR="00D42298" w:rsidRDefault="00D42298" w:rsidP="000D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E407" w14:textId="77777777" w:rsidR="00124871" w:rsidRDefault="00124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099201"/>
      <w:docPartObj>
        <w:docPartGallery w:val="Page Numbers (Bottom of Page)"/>
        <w:docPartUnique/>
      </w:docPartObj>
    </w:sdtPr>
    <w:sdtEndPr>
      <w:rPr>
        <w:color w:val="7F7F7F" w:themeColor="background1" w:themeShade="7F"/>
        <w:spacing w:val="60"/>
      </w:rPr>
    </w:sdtEndPr>
    <w:sdtContent>
      <w:p w14:paraId="7A92F5F8" w14:textId="779CBFA9" w:rsidR="00124871" w:rsidRDefault="0012487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82AD2F6" w14:textId="77777777" w:rsidR="00124871" w:rsidRDefault="00124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71A7" w14:textId="77777777" w:rsidR="00124871" w:rsidRDefault="0012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56F0" w14:textId="77777777" w:rsidR="00D42298" w:rsidRDefault="00D42298" w:rsidP="000D3783">
      <w:r>
        <w:separator/>
      </w:r>
    </w:p>
  </w:footnote>
  <w:footnote w:type="continuationSeparator" w:id="0">
    <w:p w14:paraId="5BE408BC" w14:textId="77777777" w:rsidR="00D42298" w:rsidRDefault="00D42298" w:rsidP="000D3783">
      <w:r>
        <w:continuationSeparator/>
      </w:r>
    </w:p>
  </w:footnote>
  <w:footnote w:id="1">
    <w:p w14:paraId="1A9737D6" w14:textId="77777777" w:rsidR="00F22BD3" w:rsidRDefault="00F22BD3" w:rsidP="00F22BD3">
      <w:pPr>
        <w:pStyle w:val="FootnoteText"/>
      </w:pPr>
      <w:r>
        <w:rPr>
          <w:rStyle w:val="FootnoteReference"/>
        </w:rPr>
        <w:footnoteRef/>
      </w:r>
      <w:r>
        <w:t xml:space="preserve"> </w:t>
      </w:r>
      <w:r w:rsidRPr="00EA0895">
        <w:rPr>
          <w:rFonts w:ascii="Georgia" w:hAnsi="Georgia"/>
        </w:rPr>
        <w:t>NOPR, at 8.</w:t>
      </w:r>
    </w:p>
  </w:footnote>
  <w:footnote w:id="2">
    <w:p w14:paraId="3AA180EE" w14:textId="3EB3D8C6" w:rsidR="00EA0895" w:rsidRDefault="00EA0895">
      <w:pPr>
        <w:pStyle w:val="FootnoteText"/>
      </w:pPr>
      <w:r>
        <w:rPr>
          <w:rStyle w:val="FootnoteReference"/>
        </w:rPr>
        <w:footnoteRef/>
      </w:r>
      <w:r>
        <w:t xml:space="preserve"> </w:t>
      </w:r>
      <w:r w:rsidRPr="00EA0895">
        <w:rPr>
          <w:rFonts w:ascii="Georgia" w:hAnsi="Georgia"/>
        </w:rPr>
        <w:t>https://ferc.gov/news-events/news/item-e-1-commissioner-mark-c-christie-concurrence-regarding-electric-transmission</w:t>
      </w:r>
    </w:p>
  </w:footnote>
  <w:footnote w:id="3">
    <w:p w14:paraId="6E9FBAA8" w14:textId="2A2D6E9B" w:rsidR="000B3B60" w:rsidRDefault="000B3B60">
      <w:pPr>
        <w:pStyle w:val="FootnoteText"/>
      </w:pPr>
      <w:r>
        <w:rPr>
          <w:rStyle w:val="FootnoteReference"/>
        </w:rPr>
        <w:footnoteRef/>
      </w:r>
      <w:r>
        <w:t xml:space="preserve"> </w:t>
      </w:r>
      <w:r w:rsidR="00C923E0" w:rsidRPr="00C923E0">
        <w:rPr>
          <w:rFonts w:ascii="Georgia" w:hAnsi="Georgia"/>
        </w:rPr>
        <w:t>https://ferc.gov/news-events/news/item-e-1-commissioner-mark-c-christie-concurrence-regarding-electric-transmission</w:t>
      </w:r>
    </w:p>
  </w:footnote>
  <w:footnote w:id="4">
    <w:p w14:paraId="5AF93D4B" w14:textId="7E4C1962" w:rsidR="00EC142B" w:rsidRDefault="00EC142B">
      <w:pPr>
        <w:pStyle w:val="FootnoteText"/>
      </w:pPr>
      <w:r>
        <w:rPr>
          <w:rStyle w:val="FootnoteReference"/>
        </w:rPr>
        <w:footnoteRef/>
      </w:r>
      <w:r>
        <w:t xml:space="preserve"> </w:t>
      </w:r>
      <w:r w:rsidRPr="00EC142B">
        <w:rPr>
          <w:rFonts w:ascii="Georgia" w:hAnsi="Georgia"/>
        </w:rPr>
        <w:t xml:space="preserve">See slides 12-13, </w:t>
      </w:r>
      <w:r w:rsidRPr="00EC142B">
        <w:rPr>
          <w:rFonts w:ascii="Georgia" w:hAnsi="Georgia"/>
        </w:rPr>
        <w:t>https://pjm.com/-/media/committees-groups/user-groups/pieoug/2021/20210505/20210505-consumer-advocates-of-the-pjm-states-caps-presentation.ashx</w:t>
      </w:r>
    </w:p>
  </w:footnote>
  <w:footnote w:id="5">
    <w:p w14:paraId="1C1201E4" w14:textId="77777777" w:rsidR="000B5B42" w:rsidRDefault="000B5B42" w:rsidP="000B5B42">
      <w:pPr>
        <w:pStyle w:val="FootnoteText"/>
      </w:pPr>
      <w:r>
        <w:rPr>
          <w:rStyle w:val="FootnoteReference"/>
        </w:rPr>
        <w:footnoteRef/>
      </w:r>
      <w:r>
        <w:t xml:space="preserve"> </w:t>
      </w:r>
      <w:r w:rsidRPr="00A9385F">
        <w:rPr>
          <w:rFonts w:ascii="Georgia" w:hAnsi="Georgia"/>
        </w:rPr>
        <w:t>www.citizen.org/about/annual-report</w:t>
      </w:r>
    </w:p>
  </w:footnote>
  <w:footnote w:id="6">
    <w:p w14:paraId="02E83CFB" w14:textId="41912688" w:rsidR="003E56FF" w:rsidRDefault="003E56FF">
      <w:pPr>
        <w:pStyle w:val="FootnoteText"/>
      </w:pPr>
      <w:r>
        <w:rPr>
          <w:rStyle w:val="FootnoteReference"/>
        </w:rPr>
        <w:footnoteRef/>
      </w:r>
      <w:r>
        <w:t xml:space="preserve"> </w:t>
      </w:r>
      <w:r w:rsidRPr="003E56FF">
        <w:rPr>
          <w:rFonts w:ascii="Georgia" w:hAnsi="Georgia"/>
        </w:rPr>
        <w:t>NOPR, at 16.</w:t>
      </w:r>
    </w:p>
  </w:footnote>
  <w:footnote w:id="7">
    <w:p w14:paraId="468CD6B3" w14:textId="1801859B" w:rsidR="009465C2" w:rsidRDefault="009465C2">
      <w:pPr>
        <w:pStyle w:val="FootnoteText"/>
      </w:pPr>
      <w:r>
        <w:rPr>
          <w:rStyle w:val="FootnoteReference"/>
        </w:rPr>
        <w:footnoteRef/>
      </w:r>
      <w:r>
        <w:t xml:space="preserve"> </w:t>
      </w:r>
      <w:r w:rsidRPr="009465C2">
        <w:rPr>
          <w:rFonts w:ascii="Georgia" w:hAnsi="Georgia"/>
        </w:rPr>
        <w:t>NOPR, at 34.</w:t>
      </w:r>
    </w:p>
  </w:footnote>
  <w:footnote w:id="8">
    <w:p w14:paraId="313E1F39" w14:textId="08E32675" w:rsidR="00471A3D" w:rsidRDefault="00471A3D">
      <w:pPr>
        <w:pStyle w:val="FootnoteText"/>
      </w:pPr>
      <w:r>
        <w:rPr>
          <w:rStyle w:val="FootnoteReference"/>
        </w:rPr>
        <w:footnoteRef/>
      </w:r>
      <w:r>
        <w:t xml:space="preserve"> </w:t>
      </w:r>
      <w:r w:rsidRPr="00471A3D">
        <w:rPr>
          <w:rFonts w:ascii="Georgia" w:hAnsi="Georgia"/>
        </w:rPr>
        <w:t>www.ferc.gov/media/transcript-5, page 54, at 3-6.</w:t>
      </w:r>
    </w:p>
  </w:footnote>
  <w:footnote w:id="9">
    <w:p w14:paraId="57425E67" w14:textId="57F23D4B" w:rsidR="00F22BD3" w:rsidRDefault="00F22BD3">
      <w:pPr>
        <w:pStyle w:val="FootnoteText"/>
      </w:pPr>
      <w:r>
        <w:rPr>
          <w:rStyle w:val="FootnoteReference"/>
        </w:rPr>
        <w:footnoteRef/>
      </w:r>
      <w:r>
        <w:t xml:space="preserve"> </w:t>
      </w:r>
      <w:r w:rsidRPr="00F22BD3">
        <w:rPr>
          <w:rFonts w:ascii="Georgia" w:hAnsi="Georgia"/>
        </w:rPr>
        <w:t>NOPR, at 20.</w:t>
      </w:r>
    </w:p>
  </w:footnote>
  <w:footnote w:id="10">
    <w:p w14:paraId="1683A166" w14:textId="3DB257AD" w:rsidR="00F35EEE" w:rsidRDefault="00F35EEE">
      <w:pPr>
        <w:pStyle w:val="FootnoteText"/>
      </w:pPr>
      <w:r>
        <w:rPr>
          <w:rStyle w:val="FootnoteReference"/>
        </w:rPr>
        <w:footnoteRef/>
      </w:r>
      <w:r>
        <w:t xml:space="preserve"> </w:t>
      </w:r>
      <w:r w:rsidRPr="00F35EEE">
        <w:rPr>
          <w:rFonts w:ascii="Georgia" w:hAnsi="Georgia"/>
        </w:rPr>
        <w:t>NOPR, at 19.</w:t>
      </w:r>
    </w:p>
  </w:footnote>
  <w:footnote w:id="11">
    <w:p w14:paraId="50359A81" w14:textId="3C98D774" w:rsidR="008D690E" w:rsidRDefault="008D690E">
      <w:pPr>
        <w:pStyle w:val="FootnoteText"/>
      </w:pPr>
      <w:r>
        <w:rPr>
          <w:rStyle w:val="FootnoteReference"/>
        </w:rPr>
        <w:footnoteRef/>
      </w:r>
      <w:r>
        <w:t xml:space="preserve"> </w:t>
      </w:r>
      <w:r w:rsidRPr="008D690E">
        <w:rPr>
          <w:rFonts w:ascii="Georgia" w:hAnsi="Georgia"/>
        </w:rPr>
        <w:t>www.energy.gov/articles/doe-announces-825-billion-loans-enhance-electrical-transmission-nationwide</w:t>
      </w:r>
    </w:p>
  </w:footnote>
  <w:footnote w:id="12">
    <w:p w14:paraId="4426CE7B" w14:textId="7C6AD920" w:rsidR="00C139C8" w:rsidRDefault="00C139C8">
      <w:pPr>
        <w:pStyle w:val="FootnoteText"/>
      </w:pPr>
      <w:r>
        <w:rPr>
          <w:rStyle w:val="FootnoteReference"/>
        </w:rPr>
        <w:footnoteRef/>
      </w:r>
      <w:r>
        <w:t xml:space="preserve"> </w:t>
      </w:r>
      <w:r w:rsidRPr="002E3A20">
        <w:rPr>
          <w:rFonts w:ascii="Georgia" w:hAnsi="Georgia"/>
        </w:rPr>
        <w:t>www.eia.gov/todayinenergy/detail.php?id=47316</w:t>
      </w:r>
    </w:p>
  </w:footnote>
  <w:footnote w:id="13">
    <w:p w14:paraId="670B0C91" w14:textId="4E822E3C" w:rsidR="00FB29F1" w:rsidRDefault="00FB29F1">
      <w:pPr>
        <w:pStyle w:val="FootnoteText"/>
      </w:pPr>
      <w:r>
        <w:rPr>
          <w:rStyle w:val="FootnoteReference"/>
        </w:rPr>
        <w:footnoteRef/>
      </w:r>
      <w:r>
        <w:t xml:space="preserve"> </w:t>
      </w:r>
      <w:r w:rsidRPr="00FB29F1">
        <w:rPr>
          <w:rFonts w:ascii="Georgia" w:hAnsi="Georgia"/>
        </w:rPr>
        <w:t>www.ferc.gov/news-events/news/staff-presentations-order-establishing-joint-federal-state-task-force-electric</w:t>
      </w:r>
    </w:p>
  </w:footnote>
  <w:footnote w:id="14">
    <w:p w14:paraId="7EE18E5A" w14:textId="665AD515" w:rsidR="00DB40CE" w:rsidRDefault="00DB40CE">
      <w:pPr>
        <w:pStyle w:val="FootnoteText"/>
      </w:pPr>
      <w:r>
        <w:rPr>
          <w:rStyle w:val="FootnoteReference"/>
        </w:rPr>
        <w:footnoteRef/>
      </w:r>
      <w:r>
        <w:t xml:space="preserve"> </w:t>
      </w:r>
      <w:r w:rsidR="00AC33DE" w:rsidRPr="00AC33DE">
        <w:rPr>
          <w:rFonts w:ascii="Georgia" w:hAnsi="Georgia"/>
        </w:rPr>
        <w:t xml:space="preserve">See point #4 at pages 3-4, </w:t>
      </w:r>
      <w:r w:rsidR="00AC33DE" w:rsidRPr="00AC33DE">
        <w:rPr>
          <w:rFonts w:ascii="Georgia" w:hAnsi="Georgia"/>
        </w:rPr>
        <w:t>www.citizen.org/wp-content/uploads/FERC2021.pdf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A4AE" w14:textId="77777777" w:rsidR="00124871" w:rsidRDefault="00124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D1A5" w14:textId="280D3D10" w:rsidR="00824EFE" w:rsidRPr="0084583E" w:rsidRDefault="00824EFE" w:rsidP="0084583E">
    <w:pPr>
      <w:pStyle w:val="Header"/>
      <w:jc w:val="center"/>
      <w:rPr>
        <w:rFonts w:ascii="Georgia" w:hAnsi="Georgia"/>
        <w:i/>
        <w:iCs/>
      </w:rPr>
    </w:pPr>
    <w:r w:rsidRPr="0084583E">
      <w:rPr>
        <w:rFonts w:ascii="Georgia" w:hAnsi="Georgia"/>
        <w:i/>
        <w:iCs/>
      </w:rPr>
      <w:t>Public Citizen Comments</w:t>
    </w:r>
    <w:r w:rsidRPr="0084583E">
      <w:rPr>
        <w:rFonts w:ascii="Georgia" w:hAnsi="Georgia"/>
        <w:i/>
        <w:iCs/>
      </w:rPr>
      <w:t>—</w:t>
    </w:r>
    <w:r w:rsidRPr="0084583E">
      <w:rPr>
        <w:rFonts w:ascii="Georgia" w:hAnsi="Georgia"/>
        <w:i/>
        <w:iCs/>
      </w:rPr>
      <w:t>Transmission Incentives • Docket No. RM20-10 • June 25, 2021</w:t>
    </w:r>
  </w:p>
  <w:p w14:paraId="7F3178EE" w14:textId="77777777" w:rsidR="00124871" w:rsidRDefault="00124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ADD6" w14:textId="77777777" w:rsidR="00124871" w:rsidRDefault="00124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7269E"/>
    <w:multiLevelType w:val="hybridMultilevel"/>
    <w:tmpl w:val="9BC66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DC"/>
    <w:rsid w:val="00005999"/>
    <w:rsid w:val="00022A5F"/>
    <w:rsid w:val="00030A1A"/>
    <w:rsid w:val="00042732"/>
    <w:rsid w:val="000610D9"/>
    <w:rsid w:val="000758C3"/>
    <w:rsid w:val="00085B9A"/>
    <w:rsid w:val="000A219C"/>
    <w:rsid w:val="000B3B60"/>
    <w:rsid w:val="000B5B42"/>
    <w:rsid w:val="000C783B"/>
    <w:rsid w:val="000D0886"/>
    <w:rsid w:val="000D2966"/>
    <w:rsid w:val="000D3783"/>
    <w:rsid w:val="000E15EC"/>
    <w:rsid w:val="000E2F6E"/>
    <w:rsid w:val="000E5F09"/>
    <w:rsid w:val="000E6A3A"/>
    <w:rsid w:val="000E78D4"/>
    <w:rsid w:val="000E7BB1"/>
    <w:rsid w:val="000E7ECD"/>
    <w:rsid w:val="000F2F35"/>
    <w:rsid w:val="000F71DC"/>
    <w:rsid w:val="00121CAE"/>
    <w:rsid w:val="00124871"/>
    <w:rsid w:val="0014346B"/>
    <w:rsid w:val="001611AB"/>
    <w:rsid w:val="00167526"/>
    <w:rsid w:val="00173807"/>
    <w:rsid w:val="00177FF3"/>
    <w:rsid w:val="001813D3"/>
    <w:rsid w:val="00182239"/>
    <w:rsid w:val="00196603"/>
    <w:rsid w:val="001B05E2"/>
    <w:rsid w:val="001B6B35"/>
    <w:rsid w:val="001D0258"/>
    <w:rsid w:val="001D6841"/>
    <w:rsid w:val="001E68F3"/>
    <w:rsid w:val="001F00EC"/>
    <w:rsid w:val="00215D6B"/>
    <w:rsid w:val="0023270C"/>
    <w:rsid w:val="002331BC"/>
    <w:rsid w:val="00244023"/>
    <w:rsid w:val="00244BBA"/>
    <w:rsid w:val="002866EA"/>
    <w:rsid w:val="00296513"/>
    <w:rsid w:val="002A27A5"/>
    <w:rsid w:val="002B2CFF"/>
    <w:rsid w:val="002B498D"/>
    <w:rsid w:val="002C6BA4"/>
    <w:rsid w:val="002D1953"/>
    <w:rsid w:val="002E27F1"/>
    <w:rsid w:val="002E3A20"/>
    <w:rsid w:val="002E5227"/>
    <w:rsid w:val="002F4F87"/>
    <w:rsid w:val="002F6A01"/>
    <w:rsid w:val="00312B5A"/>
    <w:rsid w:val="003140FD"/>
    <w:rsid w:val="00373F25"/>
    <w:rsid w:val="00374C88"/>
    <w:rsid w:val="0039652F"/>
    <w:rsid w:val="003C6B92"/>
    <w:rsid w:val="003E56FF"/>
    <w:rsid w:val="003F162B"/>
    <w:rsid w:val="003F50F4"/>
    <w:rsid w:val="004012D7"/>
    <w:rsid w:val="00423587"/>
    <w:rsid w:val="00426D3B"/>
    <w:rsid w:val="00431358"/>
    <w:rsid w:val="00434BCD"/>
    <w:rsid w:val="00463EC3"/>
    <w:rsid w:val="00464A0F"/>
    <w:rsid w:val="00471A3D"/>
    <w:rsid w:val="0049443E"/>
    <w:rsid w:val="004A0350"/>
    <w:rsid w:val="004A1621"/>
    <w:rsid w:val="004B3F9B"/>
    <w:rsid w:val="004B5AC4"/>
    <w:rsid w:val="004D464E"/>
    <w:rsid w:val="004F3C0A"/>
    <w:rsid w:val="004F6C37"/>
    <w:rsid w:val="00521424"/>
    <w:rsid w:val="0052469E"/>
    <w:rsid w:val="00537F4E"/>
    <w:rsid w:val="00544171"/>
    <w:rsid w:val="005577A8"/>
    <w:rsid w:val="005A31FA"/>
    <w:rsid w:val="005B7D26"/>
    <w:rsid w:val="005F20B0"/>
    <w:rsid w:val="00611210"/>
    <w:rsid w:val="00617980"/>
    <w:rsid w:val="0063032F"/>
    <w:rsid w:val="006434EE"/>
    <w:rsid w:val="00662EDA"/>
    <w:rsid w:val="00680AD1"/>
    <w:rsid w:val="00685C43"/>
    <w:rsid w:val="0069184B"/>
    <w:rsid w:val="00692ABC"/>
    <w:rsid w:val="006B1D76"/>
    <w:rsid w:val="006F510E"/>
    <w:rsid w:val="00713942"/>
    <w:rsid w:val="00727A58"/>
    <w:rsid w:val="0073452F"/>
    <w:rsid w:val="00734F1D"/>
    <w:rsid w:val="00745CC4"/>
    <w:rsid w:val="00760928"/>
    <w:rsid w:val="0079506D"/>
    <w:rsid w:val="007B18C1"/>
    <w:rsid w:val="007B6613"/>
    <w:rsid w:val="007C4D14"/>
    <w:rsid w:val="007E7F86"/>
    <w:rsid w:val="0080143D"/>
    <w:rsid w:val="00815BDC"/>
    <w:rsid w:val="00824EFE"/>
    <w:rsid w:val="00837777"/>
    <w:rsid w:val="00837BBA"/>
    <w:rsid w:val="008441BC"/>
    <w:rsid w:val="0084583E"/>
    <w:rsid w:val="00853DA7"/>
    <w:rsid w:val="008D690E"/>
    <w:rsid w:val="008F0EBB"/>
    <w:rsid w:val="008F2F89"/>
    <w:rsid w:val="008F32C6"/>
    <w:rsid w:val="00913BE4"/>
    <w:rsid w:val="00920FA6"/>
    <w:rsid w:val="009465C2"/>
    <w:rsid w:val="009650AA"/>
    <w:rsid w:val="00980E18"/>
    <w:rsid w:val="00986061"/>
    <w:rsid w:val="009A2246"/>
    <w:rsid w:val="009C0A5F"/>
    <w:rsid w:val="009E1EEE"/>
    <w:rsid w:val="00A02380"/>
    <w:rsid w:val="00A30DC9"/>
    <w:rsid w:val="00A47484"/>
    <w:rsid w:val="00A55CDE"/>
    <w:rsid w:val="00A70542"/>
    <w:rsid w:val="00A86500"/>
    <w:rsid w:val="00A928B8"/>
    <w:rsid w:val="00A96964"/>
    <w:rsid w:val="00AA2BEF"/>
    <w:rsid w:val="00AA7593"/>
    <w:rsid w:val="00AC33DE"/>
    <w:rsid w:val="00AF0035"/>
    <w:rsid w:val="00AF7A08"/>
    <w:rsid w:val="00B2473D"/>
    <w:rsid w:val="00B410AB"/>
    <w:rsid w:val="00B5737F"/>
    <w:rsid w:val="00B72585"/>
    <w:rsid w:val="00B84B18"/>
    <w:rsid w:val="00BD34B8"/>
    <w:rsid w:val="00BE37AD"/>
    <w:rsid w:val="00BE7375"/>
    <w:rsid w:val="00C139C8"/>
    <w:rsid w:val="00C41D7F"/>
    <w:rsid w:val="00C625CB"/>
    <w:rsid w:val="00C923E0"/>
    <w:rsid w:val="00CA6297"/>
    <w:rsid w:val="00CB1EEB"/>
    <w:rsid w:val="00CB5357"/>
    <w:rsid w:val="00CB5856"/>
    <w:rsid w:val="00CB6FBD"/>
    <w:rsid w:val="00CC0E25"/>
    <w:rsid w:val="00CD0E15"/>
    <w:rsid w:val="00CD6C9B"/>
    <w:rsid w:val="00CF2CCE"/>
    <w:rsid w:val="00CF4F1B"/>
    <w:rsid w:val="00D25ED4"/>
    <w:rsid w:val="00D42298"/>
    <w:rsid w:val="00D56D11"/>
    <w:rsid w:val="00DA4619"/>
    <w:rsid w:val="00DA74BB"/>
    <w:rsid w:val="00DB40CE"/>
    <w:rsid w:val="00DC6CF9"/>
    <w:rsid w:val="00DE2EFB"/>
    <w:rsid w:val="00E00902"/>
    <w:rsid w:val="00E00D32"/>
    <w:rsid w:val="00E115C0"/>
    <w:rsid w:val="00E35200"/>
    <w:rsid w:val="00E36FD4"/>
    <w:rsid w:val="00E91A6B"/>
    <w:rsid w:val="00E93AD7"/>
    <w:rsid w:val="00EA0895"/>
    <w:rsid w:val="00EC142B"/>
    <w:rsid w:val="00EE54BD"/>
    <w:rsid w:val="00EF363E"/>
    <w:rsid w:val="00EF4F19"/>
    <w:rsid w:val="00F22BD3"/>
    <w:rsid w:val="00F232DB"/>
    <w:rsid w:val="00F25428"/>
    <w:rsid w:val="00F35EEE"/>
    <w:rsid w:val="00F36A21"/>
    <w:rsid w:val="00F6472F"/>
    <w:rsid w:val="00F73DFE"/>
    <w:rsid w:val="00F74F07"/>
    <w:rsid w:val="00F7779E"/>
    <w:rsid w:val="00FB1152"/>
    <w:rsid w:val="00FB29F1"/>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7163"/>
  <w15:chartTrackingRefBased/>
  <w15:docId w15:val="{79EB8415-F990-49FE-812D-49830A5F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rsid w:val="001E68F3"/>
    <w:pPr>
      <w:keepLines/>
      <w:widowControl w:val="0"/>
    </w:pPr>
  </w:style>
  <w:style w:type="character" w:customStyle="1" w:styleId="FootnoteTextChar">
    <w:name w:val="Footnote Text Char"/>
    <w:basedOn w:val="DefaultParagraphFont"/>
    <w:link w:val="FootnoteText"/>
    <w:uiPriority w:val="99"/>
    <w:semiHidden/>
    <w:rsid w:val="001E68F3"/>
  </w:style>
  <w:style w:type="character" w:styleId="Hyperlink">
    <w:name w:val="Hyperlink"/>
    <w:basedOn w:val="DefaultParagraphFont"/>
    <w:uiPriority w:val="99"/>
    <w:unhideWhenUsed/>
    <w:rsid w:val="00A70542"/>
    <w:rPr>
      <w:color w:val="0563C1" w:themeColor="hyperlink"/>
      <w:u w:val="single"/>
    </w:rPr>
  </w:style>
  <w:style w:type="character" w:styleId="UnresolvedMention">
    <w:name w:val="Unresolved Mention"/>
    <w:basedOn w:val="DefaultParagraphFont"/>
    <w:uiPriority w:val="99"/>
    <w:semiHidden/>
    <w:unhideWhenUsed/>
    <w:rsid w:val="00A70542"/>
    <w:rPr>
      <w:color w:val="605E5C"/>
      <w:shd w:val="clear" w:color="auto" w:fill="E1DFDD"/>
    </w:rPr>
  </w:style>
  <w:style w:type="character" w:styleId="FootnoteReference">
    <w:name w:val="footnote reference"/>
    <w:basedOn w:val="DefaultParagraphFont"/>
    <w:uiPriority w:val="99"/>
    <w:semiHidden/>
    <w:unhideWhenUsed/>
    <w:rsid w:val="000D3783"/>
    <w:rPr>
      <w:vertAlign w:val="superscript"/>
    </w:rPr>
  </w:style>
  <w:style w:type="paragraph" w:styleId="ListParagraph">
    <w:name w:val="List Paragraph"/>
    <w:basedOn w:val="Normal"/>
    <w:uiPriority w:val="34"/>
    <w:qFormat/>
    <w:rsid w:val="000E78D4"/>
    <w:pPr>
      <w:ind w:left="720"/>
      <w:contextualSpacing/>
    </w:pPr>
  </w:style>
  <w:style w:type="paragraph" w:styleId="Header">
    <w:name w:val="header"/>
    <w:basedOn w:val="Normal"/>
    <w:link w:val="HeaderChar"/>
    <w:uiPriority w:val="99"/>
    <w:unhideWhenUsed/>
    <w:rsid w:val="00124871"/>
    <w:pPr>
      <w:tabs>
        <w:tab w:val="center" w:pos="4680"/>
        <w:tab w:val="right" w:pos="9360"/>
      </w:tabs>
    </w:pPr>
  </w:style>
  <w:style w:type="character" w:customStyle="1" w:styleId="HeaderChar">
    <w:name w:val="Header Char"/>
    <w:basedOn w:val="DefaultParagraphFont"/>
    <w:link w:val="Header"/>
    <w:uiPriority w:val="99"/>
    <w:rsid w:val="00124871"/>
  </w:style>
  <w:style w:type="paragraph" w:styleId="Footer">
    <w:name w:val="footer"/>
    <w:basedOn w:val="Normal"/>
    <w:link w:val="FooterChar"/>
    <w:uiPriority w:val="99"/>
    <w:unhideWhenUsed/>
    <w:rsid w:val="00124871"/>
    <w:pPr>
      <w:tabs>
        <w:tab w:val="center" w:pos="4680"/>
        <w:tab w:val="right" w:pos="9360"/>
      </w:tabs>
    </w:pPr>
  </w:style>
  <w:style w:type="character" w:customStyle="1" w:styleId="FooterChar">
    <w:name w:val="Footer Char"/>
    <w:basedOn w:val="DefaultParagraphFont"/>
    <w:link w:val="Footer"/>
    <w:uiPriority w:val="99"/>
    <w:rsid w:val="0012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3F47-FF78-4B20-90CB-4BB859EB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5</Pages>
  <Words>1357</Words>
  <Characters>7738</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Slocum</dc:creator>
  <cp:keywords/>
  <dc:description/>
  <cp:lastModifiedBy>Tyson Slocum</cp:lastModifiedBy>
  <cp:revision>192</cp:revision>
  <dcterms:created xsi:type="dcterms:W3CDTF">2021-04-24T13:39:00Z</dcterms:created>
  <dcterms:modified xsi:type="dcterms:W3CDTF">2021-06-25T19:27:00Z</dcterms:modified>
</cp:coreProperties>
</file>