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7686D" w14:textId="1B6F770A" w:rsidR="00AC343E" w:rsidRPr="00713C95" w:rsidRDefault="00713C95" w:rsidP="009F4DE5">
      <w:pPr>
        <w:jc w:val="center"/>
        <w:rPr>
          <w:rFonts w:ascii="Georgia" w:hAnsi="Georgia"/>
          <w:sz w:val="24"/>
          <w:szCs w:val="24"/>
        </w:rPr>
      </w:pPr>
      <w:r w:rsidRPr="00713C95">
        <w:rPr>
          <w:rFonts w:ascii="Georgia" w:hAnsi="Georgia"/>
          <w:sz w:val="24"/>
          <w:szCs w:val="24"/>
        </w:rPr>
        <w:t>UNITED STATES OF AMERICA</w:t>
      </w:r>
    </w:p>
    <w:p w14:paraId="1E368D35" w14:textId="4349A410" w:rsidR="00713C95" w:rsidRPr="00713C95" w:rsidRDefault="00713C95" w:rsidP="009F4DE5">
      <w:pPr>
        <w:jc w:val="center"/>
        <w:rPr>
          <w:rFonts w:ascii="Georgia" w:hAnsi="Georgia"/>
          <w:sz w:val="24"/>
          <w:szCs w:val="24"/>
        </w:rPr>
      </w:pPr>
      <w:r w:rsidRPr="00713C95">
        <w:rPr>
          <w:rFonts w:ascii="Georgia" w:hAnsi="Georgia"/>
          <w:sz w:val="24"/>
          <w:szCs w:val="24"/>
        </w:rPr>
        <w:t>BEFORE THE</w:t>
      </w:r>
    </w:p>
    <w:p w14:paraId="7B27E1A9" w14:textId="4C6DDC0E" w:rsidR="00713C95" w:rsidRPr="00713C95" w:rsidRDefault="00713C95" w:rsidP="009F4DE5">
      <w:pPr>
        <w:jc w:val="center"/>
        <w:rPr>
          <w:rFonts w:ascii="Georgia" w:hAnsi="Georgia"/>
          <w:sz w:val="24"/>
          <w:szCs w:val="24"/>
        </w:rPr>
      </w:pPr>
      <w:r w:rsidRPr="00713C95">
        <w:rPr>
          <w:rFonts w:ascii="Georgia" w:hAnsi="Georgia"/>
          <w:sz w:val="24"/>
          <w:szCs w:val="24"/>
        </w:rPr>
        <w:t>FEDERAL ENERGY REGULATORY COMMISSION</w:t>
      </w:r>
    </w:p>
    <w:p w14:paraId="2D9FF16F" w14:textId="2FDEC159" w:rsidR="00713C95" w:rsidRPr="00713C95" w:rsidRDefault="00713C95">
      <w:pPr>
        <w:rPr>
          <w:rFonts w:ascii="Georgia" w:hAnsi="Georgia"/>
          <w:sz w:val="24"/>
          <w:szCs w:val="24"/>
        </w:rPr>
      </w:pPr>
    </w:p>
    <w:p w14:paraId="01EE930F" w14:textId="7F377FB2" w:rsidR="00713C95" w:rsidRPr="00713C95" w:rsidRDefault="00713C95">
      <w:pPr>
        <w:rPr>
          <w:rFonts w:ascii="Georgia" w:hAnsi="Georgia"/>
          <w:sz w:val="24"/>
          <w:szCs w:val="24"/>
        </w:rPr>
      </w:pPr>
      <w:r w:rsidRPr="00713C95">
        <w:rPr>
          <w:rFonts w:ascii="Georgia" w:hAnsi="Georgia"/>
          <w:sz w:val="24"/>
          <w:szCs w:val="24"/>
        </w:rPr>
        <w:t>San Diego Gas &amp; Electric Company</w:t>
      </w:r>
      <w:r w:rsidRPr="00713C95">
        <w:rPr>
          <w:rFonts w:ascii="Georgia" w:hAnsi="Georgia"/>
          <w:sz w:val="24"/>
          <w:szCs w:val="24"/>
        </w:rPr>
        <w:tab/>
      </w:r>
      <w:r w:rsidRPr="00713C95">
        <w:rPr>
          <w:rFonts w:ascii="Georgia" w:hAnsi="Georgia"/>
          <w:sz w:val="24"/>
          <w:szCs w:val="24"/>
        </w:rPr>
        <w:tab/>
      </w:r>
      <w:r w:rsidR="009F4DE5">
        <w:rPr>
          <w:rFonts w:ascii="Georgia" w:hAnsi="Georgia"/>
          <w:sz w:val="24"/>
          <w:szCs w:val="24"/>
        </w:rPr>
        <w:tab/>
      </w:r>
      <w:r w:rsidR="009F4DE5">
        <w:rPr>
          <w:rFonts w:ascii="Georgia" w:hAnsi="Georgia"/>
          <w:sz w:val="24"/>
          <w:szCs w:val="24"/>
        </w:rPr>
        <w:tab/>
      </w:r>
      <w:r w:rsidRPr="00713C95">
        <w:rPr>
          <w:rFonts w:ascii="Georgia" w:hAnsi="Georgia"/>
          <w:sz w:val="24"/>
          <w:szCs w:val="24"/>
        </w:rPr>
        <w:t xml:space="preserve">Docket No. </w:t>
      </w:r>
      <w:r w:rsidRPr="00713C95">
        <w:rPr>
          <w:rFonts w:ascii="Georgia" w:hAnsi="Georgia"/>
          <w:sz w:val="24"/>
          <w:szCs w:val="24"/>
        </w:rPr>
        <w:t>ER21-2193</w:t>
      </w:r>
    </w:p>
    <w:p w14:paraId="7B1DADDF" w14:textId="0F2AC00F" w:rsidR="00713C95" w:rsidRDefault="00713C95">
      <w:pPr>
        <w:rPr>
          <w:rFonts w:ascii="Georgia" w:hAnsi="Georgia"/>
          <w:sz w:val="24"/>
          <w:szCs w:val="24"/>
        </w:rPr>
      </w:pPr>
    </w:p>
    <w:p w14:paraId="7616C49B" w14:textId="158F2922" w:rsidR="009F4DE5" w:rsidRDefault="009F4DE5">
      <w:pPr>
        <w:rPr>
          <w:rFonts w:ascii="Georgia" w:hAnsi="Georgia"/>
          <w:sz w:val="24"/>
          <w:szCs w:val="24"/>
        </w:rPr>
      </w:pPr>
    </w:p>
    <w:p w14:paraId="3029CA9B" w14:textId="77777777" w:rsidR="00BA2C69" w:rsidRPr="00713C95" w:rsidRDefault="00BA2C69">
      <w:pPr>
        <w:rPr>
          <w:rFonts w:ascii="Georgia" w:hAnsi="Georgia"/>
          <w:sz w:val="24"/>
          <w:szCs w:val="24"/>
        </w:rPr>
      </w:pPr>
    </w:p>
    <w:p w14:paraId="13B36D38" w14:textId="204657DE" w:rsidR="00713C95" w:rsidRPr="009F4DE5" w:rsidRDefault="00713C95" w:rsidP="009F4DE5">
      <w:pPr>
        <w:jc w:val="center"/>
        <w:rPr>
          <w:rFonts w:ascii="Georgia" w:hAnsi="Georgia"/>
          <w:b/>
          <w:bCs/>
          <w:sz w:val="24"/>
          <w:szCs w:val="24"/>
        </w:rPr>
      </w:pPr>
      <w:r w:rsidRPr="009F4DE5">
        <w:rPr>
          <w:rFonts w:ascii="Georgia" w:hAnsi="Georgia"/>
          <w:b/>
          <w:bCs/>
          <w:sz w:val="24"/>
          <w:szCs w:val="24"/>
        </w:rPr>
        <w:t>Protest of Public Citizen, Inc.</w:t>
      </w:r>
    </w:p>
    <w:p w14:paraId="58005E49" w14:textId="4E4E5A33" w:rsidR="00713C95" w:rsidRDefault="00713C95">
      <w:pPr>
        <w:rPr>
          <w:rFonts w:ascii="Georgia" w:hAnsi="Georgia"/>
          <w:sz w:val="24"/>
          <w:szCs w:val="24"/>
        </w:rPr>
      </w:pPr>
    </w:p>
    <w:p w14:paraId="2EE731B7" w14:textId="77777777" w:rsidR="00BA2C69" w:rsidRDefault="00BA2C69">
      <w:pPr>
        <w:rPr>
          <w:rFonts w:ascii="Georgia" w:hAnsi="Georgia"/>
          <w:sz w:val="24"/>
          <w:szCs w:val="24"/>
        </w:rPr>
      </w:pPr>
    </w:p>
    <w:p w14:paraId="6DBDD319" w14:textId="1F6DBEDB" w:rsidR="00BB6C45" w:rsidRDefault="00713C95" w:rsidP="006D6BA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We protest </w:t>
      </w:r>
      <w:r w:rsidR="007106FF">
        <w:rPr>
          <w:rFonts w:ascii="Georgia" w:hAnsi="Georgia"/>
          <w:sz w:val="24"/>
          <w:szCs w:val="24"/>
        </w:rPr>
        <w:t xml:space="preserve">Sempra Energy’s </w:t>
      </w:r>
      <w:r>
        <w:rPr>
          <w:rFonts w:ascii="Georgia" w:hAnsi="Georgia"/>
          <w:sz w:val="24"/>
          <w:szCs w:val="24"/>
        </w:rPr>
        <w:t>San Diego Gas &amp; Electric</w:t>
      </w:r>
      <w:r w:rsidR="007106FF">
        <w:rPr>
          <w:rFonts w:ascii="Georgia" w:hAnsi="Georgia"/>
          <w:sz w:val="24"/>
          <w:szCs w:val="24"/>
        </w:rPr>
        <w:t>’s subsidiary</w:t>
      </w:r>
      <w:r w:rsidR="00BB6C4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June 23 </w:t>
      </w:r>
      <w:r w:rsidR="0027375E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 xml:space="preserve">pplication to recover </w:t>
      </w:r>
      <w:r w:rsidR="009F4DE5">
        <w:rPr>
          <w:rFonts w:ascii="Georgia" w:hAnsi="Georgia"/>
          <w:sz w:val="24"/>
          <w:szCs w:val="24"/>
        </w:rPr>
        <w:t>$12.8 million in natural gas fuel costs</w:t>
      </w:r>
      <w:r w:rsidR="00D61839">
        <w:rPr>
          <w:rFonts w:ascii="Georgia" w:hAnsi="Georgia"/>
          <w:sz w:val="24"/>
          <w:szCs w:val="24"/>
        </w:rPr>
        <w:t>, and request that the Commission schedule an evidentiary hearing</w:t>
      </w:r>
      <w:r w:rsidR="00BB6C45">
        <w:rPr>
          <w:rFonts w:ascii="Georgia" w:hAnsi="Georgia"/>
          <w:sz w:val="24"/>
          <w:szCs w:val="24"/>
        </w:rPr>
        <w:t>.</w:t>
      </w:r>
    </w:p>
    <w:p w14:paraId="5C38370E" w14:textId="77777777" w:rsidR="001718B1" w:rsidRDefault="00BB6C45" w:rsidP="006D6BA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1718B1">
        <w:rPr>
          <w:rFonts w:ascii="Georgia" w:hAnsi="Georgia"/>
          <w:sz w:val="24"/>
          <w:szCs w:val="24"/>
        </w:rPr>
        <w:t xml:space="preserve">Sempra’s application seeks after-the-fact natural gas fuel recovery costs of $12.8 million for two power plants operating during the February 2021 winter storm Uri. </w:t>
      </w:r>
      <w:r w:rsidR="001718B1" w:rsidRPr="001718B1">
        <w:rPr>
          <w:rFonts w:ascii="Georgia" w:hAnsi="Georgia"/>
          <w:sz w:val="24"/>
          <w:szCs w:val="24"/>
        </w:rPr>
        <w:t>Sempra owns the 480MW Desert Star Energy Center in Boulder City, Nevada, and is responsible for fuel costs</w:t>
      </w:r>
      <w:r w:rsidR="001718B1">
        <w:rPr>
          <w:rFonts w:ascii="Georgia" w:hAnsi="Georgia"/>
          <w:sz w:val="24"/>
          <w:szCs w:val="24"/>
        </w:rPr>
        <w:t xml:space="preserve"> through a long-term power agreement with Berkshire Hathaway’s 53MW Yuma Cogen facility in Arizona. </w:t>
      </w:r>
    </w:p>
    <w:p w14:paraId="0FAC4130" w14:textId="655F4930" w:rsidR="00713C95" w:rsidRDefault="001718B1" w:rsidP="006D6BA4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9F4DE5">
        <w:rPr>
          <w:rFonts w:ascii="Georgia" w:hAnsi="Georgia"/>
          <w:sz w:val="24"/>
          <w:szCs w:val="24"/>
        </w:rPr>
        <w:t xml:space="preserve">s the California Independent System Operator pointed out in a </w:t>
      </w:r>
      <w:r w:rsidR="0027375E">
        <w:rPr>
          <w:rFonts w:ascii="Georgia" w:hAnsi="Georgia"/>
          <w:sz w:val="24"/>
          <w:szCs w:val="24"/>
        </w:rPr>
        <w:t>similar cost-recovery effort</w:t>
      </w:r>
      <w:r w:rsidR="009F4DE5">
        <w:rPr>
          <w:rFonts w:ascii="Georgia" w:hAnsi="Georgia"/>
          <w:sz w:val="24"/>
          <w:szCs w:val="24"/>
        </w:rPr>
        <w:t xml:space="preserve"> involving another Sempra affiliate,</w:t>
      </w:r>
      <w:r w:rsidR="009F4DE5">
        <w:rPr>
          <w:rStyle w:val="FootnoteReference"/>
          <w:rFonts w:ascii="Georgia" w:hAnsi="Georgia"/>
          <w:sz w:val="24"/>
          <w:szCs w:val="24"/>
        </w:rPr>
        <w:footnoteReference w:id="1"/>
      </w:r>
      <w:r w:rsidR="00AD612B">
        <w:rPr>
          <w:rFonts w:ascii="Georgia" w:hAnsi="Georgia"/>
          <w:sz w:val="24"/>
          <w:szCs w:val="24"/>
        </w:rPr>
        <w:t xml:space="preserve"> </w:t>
      </w:r>
      <w:r w:rsidR="0004219C">
        <w:rPr>
          <w:rFonts w:ascii="Georgia" w:hAnsi="Georgia"/>
          <w:sz w:val="24"/>
          <w:szCs w:val="24"/>
        </w:rPr>
        <w:t>a</w:t>
      </w:r>
      <w:r w:rsidR="0004219C">
        <w:rPr>
          <w:rFonts w:ascii="Georgia" w:hAnsi="Georgia"/>
          <w:sz w:val="24"/>
          <w:szCs w:val="24"/>
        </w:rPr>
        <w:t>llowing Sempra to recover fuel costs after it</w:t>
      </w:r>
      <w:r w:rsidR="0004219C">
        <w:rPr>
          <w:rFonts w:ascii="Georgia" w:hAnsi="Georgia"/>
          <w:sz w:val="24"/>
          <w:szCs w:val="24"/>
        </w:rPr>
        <w:t xml:space="preserve"> </w:t>
      </w:r>
      <w:r w:rsidR="0004219C" w:rsidRPr="0004219C">
        <w:rPr>
          <w:rFonts w:ascii="Georgia" w:hAnsi="Georgia"/>
          <w:sz w:val="24"/>
          <w:szCs w:val="24"/>
        </w:rPr>
        <w:t>submitted minimum cost bid</w:t>
      </w:r>
      <w:r w:rsidR="0004219C">
        <w:rPr>
          <w:rFonts w:ascii="Georgia" w:hAnsi="Georgia"/>
          <w:sz w:val="24"/>
          <w:szCs w:val="24"/>
        </w:rPr>
        <w:t>s</w:t>
      </w:r>
      <w:r w:rsidR="0004219C" w:rsidRPr="0004219C">
        <w:rPr>
          <w:rFonts w:ascii="Georgia" w:hAnsi="Georgia"/>
          <w:sz w:val="24"/>
          <w:szCs w:val="24"/>
        </w:rPr>
        <w:t xml:space="preserve"> </w:t>
      </w:r>
      <w:r w:rsidR="00855667">
        <w:rPr>
          <w:rFonts w:ascii="Georgia" w:hAnsi="Georgia"/>
          <w:sz w:val="24"/>
          <w:szCs w:val="24"/>
        </w:rPr>
        <w:t xml:space="preserve">for generation </w:t>
      </w:r>
      <w:r w:rsidR="0004219C">
        <w:rPr>
          <w:rFonts w:ascii="Georgia" w:hAnsi="Georgia"/>
          <w:sz w:val="24"/>
          <w:szCs w:val="24"/>
        </w:rPr>
        <w:t>resources create</w:t>
      </w:r>
      <w:r w:rsidR="00855667">
        <w:rPr>
          <w:rFonts w:ascii="Georgia" w:hAnsi="Georgia"/>
          <w:sz w:val="24"/>
          <w:szCs w:val="24"/>
        </w:rPr>
        <w:t>s</w:t>
      </w:r>
      <w:r w:rsidR="0004219C">
        <w:rPr>
          <w:rFonts w:ascii="Georgia" w:hAnsi="Georgia"/>
          <w:sz w:val="24"/>
          <w:szCs w:val="24"/>
        </w:rPr>
        <w:t xml:space="preserve"> a market gaming opportunity for Sempra:</w:t>
      </w:r>
    </w:p>
    <w:p w14:paraId="095BD402" w14:textId="4A4D5FEA" w:rsidR="0004219C" w:rsidRDefault="0004219C" w:rsidP="001718B1">
      <w:pPr>
        <w:ind w:firstLine="720"/>
        <w:rPr>
          <w:rFonts w:ascii="Georgia" w:hAnsi="Georgia"/>
          <w:sz w:val="24"/>
          <w:szCs w:val="24"/>
        </w:rPr>
      </w:pPr>
    </w:p>
    <w:p w14:paraId="156573EB" w14:textId="34F4C2CE" w:rsidR="0004219C" w:rsidRPr="00713C95" w:rsidRDefault="0004219C" w:rsidP="0004219C">
      <w:pPr>
        <w:ind w:left="720"/>
        <w:rPr>
          <w:rFonts w:ascii="Georgia" w:hAnsi="Georgia"/>
          <w:sz w:val="24"/>
          <w:szCs w:val="24"/>
        </w:rPr>
      </w:pPr>
      <w:r w:rsidRPr="0004219C">
        <w:rPr>
          <w:rFonts w:ascii="Georgia" w:hAnsi="Georgia"/>
          <w:i/>
          <w:iCs/>
        </w:rPr>
        <w:t>Allowing scheduling coordinators</w:t>
      </w:r>
      <w:r w:rsidRPr="0004219C">
        <w:rPr>
          <w:rFonts w:ascii="Georgia" w:hAnsi="Georgia"/>
          <w:i/>
          <w:iCs/>
        </w:rPr>
        <w:t xml:space="preserve"> </w:t>
      </w:r>
      <w:r w:rsidRPr="0004219C">
        <w:rPr>
          <w:rFonts w:ascii="Georgia" w:hAnsi="Georgia"/>
          <w:i/>
          <w:iCs/>
        </w:rPr>
        <w:t>to seek after-the fact cost recovery when bidding below the cap for minimum load costs</w:t>
      </w:r>
      <w:r w:rsidRPr="0004219C">
        <w:rPr>
          <w:rFonts w:ascii="Georgia" w:hAnsi="Georgia"/>
          <w:i/>
          <w:iCs/>
        </w:rPr>
        <w:t xml:space="preserve"> </w:t>
      </w:r>
      <w:r w:rsidRPr="0004219C">
        <w:rPr>
          <w:rFonts w:ascii="Georgia" w:hAnsi="Georgia"/>
          <w:i/>
          <w:iCs/>
        </w:rPr>
        <w:t>would create an inappropriate incentive to submit artificially low bids and then seek after</w:t>
      </w:r>
      <w:r w:rsidRPr="0004219C">
        <w:rPr>
          <w:rFonts w:ascii="Georgia" w:hAnsi="Georgia"/>
          <w:i/>
          <w:iCs/>
        </w:rPr>
        <w:t xml:space="preserve"> </w:t>
      </w:r>
      <w:r w:rsidRPr="0004219C">
        <w:rPr>
          <w:rFonts w:ascii="Georgia" w:hAnsi="Georgia"/>
          <w:i/>
          <w:iCs/>
        </w:rPr>
        <w:t>the fact cost recovery. The Commission should not accept Sempra’s filing without</w:t>
      </w:r>
      <w:r w:rsidRPr="0004219C">
        <w:rPr>
          <w:rFonts w:ascii="Georgia" w:hAnsi="Georgia"/>
          <w:i/>
          <w:iCs/>
        </w:rPr>
        <w:t xml:space="preserve"> </w:t>
      </w:r>
      <w:r w:rsidRPr="0004219C">
        <w:rPr>
          <w:rFonts w:ascii="Georgia" w:hAnsi="Georgia"/>
          <w:i/>
          <w:iCs/>
        </w:rPr>
        <w:t>allowing parties time to validate Sempra submitted minimum load costs bids at the cap</w:t>
      </w:r>
      <w:r w:rsidRPr="0004219C">
        <w:rPr>
          <w:rFonts w:ascii="Georgia" w:hAnsi="Georgia"/>
          <w:i/>
          <w:iCs/>
        </w:rPr>
        <w:t xml:space="preserve"> </w:t>
      </w:r>
      <w:r w:rsidRPr="0004219C">
        <w:rPr>
          <w:rFonts w:ascii="Georgia" w:hAnsi="Georgia"/>
          <w:i/>
          <w:iCs/>
        </w:rPr>
        <w:t>calculated for the resource based on prevailing gas prices.</w:t>
      </w:r>
      <w:r>
        <w:rPr>
          <w:rStyle w:val="FootnoteReference"/>
          <w:rFonts w:ascii="Georgia" w:hAnsi="Georgia"/>
          <w:sz w:val="24"/>
          <w:szCs w:val="24"/>
        </w:rPr>
        <w:footnoteReference w:id="2"/>
      </w:r>
    </w:p>
    <w:p w14:paraId="5CE871EA" w14:textId="5C66FD04" w:rsidR="00713C95" w:rsidRPr="00713C95" w:rsidRDefault="00713C95">
      <w:pPr>
        <w:rPr>
          <w:rFonts w:ascii="Georgia" w:hAnsi="Georgia"/>
          <w:sz w:val="24"/>
          <w:szCs w:val="24"/>
        </w:rPr>
      </w:pPr>
    </w:p>
    <w:p w14:paraId="31671033" w14:textId="77777777" w:rsidR="008F3CD8" w:rsidRDefault="0004219C" w:rsidP="007D511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Furthermore, it does not appear that the gas price indices upon which Sempra relies </w:t>
      </w:r>
      <w:r w:rsidR="008A7ECA">
        <w:rPr>
          <w:rFonts w:ascii="Georgia" w:hAnsi="Georgia"/>
          <w:sz w:val="24"/>
          <w:szCs w:val="24"/>
        </w:rPr>
        <w:t>are</w:t>
      </w:r>
      <w:r>
        <w:rPr>
          <w:rFonts w:ascii="Georgia" w:hAnsi="Georgia"/>
          <w:sz w:val="24"/>
          <w:szCs w:val="24"/>
        </w:rPr>
        <w:t xml:space="preserve"> structurally competitive, and so any</w:t>
      </w:r>
      <w:r w:rsidR="0038284F">
        <w:rPr>
          <w:rFonts w:ascii="Georgia" w:hAnsi="Georgia"/>
          <w:sz w:val="24"/>
          <w:szCs w:val="24"/>
        </w:rPr>
        <w:t xml:space="preserve"> </w:t>
      </w:r>
      <w:r w:rsidR="00974A62">
        <w:rPr>
          <w:rFonts w:ascii="Georgia" w:hAnsi="Georgia"/>
          <w:sz w:val="24"/>
          <w:szCs w:val="24"/>
        </w:rPr>
        <w:t>reference in the tariff and any cost passed on to consumers</w:t>
      </w:r>
      <w:r w:rsidR="0038284F">
        <w:rPr>
          <w:rFonts w:ascii="Georgia" w:hAnsi="Georgia"/>
          <w:sz w:val="24"/>
          <w:szCs w:val="24"/>
        </w:rPr>
        <w:t xml:space="preserve"> associated with</w:t>
      </w:r>
      <w:r w:rsidR="00791682">
        <w:rPr>
          <w:rFonts w:ascii="Georgia" w:hAnsi="Georgia"/>
          <w:sz w:val="24"/>
          <w:szCs w:val="24"/>
        </w:rPr>
        <w:t xml:space="preserve"> </w:t>
      </w:r>
      <w:r w:rsidR="008F3CD8">
        <w:rPr>
          <w:rFonts w:ascii="Georgia" w:hAnsi="Georgia"/>
          <w:sz w:val="24"/>
          <w:szCs w:val="24"/>
        </w:rPr>
        <w:t xml:space="preserve">these </w:t>
      </w:r>
      <w:r w:rsidR="00791682">
        <w:rPr>
          <w:rFonts w:ascii="Georgia" w:hAnsi="Georgia"/>
          <w:sz w:val="24"/>
          <w:szCs w:val="24"/>
        </w:rPr>
        <w:t>spot indices</w:t>
      </w:r>
      <w:r w:rsidR="0038284F">
        <w:rPr>
          <w:rFonts w:ascii="Georgia" w:hAnsi="Georgia"/>
          <w:sz w:val="24"/>
          <w:szCs w:val="24"/>
        </w:rPr>
        <w:t xml:space="preserve"> cannot be just and reasonable.</w:t>
      </w:r>
      <w:r w:rsidR="008A7ECA">
        <w:rPr>
          <w:rFonts w:ascii="Georgia" w:hAnsi="Georgia"/>
          <w:sz w:val="24"/>
          <w:szCs w:val="24"/>
        </w:rPr>
        <w:t xml:space="preserve"> </w:t>
      </w:r>
    </w:p>
    <w:p w14:paraId="7D51AA43" w14:textId="07A072F7" w:rsidR="00E376C6" w:rsidRDefault="00E376C6" w:rsidP="008F3CD8">
      <w:pPr>
        <w:spacing w:line="36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The June 23 application states that Sempra </w:t>
      </w:r>
      <w:r w:rsidR="00255529">
        <w:rPr>
          <w:rFonts w:ascii="Georgia" w:hAnsi="Georgia"/>
          <w:sz w:val="24"/>
          <w:szCs w:val="24"/>
        </w:rPr>
        <w:t>“</w:t>
      </w:r>
      <w:r w:rsidR="00255529" w:rsidRPr="00255529">
        <w:rPr>
          <w:rFonts w:ascii="Georgia" w:hAnsi="Georgia"/>
          <w:sz w:val="24"/>
          <w:szCs w:val="24"/>
        </w:rPr>
        <w:t>entered into more than two dozen other transactions with various counterparties to</w:t>
      </w:r>
      <w:r w:rsidR="00255529">
        <w:rPr>
          <w:rFonts w:ascii="Georgia" w:hAnsi="Georgia"/>
          <w:sz w:val="24"/>
          <w:szCs w:val="24"/>
        </w:rPr>
        <w:t xml:space="preserve"> </w:t>
      </w:r>
      <w:r w:rsidR="00255529" w:rsidRPr="00255529">
        <w:rPr>
          <w:rFonts w:ascii="Georgia" w:hAnsi="Georgia"/>
          <w:sz w:val="24"/>
          <w:szCs w:val="24"/>
        </w:rPr>
        <w:t xml:space="preserve">procure spot supplies necessary to fuel </w:t>
      </w:r>
      <w:r w:rsidR="009E74B8">
        <w:rPr>
          <w:rFonts w:ascii="Georgia" w:hAnsi="Georgia"/>
          <w:sz w:val="24"/>
          <w:szCs w:val="24"/>
        </w:rPr>
        <w:t>[</w:t>
      </w:r>
      <w:r w:rsidR="00F90636">
        <w:rPr>
          <w:rFonts w:ascii="Georgia" w:hAnsi="Georgia"/>
          <w:sz w:val="24"/>
          <w:szCs w:val="24"/>
        </w:rPr>
        <w:t xml:space="preserve">Desert Star] </w:t>
      </w:r>
      <w:r w:rsidR="00255529" w:rsidRPr="00255529">
        <w:rPr>
          <w:rFonts w:ascii="Georgia" w:hAnsi="Georgia"/>
          <w:sz w:val="24"/>
          <w:szCs w:val="24"/>
        </w:rPr>
        <w:t>DSEC beyond the quantities purchased as baseload volumes.</w:t>
      </w:r>
      <w:r w:rsidR="00255529">
        <w:rPr>
          <w:rFonts w:ascii="Georgia" w:hAnsi="Georgia"/>
          <w:sz w:val="24"/>
          <w:szCs w:val="24"/>
        </w:rPr>
        <w:t>”</w:t>
      </w:r>
      <w:r w:rsidR="00255529">
        <w:rPr>
          <w:rStyle w:val="FootnoteReference"/>
          <w:rFonts w:ascii="Georgia" w:hAnsi="Georgia"/>
          <w:sz w:val="24"/>
          <w:szCs w:val="24"/>
        </w:rPr>
        <w:footnoteReference w:id="3"/>
      </w:r>
    </w:p>
    <w:p w14:paraId="76056894" w14:textId="2CA58B4E" w:rsidR="00713C95" w:rsidRDefault="00F90636" w:rsidP="007D511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B0703">
        <w:rPr>
          <w:rFonts w:ascii="Georgia" w:hAnsi="Georgia"/>
          <w:sz w:val="24"/>
          <w:szCs w:val="24"/>
        </w:rPr>
        <w:t>N</w:t>
      </w:r>
      <w:r w:rsidR="00BB0703" w:rsidRPr="00BB0703">
        <w:rPr>
          <w:rFonts w:ascii="Georgia" w:hAnsi="Georgia"/>
          <w:sz w:val="24"/>
          <w:szCs w:val="24"/>
        </w:rPr>
        <w:t xml:space="preserve">atural gas </w:t>
      </w:r>
      <w:r w:rsidR="00E85883">
        <w:rPr>
          <w:rFonts w:ascii="Georgia" w:hAnsi="Georgia"/>
          <w:sz w:val="24"/>
          <w:szCs w:val="24"/>
        </w:rPr>
        <w:t xml:space="preserve">spot </w:t>
      </w:r>
      <w:r w:rsidR="00BB0703" w:rsidRPr="00BB0703">
        <w:rPr>
          <w:rFonts w:ascii="Georgia" w:hAnsi="Georgia"/>
          <w:sz w:val="24"/>
          <w:szCs w:val="24"/>
        </w:rPr>
        <w:t>index price</w:t>
      </w:r>
      <w:r w:rsidR="00E85883">
        <w:rPr>
          <w:rFonts w:ascii="Georgia" w:hAnsi="Georgia"/>
          <w:sz w:val="24"/>
          <w:szCs w:val="24"/>
        </w:rPr>
        <w:t>s</w:t>
      </w:r>
      <w:r w:rsidR="00BB0703" w:rsidRPr="00BB0703">
        <w:rPr>
          <w:rFonts w:ascii="Georgia" w:hAnsi="Georgia"/>
          <w:sz w:val="24"/>
          <w:szCs w:val="24"/>
        </w:rPr>
        <w:t xml:space="preserve"> derive from </w:t>
      </w:r>
      <w:r w:rsidR="00E85883">
        <w:rPr>
          <w:rFonts w:ascii="Georgia" w:hAnsi="Georgia"/>
          <w:sz w:val="24"/>
          <w:szCs w:val="24"/>
        </w:rPr>
        <w:t xml:space="preserve">voluntarily-reported </w:t>
      </w:r>
      <w:r w:rsidR="00BB0703" w:rsidRPr="00BB0703">
        <w:rPr>
          <w:rFonts w:ascii="Georgia" w:hAnsi="Georgia"/>
          <w:sz w:val="24"/>
          <w:szCs w:val="24"/>
        </w:rPr>
        <w:t>trades within specific geographical boundaries.</w:t>
      </w:r>
      <w:r w:rsidR="00E85883">
        <w:rPr>
          <w:rFonts w:ascii="Georgia" w:hAnsi="Georgia"/>
          <w:sz w:val="24"/>
          <w:szCs w:val="24"/>
        </w:rPr>
        <w:t xml:space="preserve"> </w:t>
      </w:r>
      <w:r w:rsidR="003F45E9">
        <w:rPr>
          <w:rFonts w:ascii="Georgia" w:hAnsi="Georgia"/>
          <w:sz w:val="24"/>
          <w:szCs w:val="24"/>
        </w:rPr>
        <w:t>Key spot indices serving the Nevada and Arizona</w:t>
      </w:r>
      <w:r w:rsidR="005C22EA">
        <w:rPr>
          <w:rFonts w:ascii="Georgia" w:hAnsi="Georgia"/>
          <w:sz w:val="24"/>
          <w:szCs w:val="24"/>
        </w:rPr>
        <w:t xml:space="preserve"> markets experienced massive price spikes based upon</w:t>
      </w:r>
      <w:r w:rsidR="00D6047D">
        <w:rPr>
          <w:rFonts w:ascii="Georgia" w:hAnsi="Georgia"/>
          <w:sz w:val="24"/>
          <w:szCs w:val="24"/>
        </w:rPr>
        <w:t xml:space="preserve"> </w:t>
      </w:r>
      <w:r w:rsidR="005D500E">
        <w:rPr>
          <w:rFonts w:ascii="Georgia" w:hAnsi="Georgia"/>
          <w:sz w:val="24"/>
          <w:szCs w:val="24"/>
        </w:rPr>
        <w:t>voluntarily-reported transactions</w:t>
      </w:r>
      <w:r w:rsidR="00F22765">
        <w:rPr>
          <w:rFonts w:ascii="Georgia" w:hAnsi="Georgia"/>
          <w:sz w:val="24"/>
          <w:szCs w:val="24"/>
        </w:rPr>
        <w:t xml:space="preserve">. </w:t>
      </w:r>
      <w:r w:rsidR="002E79D1" w:rsidRPr="002E79D1">
        <w:rPr>
          <w:rFonts w:ascii="Georgia" w:hAnsi="Georgia"/>
          <w:sz w:val="24"/>
          <w:szCs w:val="24"/>
        </w:rPr>
        <w:t xml:space="preserve">Spot natural gas price indices are structurally </w:t>
      </w:r>
      <w:r w:rsidR="00FE3167">
        <w:rPr>
          <w:rFonts w:ascii="Georgia" w:hAnsi="Georgia"/>
          <w:sz w:val="24"/>
          <w:szCs w:val="24"/>
        </w:rPr>
        <w:t>un</w:t>
      </w:r>
      <w:r w:rsidR="00FE3167" w:rsidRPr="002E79D1">
        <w:rPr>
          <w:rFonts w:ascii="Georgia" w:hAnsi="Georgia"/>
          <w:sz w:val="24"/>
          <w:szCs w:val="24"/>
        </w:rPr>
        <w:t>competitive,</w:t>
      </w:r>
      <w:r w:rsidR="002E79D1" w:rsidRPr="002E79D1">
        <w:rPr>
          <w:rFonts w:ascii="Georgia" w:hAnsi="Georgia"/>
          <w:sz w:val="24"/>
          <w:szCs w:val="24"/>
        </w:rPr>
        <w:t xml:space="preserve"> and the voluntary nature of reporting trades renders them susceptible to market manipulation.</w:t>
      </w:r>
      <w:r w:rsidR="002E79D1" w:rsidRPr="002E79D1">
        <w:rPr>
          <w:rFonts w:ascii="Georgia" w:hAnsi="Georgia"/>
          <w:sz w:val="24"/>
          <w:szCs w:val="24"/>
        </w:rPr>
        <w:t xml:space="preserve"> </w:t>
      </w:r>
      <w:r w:rsidR="008A7ECA">
        <w:rPr>
          <w:rFonts w:ascii="Georgia" w:hAnsi="Georgia"/>
          <w:sz w:val="24"/>
          <w:szCs w:val="24"/>
        </w:rPr>
        <w:t>Prices at the Kern River hub</w:t>
      </w:r>
      <w:r w:rsidR="0038284F">
        <w:rPr>
          <w:rFonts w:ascii="Georgia" w:hAnsi="Georgia"/>
          <w:sz w:val="24"/>
          <w:szCs w:val="24"/>
        </w:rPr>
        <w:t xml:space="preserve"> </w:t>
      </w:r>
      <w:r w:rsidR="00961BC7">
        <w:rPr>
          <w:rFonts w:ascii="Georgia" w:hAnsi="Georgia"/>
          <w:sz w:val="24"/>
          <w:szCs w:val="24"/>
        </w:rPr>
        <w:t>increased nearly 2,500% from February 11 to February 17</w:t>
      </w:r>
      <w:r w:rsidR="00CC72D9">
        <w:rPr>
          <w:rFonts w:ascii="Georgia" w:hAnsi="Georgia"/>
          <w:sz w:val="24"/>
          <w:szCs w:val="24"/>
        </w:rPr>
        <w:t>, with similar price spikes at the SoCal Gas hub</w:t>
      </w:r>
      <w:r w:rsidR="0088607A">
        <w:rPr>
          <w:rFonts w:ascii="Georgia" w:hAnsi="Georgia"/>
          <w:sz w:val="24"/>
          <w:szCs w:val="24"/>
        </w:rPr>
        <w:t xml:space="preserve">, </w:t>
      </w:r>
      <w:r w:rsidR="0088607A" w:rsidRPr="0088607A">
        <w:rPr>
          <w:rFonts w:ascii="Georgia" w:hAnsi="Georgia"/>
          <w:sz w:val="24"/>
          <w:szCs w:val="24"/>
        </w:rPr>
        <w:t xml:space="preserve">and </w:t>
      </w:r>
      <w:r w:rsidR="00164853">
        <w:rPr>
          <w:rFonts w:ascii="Georgia" w:hAnsi="Georgia"/>
          <w:sz w:val="24"/>
          <w:szCs w:val="24"/>
        </w:rPr>
        <w:t xml:space="preserve">at </w:t>
      </w:r>
      <w:r w:rsidR="0088607A" w:rsidRPr="0088607A">
        <w:rPr>
          <w:rFonts w:ascii="Georgia" w:hAnsi="Georgia"/>
          <w:sz w:val="24"/>
          <w:szCs w:val="24"/>
        </w:rPr>
        <w:t>the El Paso South Mainline hub, w</w:t>
      </w:r>
      <w:r w:rsidR="00164853">
        <w:rPr>
          <w:rFonts w:ascii="Georgia" w:hAnsi="Georgia"/>
          <w:sz w:val="24"/>
          <w:szCs w:val="24"/>
        </w:rPr>
        <w:t>here</w:t>
      </w:r>
      <w:r w:rsidR="0088607A" w:rsidRPr="0088607A">
        <w:rPr>
          <w:rFonts w:ascii="Georgia" w:hAnsi="Georgia"/>
          <w:sz w:val="24"/>
          <w:szCs w:val="24"/>
        </w:rPr>
        <w:t xml:space="preserve"> only </w:t>
      </w:r>
      <w:r w:rsidR="0088607A" w:rsidRPr="00D12792">
        <w:rPr>
          <w:rFonts w:ascii="Georgia" w:hAnsi="Georgia"/>
          <w:sz w:val="24"/>
          <w:szCs w:val="24"/>
          <w:u w:val="single"/>
        </w:rPr>
        <w:t>8 trades</w:t>
      </w:r>
      <w:r w:rsidR="0088607A" w:rsidRPr="0088607A">
        <w:rPr>
          <w:rFonts w:ascii="Georgia" w:hAnsi="Georgia"/>
          <w:sz w:val="24"/>
          <w:szCs w:val="24"/>
        </w:rPr>
        <w:t xml:space="preserve"> establish</w:t>
      </w:r>
      <w:r w:rsidR="00164853">
        <w:rPr>
          <w:rFonts w:ascii="Georgia" w:hAnsi="Georgia"/>
          <w:sz w:val="24"/>
          <w:szCs w:val="24"/>
        </w:rPr>
        <w:t>ed</w:t>
      </w:r>
      <w:r w:rsidR="00D12792">
        <w:rPr>
          <w:rFonts w:ascii="Georgia" w:hAnsi="Georgia"/>
          <w:sz w:val="24"/>
          <w:szCs w:val="24"/>
        </w:rPr>
        <w:t xml:space="preserve"> El Paso’s</w:t>
      </w:r>
      <w:r w:rsidR="0088607A" w:rsidRPr="0088607A">
        <w:rPr>
          <w:rFonts w:ascii="Georgia" w:hAnsi="Georgia"/>
          <w:sz w:val="24"/>
          <w:szCs w:val="24"/>
        </w:rPr>
        <w:t xml:space="preserve"> $105.49/MMBtu price on February 17.</w:t>
      </w:r>
      <w:r w:rsidR="00816B67">
        <w:rPr>
          <w:rFonts w:ascii="Georgia" w:hAnsi="Georgia"/>
          <w:sz w:val="24"/>
          <w:szCs w:val="24"/>
        </w:rPr>
        <w:t xml:space="preserve"> </w:t>
      </w:r>
    </w:p>
    <w:p w14:paraId="7D10A716" w14:textId="65DDF697" w:rsidR="00F22765" w:rsidRDefault="00F22765" w:rsidP="007D511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F22765">
        <w:rPr>
          <w:rFonts w:ascii="Georgia" w:hAnsi="Georgia"/>
          <w:sz w:val="24"/>
          <w:szCs w:val="24"/>
        </w:rPr>
        <w:t>Federal law requires the Commission to ensure that spot natural gas price indices feature adequate price discovery and market transparency</w:t>
      </w:r>
      <w:r w:rsidR="00234FCD">
        <w:rPr>
          <w:rStyle w:val="FootnoteReference"/>
          <w:rFonts w:ascii="Georgia" w:hAnsi="Georgia"/>
          <w:sz w:val="24"/>
          <w:szCs w:val="24"/>
        </w:rPr>
        <w:footnoteReference w:id="4"/>
      </w:r>
      <w:r w:rsidR="000673EC">
        <w:rPr>
          <w:rFonts w:ascii="Georgia" w:hAnsi="Georgia"/>
          <w:sz w:val="24"/>
          <w:szCs w:val="24"/>
        </w:rPr>
        <w:t>, and the Commission’s failure to do so renders any attempt to pass through such costs to consumers to be a violation of just and reasonable rates.</w:t>
      </w:r>
    </w:p>
    <w:p w14:paraId="0F49F518" w14:textId="77777777" w:rsidR="00D12792" w:rsidRDefault="00D12792" w:rsidP="007D5114">
      <w:pPr>
        <w:spacing w:line="360" w:lineRule="auto"/>
        <w:rPr>
          <w:rFonts w:ascii="Georgia" w:hAnsi="Georgia"/>
          <w:sz w:val="24"/>
          <w:szCs w:val="24"/>
        </w:rPr>
      </w:pPr>
    </w:p>
    <w:p w14:paraId="17901616" w14:textId="76570BB4" w:rsidR="00713C95" w:rsidRDefault="004177A5" w:rsidP="007D5114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Finally, the July 1 Amendment</w:t>
      </w:r>
      <w:r w:rsidR="00746BE3">
        <w:rPr>
          <w:rFonts w:ascii="Georgia" w:hAnsi="Georgia"/>
          <w:sz w:val="24"/>
          <w:szCs w:val="24"/>
        </w:rPr>
        <w:t xml:space="preserve"> filed by Applicants </w:t>
      </w:r>
      <w:r w:rsidR="004C733A">
        <w:rPr>
          <w:rFonts w:ascii="Georgia" w:hAnsi="Georgia"/>
          <w:sz w:val="24"/>
          <w:szCs w:val="24"/>
        </w:rPr>
        <w:t xml:space="preserve">constitutes a material change </w:t>
      </w:r>
      <w:r w:rsidR="00596ECE">
        <w:rPr>
          <w:rFonts w:ascii="Georgia" w:hAnsi="Georgia"/>
          <w:sz w:val="24"/>
          <w:szCs w:val="24"/>
        </w:rPr>
        <w:t xml:space="preserve">to the June 23 Application </w:t>
      </w:r>
      <w:r w:rsidR="004C733A">
        <w:rPr>
          <w:rFonts w:ascii="Georgia" w:hAnsi="Georgia"/>
          <w:sz w:val="24"/>
          <w:szCs w:val="24"/>
        </w:rPr>
        <w:t>that should have been noticed</w:t>
      </w:r>
      <w:r w:rsidR="00746BE3">
        <w:rPr>
          <w:rFonts w:ascii="Georgia" w:hAnsi="Georgia"/>
          <w:sz w:val="24"/>
          <w:szCs w:val="24"/>
        </w:rPr>
        <w:t xml:space="preserve"> by the Commission</w:t>
      </w:r>
      <w:r w:rsidR="004C733A">
        <w:rPr>
          <w:rFonts w:ascii="Georgia" w:hAnsi="Georgia"/>
          <w:sz w:val="24"/>
          <w:szCs w:val="24"/>
        </w:rPr>
        <w:t xml:space="preserve">. </w:t>
      </w:r>
      <w:r w:rsidR="001A214D">
        <w:rPr>
          <w:rFonts w:ascii="Georgia" w:hAnsi="Georgia"/>
          <w:sz w:val="24"/>
          <w:szCs w:val="24"/>
        </w:rPr>
        <w:t xml:space="preserve">The Commission may be curious as to the reason Applicants filed the July 1 </w:t>
      </w:r>
      <w:r w:rsidR="00904152">
        <w:rPr>
          <w:rFonts w:ascii="Georgia" w:hAnsi="Georgia"/>
          <w:sz w:val="24"/>
          <w:szCs w:val="24"/>
        </w:rPr>
        <w:t>Amendment</w:t>
      </w:r>
      <w:r w:rsidR="001A214D">
        <w:rPr>
          <w:rFonts w:ascii="Georgia" w:hAnsi="Georgia"/>
          <w:sz w:val="24"/>
          <w:szCs w:val="24"/>
        </w:rPr>
        <w:t xml:space="preserve">. Let us explain. </w:t>
      </w:r>
      <w:r w:rsidR="00713C95">
        <w:rPr>
          <w:rFonts w:ascii="Georgia" w:hAnsi="Georgia"/>
          <w:sz w:val="24"/>
          <w:szCs w:val="24"/>
        </w:rPr>
        <w:t xml:space="preserve">The </w:t>
      </w:r>
      <w:r w:rsidR="001A214D">
        <w:rPr>
          <w:rFonts w:ascii="Georgia" w:hAnsi="Georgia"/>
          <w:sz w:val="24"/>
          <w:szCs w:val="24"/>
        </w:rPr>
        <w:t xml:space="preserve">original </w:t>
      </w:r>
      <w:r w:rsidR="00D344D3">
        <w:rPr>
          <w:rFonts w:ascii="Georgia" w:hAnsi="Georgia"/>
          <w:sz w:val="24"/>
          <w:szCs w:val="24"/>
        </w:rPr>
        <w:t>A</w:t>
      </w:r>
      <w:r w:rsidR="00713C95">
        <w:rPr>
          <w:rFonts w:ascii="Georgia" w:hAnsi="Georgia"/>
          <w:sz w:val="24"/>
          <w:szCs w:val="24"/>
        </w:rPr>
        <w:t>pplication was</w:t>
      </w:r>
      <w:r w:rsidR="009F4DE5">
        <w:rPr>
          <w:rFonts w:ascii="Georgia" w:hAnsi="Georgia"/>
          <w:sz w:val="24"/>
          <w:szCs w:val="24"/>
        </w:rPr>
        <w:t xml:space="preserve"> filed</w:t>
      </w:r>
      <w:r w:rsidR="00713C95">
        <w:rPr>
          <w:rFonts w:ascii="Georgia" w:hAnsi="Georgia"/>
          <w:sz w:val="24"/>
          <w:szCs w:val="24"/>
        </w:rPr>
        <w:t xml:space="preserve"> June 23</w:t>
      </w:r>
      <w:r w:rsidR="009F4DE5">
        <w:rPr>
          <w:rFonts w:ascii="Georgia" w:hAnsi="Georgia"/>
          <w:sz w:val="24"/>
          <w:szCs w:val="24"/>
        </w:rPr>
        <w:t>, with</w:t>
      </w:r>
      <w:r w:rsidR="00713C95">
        <w:rPr>
          <w:rFonts w:ascii="Georgia" w:hAnsi="Georgia"/>
          <w:sz w:val="24"/>
          <w:szCs w:val="24"/>
        </w:rPr>
        <w:t xml:space="preserve"> FERC notic</w:t>
      </w:r>
      <w:r w:rsidR="009F4DE5">
        <w:rPr>
          <w:rFonts w:ascii="Georgia" w:hAnsi="Georgia"/>
          <w:sz w:val="24"/>
          <w:szCs w:val="24"/>
        </w:rPr>
        <w:t>ing</w:t>
      </w:r>
      <w:r w:rsidR="00713C95">
        <w:rPr>
          <w:rFonts w:ascii="Georgia" w:hAnsi="Georgia"/>
          <w:sz w:val="24"/>
          <w:szCs w:val="24"/>
        </w:rPr>
        <w:t xml:space="preserve"> </w:t>
      </w:r>
      <w:r w:rsidR="00D344D3">
        <w:rPr>
          <w:rFonts w:ascii="Georgia" w:hAnsi="Georgia"/>
          <w:sz w:val="24"/>
          <w:szCs w:val="24"/>
        </w:rPr>
        <w:t>it</w:t>
      </w:r>
      <w:r w:rsidR="00713C95">
        <w:rPr>
          <w:rFonts w:ascii="Georgia" w:hAnsi="Georgia"/>
          <w:sz w:val="24"/>
          <w:szCs w:val="24"/>
        </w:rPr>
        <w:t xml:space="preserve"> June 24</w:t>
      </w:r>
      <w:r w:rsidR="009F4DE5">
        <w:rPr>
          <w:rFonts w:ascii="Georgia" w:hAnsi="Georgia"/>
          <w:sz w:val="24"/>
          <w:szCs w:val="24"/>
        </w:rPr>
        <w:t xml:space="preserve">. </w:t>
      </w:r>
      <w:r w:rsidR="00713C95">
        <w:rPr>
          <w:rFonts w:ascii="Georgia" w:hAnsi="Georgia"/>
          <w:sz w:val="24"/>
          <w:szCs w:val="24"/>
        </w:rPr>
        <w:t>Public Citizen intervened on Friday June 25</w:t>
      </w:r>
      <w:r w:rsidR="00963D83">
        <w:rPr>
          <w:rFonts w:ascii="Georgia" w:hAnsi="Georgia"/>
          <w:sz w:val="24"/>
          <w:szCs w:val="24"/>
        </w:rPr>
        <w:t xml:space="preserve">. On Monday, June 28 we emailed Sempra’s counsel </w:t>
      </w:r>
      <w:r w:rsidR="00D36822">
        <w:rPr>
          <w:rFonts w:ascii="Georgia" w:hAnsi="Georgia"/>
          <w:sz w:val="24"/>
          <w:szCs w:val="24"/>
        </w:rPr>
        <w:t xml:space="preserve">the executed protective order in Exhibit A and </w:t>
      </w:r>
      <w:r w:rsidR="00963D83">
        <w:rPr>
          <w:rFonts w:ascii="Georgia" w:hAnsi="Georgia"/>
          <w:sz w:val="24"/>
          <w:szCs w:val="24"/>
        </w:rPr>
        <w:t>request</w:t>
      </w:r>
      <w:r w:rsidR="00D36822">
        <w:rPr>
          <w:rFonts w:ascii="Georgia" w:hAnsi="Georgia"/>
          <w:sz w:val="24"/>
          <w:szCs w:val="24"/>
        </w:rPr>
        <w:t>ed</w:t>
      </w:r>
      <w:r w:rsidR="00713C95" w:rsidRPr="00713C95">
        <w:rPr>
          <w:rFonts w:ascii="Georgia" w:hAnsi="Georgia"/>
          <w:sz w:val="24"/>
          <w:szCs w:val="24"/>
        </w:rPr>
        <w:t xml:space="preserve"> access to the non-public portion of the application.</w:t>
      </w:r>
      <w:r w:rsidR="00713C95">
        <w:rPr>
          <w:rFonts w:ascii="Georgia" w:hAnsi="Georgia"/>
          <w:sz w:val="24"/>
          <w:szCs w:val="24"/>
        </w:rPr>
        <w:t xml:space="preserve"> Sempra’s counsel informed us on Wednesday June </w:t>
      </w:r>
      <w:r w:rsidR="00B846A2">
        <w:rPr>
          <w:rFonts w:ascii="Georgia" w:hAnsi="Georgia"/>
          <w:sz w:val="24"/>
          <w:szCs w:val="24"/>
        </w:rPr>
        <w:t>30</w:t>
      </w:r>
      <w:r w:rsidR="00713C95">
        <w:rPr>
          <w:rFonts w:ascii="Georgia" w:hAnsi="Georgia"/>
          <w:sz w:val="24"/>
          <w:szCs w:val="24"/>
        </w:rPr>
        <w:t xml:space="preserve"> that </w:t>
      </w:r>
      <w:r w:rsidR="000569C9">
        <w:rPr>
          <w:rFonts w:ascii="Georgia" w:hAnsi="Georgia"/>
          <w:sz w:val="24"/>
          <w:szCs w:val="24"/>
        </w:rPr>
        <w:t>Attachment A of the June 23 Application</w:t>
      </w:r>
      <w:r w:rsidR="00B72A76">
        <w:rPr>
          <w:rFonts w:ascii="Georgia" w:hAnsi="Georgia"/>
          <w:sz w:val="24"/>
          <w:szCs w:val="24"/>
        </w:rPr>
        <w:t xml:space="preserve"> was</w:t>
      </w:r>
      <w:r w:rsidR="00713C95">
        <w:rPr>
          <w:rFonts w:ascii="Georgia" w:hAnsi="Georgia"/>
          <w:sz w:val="24"/>
          <w:szCs w:val="24"/>
        </w:rPr>
        <w:t xml:space="preserve"> </w:t>
      </w:r>
      <w:r w:rsidR="00B72A76">
        <w:rPr>
          <w:rFonts w:ascii="Georgia" w:hAnsi="Georgia"/>
          <w:sz w:val="24"/>
          <w:szCs w:val="24"/>
        </w:rPr>
        <w:t>merely</w:t>
      </w:r>
      <w:r w:rsidR="00713C95">
        <w:rPr>
          <w:rFonts w:ascii="Georgia" w:hAnsi="Georgia"/>
          <w:sz w:val="24"/>
          <w:szCs w:val="24"/>
        </w:rPr>
        <w:t xml:space="preserve"> a </w:t>
      </w:r>
      <w:r w:rsidR="00713C95" w:rsidRPr="00B72A76">
        <w:rPr>
          <w:rFonts w:ascii="Georgia" w:hAnsi="Georgia"/>
          <w:i/>
          <w:iCs/>
          <w:sz w:val="24"/>
          <w:szCs w:val="24"/>
        </w:rPr>
        <w:t>proposed</w:t>
      </w:r>
      <w:r w:rsidR="00713C95" w:rsidRPr="00713C95">
        <w:rPr>
          <w:rFonts w:ascii="Georgia" w:hAnsi="Georgia"/>
          <w:sz w:val="24"/>
          <w:szCs w:val="24"/>
        </w:rPr>
        <w:t xml:space="preserve"> protective order</w:t>
      </w:r>
      <w:r w:rsidR="00B72A76">
        <w:rPr>
          <w:rFonts w:ascii="Georgia" w:hAnsi="Georgia"/>
          <w:sz w:val="24"/>
          <w:szCs w:val="24"/>
        </w:rPr>
        <w:t xml:space="preserve">, </w:t>
      </w:r>
      <w:r w:rsidR="005F13F0">
        <w:rPr>
          <w:rFonts w:ascii="Georgia" w:hAnsi="Georgia"/>
          <w:sz w:val="24"/>
          <w:szCs w:val="24"/>
        </w:rPr>
        <w:t>and that</w:t>
      </w:r>
      <w:r w:rsidR="00B72A76">
        <w:rPr>
          <w:rFonts w:ascii="Georgia" w:hAnsi="Georgia"/>
          <w:sz w:val="24"/>
          <w:szCs w:val="24"/>
        </w:rPr>
        <w:t xml:space="preserve"> although </w:t>
      </w:r>
      <w:r w:rsidR="00B846A2">
        <w:rPr>
          <w:rFonts w:ascii="Georgia" w:hAnsi="Georgia"/>
          <w:sz w:val="24"/>
          <w:szCs w:val="24"/>
        </w:rPr>
        <w:t xml:space="preserve">we had </w:t>
      </w:r>
      <w:r w:rsidR="00904152">
        <w:rPr>
          <w:rFonts w:ascii="Georgia" w:hAnsi="Georgia"/>
          <w:sz w:val="24"/>
          <w:szCs w:val="24"/>
        </w:rPr>
        <w:t>executed</w:t>
      </w:r>
      <w:r w:rsidR="00B846A2">
        <w:rPr>
          <w:rFonts w:ascii="Georgia" w:hAnsi="Georgia"/>
          <w:sz w:val="24"/>
          <w:szCs w:val="24"/>
        </w:rPr>
        <w:t xml:space="preserve"> and delivered the protective order on June</w:t>
      </w:r>
      <w:r w:rsidR="00917C2C">
        <w:rPr>
          <w:rFonts w:ascii="Georgia" w:hAnsi="Georgia"/>
          <w:sz w:val="24"/>
          <w:szCs w:val="24"/>
        </w:rPr>
        <w:t xml:space="preserve"> 28,</w:t>
      </w:r>
      <w:r w:rsidR="00B846A2">
        <w:rPr>
          <w:rFonts w:ascii="Georgia" w:hAnsi="Georgia"/>
          <w:sz w:val="24"/>
          <w:szCs w:val="24"/>
        </w:rPr>
        <w:t xml:space="preserve"> </w:t>
      </w:r>
      <w:r w:rsidR="00713C95">
        <w:rPr>
          <w:rFonts w:ascii="Georgia" w:hAnsi="Georgia"/>
          <w:sz w:val="24"/>
          <w:szCs w:val="24"/>
        </w:rPr>
        <w:t>they</w:t>
      </w:r>
      <w:r w:rsidR="00917C2C">
        <w:rPr>
          <w:rFonts w:ascii="Georgia" w:hAnsi="Georgia"/>
          <w:sz w:val="24"/>
          <w:szCs w:val="24"/>
        </w:rPr>
        <w:t xml:space="preserve"> could not provide Public Citizen access to the </w:t>
      </w:r>
      <w:r w:rsidR="00904152">
        <w:rPr>
          <w:rFonts w:ascii="Georgia" w:hAnsi="Georgia"/>
          <w:sz w:val="24"/>
          <w:szCs w:val="24"/>
        </w:rPr>
        <w:t>privileged</w:t>
      </w:r>
      <w:r w:rsidR="00917C2C">
        <w:rPr>
          <w:rFonts w:ascii="Georgia" w:hAnsi="Georgia"/>
          <w:sz w:val="24"/>
          <w:szCs w:val="24"/>
        </w:rPr>
        <w:t xml:space="preserve"> materials until a FERC Administrative Law Judge</w:t>
      </w:r>
      <w:r w:rsidR="00B31604">
        <w:rPr>
          <w:rFonts w:ascii="Georgia" w:hAnsi="Georgia"/>
          <w:sz w:val="24"/>
          <w:szCs w:val="24"/>
        </w:rPr>
        <w:t xml:space="preserve"> reviewed and approved the proposed protective order. We informed Sempra’s counsel that if they did not</w:t>
      </w:r>
      <w:r w:rsidR="00B702C1">
        <w:rPr>
          <w:rFonts w:ascii="Georgia" w:hAnsi="Georgia"/>
          <w:sz w:val="24"/>
          <w:szCs w:val="24"/>
        </w:rPr>
        <w:t xml:space="preserve"> provide the requested </w:t>
      </w:r>
      <w:r w:rsidR="00904152">
        <w:rPr>
          <w:rFonts w:ascii="Georgia" w:hAnsi="Georgia"/>
          <w:sz w:val="24"/>
          <w:szCs w:val="24"/>
        </w:rPr>
        <w:t>privileged</w:t>
      </w:r>
      <w:r w:rsidR="00B702C1">
        <w:rPr>
          <w:rFonts w:ascii="Georgia" w:hAnsi="Georgia"/>
          <w:sz w:val="24"/>
          <w:szCs w:val="24"/>
        </w:rPr>
        <w:t xml:space="preserve"> material in five days, then </w:t>
      </w:r>
      <w:r w:rsidR="002B31C6">
        <w:rPr>
          <w:rFonts w:ascii="Georgia" w:hAnsi="Georgia"/>
          <w:sz w:val="24"/>
          <w:szCs w:val="24"/>
        </w:rPr>
        <w:t>we</w:t>
      </w:r>
      <w:r w:rsidR="00B702C1">
        <w:rPr>
          <w:rFonts w:ascii="Georgia" w:hAnsi="Georgia"/>
          <w:sz w:val="24"/>
          <w:szCs w:val="24"/>
        </w:rPr>
        <w:t xml:space="preserve"> would file a motion requesting an extension of time. </w:t>
      </w:r>
      <w:r w:rsidR="00557E02">
        <w:rPr>
          <w:rFonts w:ascii="Georgia" w:hAnsi="Georgia"/>
          <w:sz w:val="24"/>
          <w:szCs w:val="24"/>
        </w:rPr>
        <w:t xml:space="preserve">Only after that </w:t>
      </w:r>
      <w:r w:rsidR="00557E02">
        <w:rPr>
          <w:rFonts w:ascii="Georgia" w:hAnsi="Georgia"/>
          <w:sz w:val="24"/>
          <w:szCs w:val="24"/>
        </w:rPr>
        <w:lastRenderedPageBreak/>
        <w:t>email did</w:t>
      </w:r>
      <w:r w:rsidR="00713C95">
        <w:rPr>
          <w:rFonts w:ascii="Georgia" w:hAnsi="Georgia"/>
          <w:sz w:val="24"/>
          <w:szCs w:val="24"/>
        </w:rPr>
        <w:t xml:space="preserve"> Sempra’s counsel amend their Application on Thursday, July 1 at 4:26pm EST</w:t>
      </w:r>
      <w:r w:rsidR="00BA2C69">
        <w:rPr>
          <w:rFonts w:ascii="Cambria" w:hAnsi="Cambria"/>
          <w:sz w:val="24"/>
          <w:szCs w:val="24"/>
        </w:rPr>
        <w:t>—</w:t>
      </w:r>
      <w:r w:rsidR="00713C95">
        <w:rPr>
          <w:rFonts w:ascii="Georgia" w:hAnsi="Georgia"/>
          <w:sz w:val="24"/>
          <w:szCs w:val="24"/>
        </w:rPr>
        <w:t xml:space="preserve">just before a long </w:t>
      </w:r>
      <w:r w:rsidR="00A07B65">
        <w:rPr>
          <w:rFonts w:ascii="Georgia" w:hAnsi="Georgia"/>
          <w:sz w:val="24"/>
          <w:szCs w:val="24"/>
        </w:rPr>
        <w:t xml:space="preserve">federal </w:t>
      </w:r>
      <w:r w:rsidR="00713C95">
        <w:rPr>
          <w:rFonts w:ascii="Georgia" w:hAnsi="Georgia"/>
          <w:sz w:val="24"/>
          <w:szCs w:val="24"/>
        </w:rPr>
        <w:t xml:space="preserve">holiday weekend. We informed counsel that we no longer </w:t>
      </w:r>
      <w:r w:rsidR="00BA2C69">
        <w:rPr>
          <w:rFonts w:ascii="Georgia" w:hAnsi="Georgia"/>
          <w:sz w:val="24"/>
          <w:szCs w:val="24"/>
        </w:rPr>
        <w:t>wanted to</w:t>
      </w:r>
      <w:r w:rsidR="00713C95">
        <w:rPr>
          <w:rFonts w:ascii="Georgia" w:hAnsi="Georgia"/>
          <w:sz w:val="24"/>
          <w:szCs w:val="24"/>
        </w:rPr>
        <w:t xml:space="preserve"> access the </w:t>
      </w:r>
      <w:r w:rsidR="00904152">
        <w:rPr>
          <w:rFonts w:ascii="Georgia" w:hAnsi="Georgia"/>
          <w:sz w:val="24"/>
          <w:szCs w:val="24"/>
        </w:rPr>
        <w:t>privileged</w:t>
      </w:r>
      <w:r w:rsidR="00713C95">
        <w:rPr>
          <w:rFonts w:ascii="Georgia" w:hAnsi="Georgia"/>
          <w:sz w:val="24"/>
          <w:szCs w:val="24"/>
        </w:rPr>
        <w:t xml:space="preserve"> material because </w:t>
      </w:r>
      <w:r w:rsidR="00904152">
        <w:rPr>
          <w:rFonts w:ascii="Georgia" w:hAnsi="Georgia"/>
          <w:sz w:val="24"/>
          <w:szCs w:val="24"/>
        </w:rPr>
        <w:t>of our</w:t>
      </w:r>
      <w:r w:rsidR="00713C95">
        <w:rPr>
          <w:rFonts w:ascii="Georgia" w:hAnsi="Georgia"/>
          <w:sz w:val="24"/>
          <w:szCs w:val="24"/>
        </w:rPr>
        <w:t xml:space="preserve"> vacation</w:t>
      </w:r>
      <w:r w:rsidR="003807F2">
        <w:rPr>
          <w:rFonts w:ascii="Georgia" w:hAnsi="Georgia"/>
          <w:sz w:val="24"/>
          <w:szCs w:val="24"/>
        </w:rPr>
        <w:t xml:space="preserve"> that began Friday July</w:t>
      </w:r>
      <w:r w:rsidR="007D5114">
        <w:rPr>
          <w:rFonts w:ascii="Georgia" w:hAnsi="Georgia"/>
          <w:sz w:val="24"/>
          <w:szCs w:val="24"/>
        </w:rPr>
        <w:t xml:space="preserve"> 2</w:t>
      </w:r>
      <w:r w:rsidR="00904152">
        <w:rPr>
          <w:rFonts w:ascii="Georgia" w:hAnsi="Georgia"/>
          <w:sz w:val="24"/>
          <w:szCs w:val="24"/>
        </w:rPr>
        <w:t xml:space="preserve"> through</w:t>
      </w:r>
      <w:r w:rsidR="009F4DE5">
        <w:rPr>
          <w:rFonts w:ascii="Georgia" w:hAnsi="Georgia"/>
          <w:sz w:val="24"/>
          <w:szCs w:val="24"/>
        </w:rPr>
        <w:t xml:space="preserve"> Monday July 12</w:t>
      </w:r>
      <w:r w:rsidR="00713C95">
        <w:rPr>
          <w:rFonts w:ascii="Georgia" w:hAnsi="Georgia"/>
          <w:sz w:val="24"/>
          <w:szCs w:val="24"/>
        </w:rPr>
        <w:t>.</w:t>
      </w:r>
    </w:p>
    <w:p w14:paraId="00D42FAE" w14:textId="6735DFAE" w:rsidR="00904152" w:rsidRDefault="00904152" w:rsidP="00713C95">
      <w:pPr>
        <w:rPr>
          <w:rFonts w:ascii="Georgia" w:hAnsi="Georgia"/>
          <w:sz w:val="24"/>
          <w:szCs w:val="24"/>
        </w:rPr>
      </w:pPr>
    </w:p>
    <w:p w14:paraId="18D2FC44" w14:textId="71248AC7" w:rsidR="00904152" w:rsidRDefault="00904152" w:rsidP="00713C95">
      <w:pPr>
        <w:rPr>
          <w:rFonts w:ascii="Georgia" w:hAnsi="Georgia"/>
          <w:sz w:val="24"/>
          <w:szCs w:val="24"/>
        </w:rPr>
      </w:pPr>
    </w:p>
    <w:p w14:paraId="21ECD879" w14:textId="298459B0" w:rsidR="00904152" w:rsidRDefault="00904152" w:rsidP="00713C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Respectfully submitted,</w:t>
      </w:r>
    </w:p>
    <w:p w14:paraId="55717453" w14:textId="7C88879D" w:rsidR="00904152" w:rsidRDefault="00904152" w:rsidP="00713C95">
      <w:pPr>
        <w:rPr>
          <w:rFonts w:ascii="Georgia" w:hAnsi="Georgia"/>
          <w:sz w:val="24"/>
          <w:szCs w:val="24"/>
        </w:rPr>
      </w:pPr>
    </w:p>
    <w:p w14:paraId="1CC78EB8" w14:textId="31758694" w:rsidR="00904152" w:rsidRDefault="00904152" w:rsidP="00713C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Tyson Slocum, Energy Program Director</w:t>
      </w:r>
    </w:p>
    <w:p w14:paraId="04B8AB58" w14:textId="7BCF14D4" w:rsidR="00904152" w:rsidRDefault="00904152" w:rsidP="00713C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Public Citizen, Inc.</w:t>
      </w:r>
    </w:p>
    <w:p w14:paraId="525F14FB" w14:textId="1A71F6A6" w:rsidR="00904152" w:rsidRDefault="00904152" w:rsidP="00713C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215 Pennsylvania Ave SE</w:t>
      </w:r>
    </w:p>
    <w:p w14:paraId="2110038A" w14:textId="60CE5F3D" w:rsidR="00904152" w:rsidRDefault="00904152" w:rsidP="00713C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Washington, DC  20003</w:t>
      </w:r>
    </w:p>
    <w:p w14:paraId="68289BF9" w14:textId="73401C5E" w:rsidR="00904152" w:rsidRDefault="00904152" w:rsidP="00713C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3807F2">
        <w:rPr>
          <w:rFonts w:ascii="Georgia" w:hAnsi="Georgia"/>
          <w:sz w:val="24"/>
          <w:szCs w:val="24"/>
        </w:rPr>
        <w:t>(202) 454-5191</w:t>
      </w:r>
    </w:p>
    <w:p w14:paraId="7D8D2473" w14:textId="110A0B48" w:rsidR="003807F2" w:rsidRPr="00BA2C69" w:rsidRDefault="003807F2" w:rsidP="00713C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hyperlink r:id="rId7" w:history="1">
        <w:r w:rsidR="00BA2C69" w:rsidRPr="00BA2C69">
          <w:rPr>
            <w:rStyle w:val="Hyperlink"/>
            <w:rFonts w:ascii="Georgia" w:hAnsi="Georgia"/>
            <w:color w:val="auto"/>
            <w:sz w:val="24"/>
            <w:szCs w:val="24"/>
            <w:u w:val="none"/>
          </w:rPr>
          <w:t>tslocum@citizen.org</w:t>
        </w:r>
      </w:hyperlink>
    </w:p>
    <w:p w14:paraId="11147AF3" w14:textId="42368A71" w:rsidR="00BA2C69" w:rsidRDefault="00BA2C69" w:rsidP="00713C95">
      <w:pPr>
        <w:rPr>
          <w:rFonts w:ascii="Georgia" w:hAnsi="Georgia"/>
          <w:sz w:val="24"/>
          <w:szCs w:val="24"/>
        </w:rPr>
      </w:pPr>
    </w:p>
    <w:p w14:paraId="4169E798" w14:textId="16E68431" w:rsidR="00BA2C69" w:rsidRDefault="00BA2C69" w:rsidP="00713C95">
      <w:pPr>
        <w:rPr>
          <w:rFonts w:ascii="Georgia" w:hAnsi="Georgia"/>
          <w:sz w:val="24"/>
          <w:szCs w:val="24"/>
        </w:rPr>
      </w:pPr>
    </w:p>
    <w:p w14:paraId="246A1AB4" w14:textId="77777777" w:rsidR="00BA2C69" w:rsidRDefault="00BA2C69" w:rsidP="00713C95">
      <w:pPr>
        <w:rPr>
          <w:rFonts w:ascii="Georgia" w:hAnsi="Georgia"/>
          <w:sz w:val="24"/>
          <w:szCs w:val="24"/>
        </w:rPr>
      </w:pPr>
    </w:p>
    <w:p w14:paraId="631E411D" w14:textId="0B5B2211" w:rsidR="00BA2C69" w:rsidRPr="00713C95" w:rsidRDefault="00BA2C69" w:rsidP="00713C9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Filed July 14, 2021</w:t>
      </w:r>
    </w:p>
    <w:sectPr w:rsidR="00BA2C69" w:rsidRPr="00713C95" w:rsidSect="00BA2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1DABC" w14:textId="77777777" w:rsidR="00694A4F" w:rsidRDefault="00694A4F" w:rsidP="009F4DE5">
      <w:r>
        <w:separator/>
      </w:r>
    </w:p>
  </w:endnote>
  <w:endnote w:type="continuationSeparator" w:id="0">
    <w:p w14:paraId="6D3372F0" w14:textId="77777777" w:rsidR="00694A4F" w:rsidRDefault="00694A4F" w:rsidP="009F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E07B3" w14:textId="77777777" w:rsidR="00BA2C69" w:rsidRDefault="00BA2C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907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CD9F8D" w14:textId="28D4799B" w:rsidR="00BA2C69" w:rsidRDefault="00BA2C6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9EEF1F" w14:textId="77777777" w:rsidR="00BA2C69" w:rsidRDefault="00BA2C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726F0" w14:textId="77777777" w:rsidR="00BA2C69" w:rsidRDefault="00BA2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9FD9B" w14:textId="77777777" w:rsidR="00694A4F" w:rsidRDefault="00694A4F" w:rsidP="009F4DE5">
      <w:r>
        <w:separator/>
      </w:r>
    </w:p>
  </w:footnote>
  <w:footnote w:type="continuationSeparator" w:id="0">
    <w:p w14:paraId="55D08BB4" w14:textId="77777777" w:rsidR="00694A4F" w:rsidRDefault="00694A4F" w:rsidP="009F4DE5">
      <w:r>
        <w:continuationSeparator/>
      </w:r>
    </w:p>
  </w:footnote>
  <w:footnote w:id="1">
    <w:p w14:paraId="27623C96" w14:textId="697CE0BB" w:rsidR="009F4DE5" w:rsidRDefault="009F4D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4DE5">
        <w:rPr>
          <w:rFonts w:ascii="Georgia" w:hAnsi="Georgia"/>
        </w:rPr>
        <w:t xml:space="preserve">FERC Docket No. </w:t>
      </w:r>
      <w:r w:rsidRPr="009F4DE5">
        <w:rPr>
          <w:rFonts w:ascii="Georgia" w:hAnsi="Georgia"/>
        </w:rPr>
        <w:t>ER21-2192</w:t>
      </w:r>
      <w:r w:rsidRPr="009F4DE5">
        <w:rPr>
          <w:rFonts w:ascii="Georgia" w:hAnsi="Georgia"/>
        </w:rPr>
        <w:t>.</w:t>
      </w:r>
    </w:p>
  </w:footnote>
  <w:footnote w:id="2">
    <w:p w14:paraId="2CE21634" w14:textId="5D0D049B" w:rsidR="0004219C" w:rsidRDefault="000421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219C">
        <w:rPr>
          <w:rFonts w:ascii="Georgia" w:hAnsi="Georgia"/>
        </w:rPr>
        <w:t>July 9, 2021 CAISO protest in FERC Docket No. ER21-2192, at page 4.</w:t>
      </w:r>
    </w:p>
  </w:footnote>
  <w:footnote w:id="3">
    <w:p w14:paraId="69E094F8" w14:textId="0511A2B4" w:rsidR="00255529" w:rsidRDefault="002555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E74B8" w:rsidRPr="009E74B8">
        <w:rPr>
          <w:rFonts w:ascii="Georgia" w:hAnsi="Georgia"/>
        </w:rPr>
        <w:t>At page 9.</w:t>
      </w:r>
    </w:p>
  </w:footnote>
  <w:footnote w:id="4">
    <w:p w14:paraId="5C985099" w14:textId="6E5534E2" w:rsidR="00234FCD" w:rsidRDefault="00234F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77A5">
        <w:rPr>
          <w:rFonts w:ascii="Georgia" w:hAnsi="Georgia"/>
        </w:rPr>
        <w:t>15 USC §</w:t>
      </w:r>
      <w:r w:rsidRPr="004177A5">
        <w:rPr>
          <w:rFonts w:ascii="Times New Roman" w:hAnsi="Times New Roman" w:cs="Times New Roman"/>
        </w:rPr>
        <w:t> </w:t>
      </w:r>
      <w:r w:rsidRPr="004177A5">
        <w:rPr>
          <w:rFonts w:ascii="Georgia" w:hAnsi="Georgia"/>
        </w:rPr>
        <w:t>717t</w:t>
      </w:r>
      <w:r w:rsidRPr="004177A5">
        <w:rPr>
          <w:rFonts w:ascii="Georgia" w:hAnsi="Georgia" w:cs="Georgia"/>
        </w:rPr>
        <w:t>–</w:t>
      </w:r>
      <w:r w:rsidRPr="004177A5">
        <w:rPr>
          <w:rFonts w:ascii="Georgia" w:hAnsi="Georgia"/>
        </w:rPr>
        <w:t>2(a)(4)</w:t>
      </w:r>
      <w:r w:rsidRPr="004177A5">
        <w:rPr>
          <w:rFonts w:ascii="Georgia" w:hAnsi="Georgia"/>
        </w:rPr>
        <w:t xml:space="preserve">. See Public Citizen’s </w:t>
      </w:r>
      <w:r w:rsidR="002B2A2C" w:rsidRPr="004177A5">
        <w:rPr>
          <w:rFonts w:ascii="Georgia" w:hAnsi="Georgia"/>
        </w:rPr>
        <w:t xml:space="preserve">June 1, 2021 Comments in FERC Docket No. </w:t>
      </w:r>
      <w:r w:rsidR="004177A5" w:rsidRPr="004177A5">
        <w:rPr>
          <w:rFonts w:ascii="Georgia" w:hAnsi="Georgia"/>
        </w:rPr>
        <w:t>RM20-7</w:t>
      </w:r>
      <w:r w:rsidR="004177A5" w:rsidRPr="004177A5">
        <w:rPr>
          <w:rFonts w:ascii="Georgia" w:hAnsi="Georgi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C719" w14:textId="77777777" w:rsidR="00BA2C69" w:rsidRDefault="00BA2C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69D2B" w14:textId="77777777" w:rsidR="00BA2C69" w:rsidRDefault="00BA2C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11663" w14:textId="77777777" w:rsidR="00BA2C69" w:rsidRDefault="00BA2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95"/>
    <w:rsid w:val="0004219C"/>
    <w:rsid w:val="000569C9"/>
    <w:rsid w:val="000673EC"/>
    <w:rsid w:val="000E15EC"/>
    <w:rsid w:val="00164853"/>
    <w:rsid w:val="001718B1"/>
    <w:rsid w:val="001A214D"/>
    <w:rsid w:val="001E68F3"/>
    <w:rsid w:val="00234FCD"/>
    <w:rsid w:val="00255529"/>
    <w:rsid w:val="0027375E"/>
    <w:rsid w:val="002B2A2C"/>
    <w:rsid w:val="002B31C6"/>
    <w:rsid w:val="002E79D1"/>
    <w:rsid w:val="003807F2"/>
    <w:rsid w:val="0038284F"/>
    <w:rsid w:val="003F45E9"/>
    <w:rsid w:val="004177A5"/>
    <w:rsid w:val="004A0350"/>
    <w:rsid w:val="004C733A"/>
    <w:rsid w:val="004E27ED"/>
    <w:rsid w:val="00557E02"/>
    <w:rsid w:val="00596ECE"/>
    <w:rsid w:val="005B7D26"/>
    <w:rsid w:val="005C22EA"/>
    <w:rsid w:val="005D500E"/>
    <w:rsid w:val="005F13F0"/>
    <w:rsid w:val="00623C81"/>
    <w:rsid w:val="00662EDA"/>
    <w:rsid w:val="00694A4F"/>
    <w:rsid w:val="006D6BA4"/>
    <w:rsid w:val="00702D91"/>
    <w:rsid w:val="007106FF"/>
    <w:rsid w:val="00713C95"/>
    <w:rsid w:val="00746BE3"/>
    <w:rsid w:val="00791682"/>
    <w:rsid w:val="007D5114"/>
    <w:rsid w:val="00816B67"/>
    <w:rsid w:val="00855667"/>
    <w:rsid w:val="0088607A"/>
    <w:rsid w:val="008A7ECA"/>
    <w:rsid w:val="008F3CD8"/>
    <w:rsid w:val="00904152"/>
    <w:rsid w:val="00917C2C"/>
    <w:rsid w:val="00961BC7"/>
    <w:rsid w:val="00963D83"/>
    <w:rsid w:val="00974A62"/>
    <w:rsid w:val="009E74B8"/>
    <w:rsid w:val="009F4DE5"/>
    <w:rsid w:val="00A07B65"/>
    <w:rsid w:val="00AD612B"/>
    <w:rsid w:val="00B31604"/>
    <w:rsid w:val="00B702C1"/>
    <w:rsid w:val="00B72A76"/>
    <w:rsid w:val="00B846A2"/>
    <w:rsid w:val="00BA2C69"/>
    <w:rsid w:val="00BB0703"/>
    <w:rsid w:val="00BB6C45"/>
    <w:rsid w:val="00C4292F"/>
    <w:rsid w:val="00CA018B"/>
    <w:rsid w:val="00CC72D9"/>
    <w:rsid w:val="00D12792"/>
    <w:rsid w:val="00D344D3"/>
    <w:rsid w:val="00D36822"/>
    <w:rsid w:val="00D41D20"/>
    <w:rsid w:val="00D6047D"/>
    <w:rsid w:val="00D61839"/>
    <w:rsid w:val="00DD563F"/>
    <w:rsid w:val="00E376C6"/>
    <w:rsid w:val="00E85883"/>
    <w:rsid w:val="00EF363E"/>
    <w:rsid w:val="00F22765"/>
    <w:rsid w:val="00F90636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B6C8"/>
  <w15:chartTrackingRefBased/>
  <w15:docId w15:val="{F8611ABC-6D57-40FF-AC80-A56C3E0A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E68F3"/>
    <w:pPr>
      <w:keepLines/>
      <w:widowControl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68F3"/>
  </w:style>
  <w:style w:type="character" w:styleId="FootnoteReference">
    <w:name w:val="footnote reference"/>
    <w:basedOn w:val="DefaultParagraphFont"/>
    <w:uiPriority w:val="99"/>
    <w:semiHidden/>
    <w:unhideWhenUsed/>
    <w:rsid w:val="009F4D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69"/>
  </w:style>
  <w:style w:type="paragraph" w:styleId="Footer">
    <w:name w:val="footer"/>
    <w:basedOn w:val="Normal"/>
    <w:link w:val="FooterChar"/>
    <w:uiPriority w:val="99"/>
    <w:unhideWhenUsed/>
    <w:rsid w:val="00BA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69"/>
  </w:style>
  <w:style w:type="character" w:styleId="Hyperlink">
    <w:name w:val="Hyperlink"/>
    <w:basedOn w:val="DefaultParagraphFont"/>
    <w:uiPriority w:val="99"/>
    <w:unhideWhenUsed/>
    <w:rsid w:val="00BA2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slocum@citize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1F9DF-8D69-49DF-B472-E078B6B6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Slocum</dc:creator>
  <cp:keywords/>
  <dc:description/>
  <cp:lastModifiedBy>Tyson Slocum</cp:lastModifiedBy>
  <cp:revision>58</cp:revision>
  <dcterms:created xsi:type="dcterms:W3CDTF">2021-07-14T14:06:00Z</dcterms:created>
  <dcterms:modified xsi:type="dcterms:W3CDTF">2021-07-14T18:36:00Z</dcterms:modified>
</cp:coreProperties>
</file>