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9AD84" w14:textId="77777777" w:rsidR="00E343A3" w:rsidRPr="00617413" w:rsidRDefault="00E343A3" w:rsidP="00E343A3">
      <w:pPr>
        <w:jc w:val="center"/>
        <w:rPr>
          <w:rFonts w:ascii="Georgia" w:hAnsi="Georgia"/>
          <w:sz w:val="24"/>
          <w:szCs w:val="24"/>
        </w:rPr>
      </w:pPr>
      <w:r w:rsidRPr="00617413">
        <w:rPr>
          <w:rFonts w:ascii="Georgia" w:hAnsi="Georgia"/>
          <w:sz w:val="24"/>
          <w:szCs w:val="24"/>
        </w:rPr>
        <w:t>UNITED STATES OF AMERICA</w:t>
      </w:r>
    </w:p>
    <w:p w14:paraId="53629218" w14:textId="77777777" w:rsidR="00E343A3" w:rsidRPr="00617413" w:rsidRDefault="00E343A3" w:rsidP="00E343A3">
      <w:pPr>
        <w:jc w:val="center"/>
        <w:rPr>
          <w:rFonts w:ascii="Georgia" w:hAnsi="Georgia"/>
          <w:sz w:val="24"/>
          <w:szCs w:val="24"/>
        </w:rPr>
      </w:pPr>
      <w:r w:rsidRPr="00617413">
        <w:rPr>
          <w:rFonts w:ascii="Georgia" w:hAnsi="Georgia"/>
          <w:sz w:val="24"/>
          <w:szCs w:val="24"/>
        </w:rPr>
        <w:t>BEFORE THE</w:t>
      </w:r>
    </w:p>
    <w:p w14:paraId="078B8734" w14:textId="77777777" w:rsidR="00E343A3" w:rsidRPr="00617413" w:rsidRDefault="00E343A3" w:rsidP="00E343A3">
      <w:pPr>
        <w:jc w:val="center"/>
        <w:rPr>
          <w:rFonts w:ascii="Georgia" w:hAnsi="Georgia"/>
          <w:sz w:val="24"/>
          <w:szCs w:val="24"/>
        </w:rPr>
      </w:pPr>
      <w:r w:rsidRPr="00617413">
        <w:rPr>
          <w:rFonts w:ascii="Georgia" w:hAnsi="Georgia"/>
          <w:sz w:val="24"/>
          <w:szCs w:val="24"/>
        </w:rPr>
        <w:t>FEDERAL ENERGY REGULATORY COMMISSION</w:t>
      </w:r>
    </w:p>
    <w:p w14:paraId="092F869B" w14:textId="3921C316" w:rsidR="00AC343E" w:rsidRPr="00EE4244" w:rsidRDefault="00013AE6">
      <w:pPr>
        <w:rPr>
          <w:rFonts w:ascii="Georgia" w:hAnsi="Georgia"/>
          <w:sz w:val="24"/>
          <w:szCs w:val="24"/>
        </w:rPr>
      </w:pPr>
    </w:p>
    <w:p w14:paraId="5F45FCFB" w14:textId="1E7911DA" w:rsidR="00E343A3" w:rsidRPr="00EE4244" w:rsidRDefault="00E343A3">
      <w:pPr>
        <w:rPr>
          <w:rFonts w:ascii="Georgia" w:hAnsi="Georgia"/>
          <w:sz w:val="24"/>
          <w:szCs w:val="24"/>
        </w:rPr>
      </w:pPr>
      <w:r w:rsidRPr="00EE4244">
        <w:rPr>
          <w:rFonts w:ascii="Georgia" w:hAnsi="Georgia"/>
          <w:sz w:val="24"/>
          <w:szCs w:val="24"/>
        </w:rPr>
        <w:t>Alabama Power Company</w:t>
      </w:r>
      <w:r w:rsidRP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>Docket Nos.</w:t>
      </w:r>
      <w:r w:rsid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>ER21-1111</w:t>
      </w:r>
    </w:p>
    <w:p w14:paraId="38A05420" w14:textId="57955EFB" w:rsidR="00E343A3" w:rsidRPr="00EE4244" w:rsidRDefault="00EE4244">
      <w:pPr>
        <w:rPr>
          <w:rFonts w:ascii="Georgia" w:hAnsi="Georgia"/>
          <w:sz w:val="24"/>
          <w:szCs w:val="24"/>
        </w:rPr>
      </w:pPr>
      <w:r w:rsidRPr="00EE4244">
        <w:rPr>
          <w:rFonts w:ascii="Georgia" w:hAnsi="Georgia"/>
          <w:sz w:val="24"/>
          <w:szCs w:val="24"/>
        </w:rPr>
        <w:t>Dominion Energy South Carolina, Inc.</w:t>
      </w:r>
      <w:r w:rsidRPr="00EE4244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>ER21-1112</w:t>
      </w:r>
    </w:p>
    <w:p w14:paraId="0FA383A1" w14:textId="04628CE1" w:rsidR="00E343A3" w:rsidRPr="00EE4244" w:rsidRDefault="00E343A3">
      <w:pPr>
        <w:rPr>
          <w:rFonts w:ascii="Georgia" w:hAnsi="Georgia"/>
          <w:sz w:val="24"/>
          <w:szCs w:val="24"/>
        </w:rPr>
      </w:pPr>
      <w:r w:rsidRPr="00EE4244">
        <w:rPr>
          <w:rFonts w:ascii="Georgia" w:hAnsi="Georgia"/>
          <w:sz w:val="24"/>
          <w:szCs w:val="24"/>
        </w:rPr>
        <w:t xml:space="preserve">Louisville Gas and Electric Company  </w:t>
      </w:r>
      <w:r w:rsidRP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>ER21-1114</w:t>
      </w:r>
    </w:p>
    <w:p w14:paraId="3CC08C0A" w14:textId="53C338D4" w:rsidR="00E343A3" w:rsidRPr="00EE4244" w:rsidRDefault="00E343A3">
      <w:pPr>
        <w:rPr>
          <w:rFonts w:ascii="Georgia" w:hAnsi="Georgia"/>
          <w:sz w:val="24"/>
          <w:szCs w:val="24"/>
        </w:rPr>
      </w:pPr>
      <w:r w:rsidRPr="00EE4244">
        <w:rPr>
          <w:rFonts w:ascii="Georgia" w:hAnsi="Georgia"/>
          <w:sz w:val="24"/>
          <w:szCs w:val="24"/>
        </w:rPr>
        <w:t>Duke Energy Progress, LLC, Duke Energy Carolinas, LLC</w:t>
      </w:r>
      <w:r w:rsidRP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>ER21-1115</w:t>
      </w:r>
    </w:p>
    <w:p w14:paraId="2AD0915B" w14:textId="632118E2" w:rsidR="00E343A3" w:rsidRPr="00EE4244" w:rsidRDefault="00E343A3">
      <w:pPr>
        <w:rPr>
          <w:rFonts w:ascii="Georgia" w:hAnsi="Georgia"/>
          <w:sz w:val="24"/>
          <w:szCs w:val="24"/>
        </w:rPr>
      </w:pPr>
      <w:r w:rsidRPr="00EE4244">
        <w:rPr>
          <w:rFonts w:ascii="Georgia" w:hAnsi="Georgia"/>
          <w:sz w:val="24"/>
          <w:szCs w:val="24"/>
        </w:rPr>
        <w:t>Duke Energy Carolinas, LLC</w:t>
      </w:r>
      <w:r w:rsidRP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>ER21-1116</w:t>
      </w:r>
    </w:p>
    <w:p w14:paraId="681A8ADD" w14:textId="4779F437" w:rsidR="00E343A3" w:rsidRPr="00EE4244" w:rsidRDefault="00E343A3">
      <w:pPr>
        <w:rPr>
          <w:rFonts w:ascii="Georgia" w:hAnsi="Georgia"/>
          <w:sz w:val="24"/>
          <w:szCs w:val="24"/>
        </w:rPr>
      </w:pPr>
      <w:r w:rsidRPr="00EE4244">
        <w:rPr>
          <w:rFonts w:ascii="Georgia" w:hAnsi="Georgia"/>
          <w:sz w:val="24"/>
          <w:szCs w:val="24"/>
        </w:rPr>
        <w:t>Duke Energy Progress, LLC</w:t>
      </w:r>
      <w:r w:rsidRP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>ER21-1117</w:t>
      </w:r>
    </w:p>
    <w:p w14:paraId="27E48644" w14:textId="2598E83B" w:rsidR="00E343A3" w:rsidRPr="00EE4244" w:rsidRDefault="00E343A3">
      <w:pPr>
        <w:rPr>
          <w:rFonts w:ascii="Georgia" w:hAnsi="Georgia"/>
          <w:sz w:val="24"/>
          <w:szCs w:val="24"/>
        </w:rPr>
      </w:pPr>
      <w:r w:rsidRPr="00EE4244">
        <w:rPr>
          <w:rFonts w:ascii="Georgia" w:hAnsi="Georgia"/>
          <w:sz w:val="24"/>
          <w:szCs w:val="24"/>
        </w:rPr>
        <w:t xml:space="preserve">Louisville Gas and Electric Company  </w:t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>ER21-1118</w:t>
      </w:r>
    </w:p>
    <w:p w14:paraId="17664F4B" w14:textId="2F64C8A4" w:rsidR="00EE4244" w:rsidRPr="00EE4244" w:rsidRDefault="00E343A3">
      <w:pPr>
        <w:rPr>
          <w:rFonts w:ascii="Georgia" w:hAnsi="Georgia"/>
          <w:sz w:val="24"/>
          <w:szCs w:val="24"/>
        </w:rPr>
      </w:pPr>
      <w:r w:rsidRPr="00EE4244">
        <w:rPr>
          <w:rFonts w:ascii="Georgia" w:hAnsi="Georgia"/>
          <w:sz w:val="24"/>
          <w:szCs w:val="24"/>
        </w:rPr>
        <w:t>Georgia Power Company</w:t>
      </w:r>
      <w:r w:rsidRP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>ER21-1119</w:t>
      </w:r>
    </w:p>
    <w:p w14:paraId="04723B1B" w14:textId="72E0086A" w:rsidR="00EE4244" w:rsidRPr="00EE4244" w:rsidRDefault="00EE4244">
      <w:pPr>
        <w:rPr>
          <w:rFonts w:ascii="Georgia" w:hAnsi="Georgia"/>
          <w:sz w:val="24"/>
          <w:szCs w:val="24"/>
        </w:rPr>
      </w:pPr>
      <w:r w:rsidRPr="00EE4244">
        <w:rPr>
          <w:rFonts w:ascii="Georgia" w:hAnsi="Georgia"/>
          <w:sz w:val="24"/>
          <w:szCs w:val="24"/>
        </w:rPr>
        <w:t>Kentucky Utilities Company</w:t>
      </w:r>
      <w:r w:rsidRP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>ER21-1120</w:t>
      </w:r>
    </w:p>
    <w:p w14:paraId="075BCDDD" w14:textId="4FCFD981" w:rsidR="00EE4244" w:rsidRPr="00EE4244" w:rsidRDefault="00EE4244">
      <w:pPr>
        <w:rPr>
          <w:rFonts w:ascii="Georgia" w:hAnsi="Georgia"/>
          <w:sz w:val="24"/>
          <w:szCs w:val="24"/>
        </w:rPr>
      </w:pPr>
      <w:r w:rsidRPr="00EE4244">
        <w:rPr>
          <w:rFonts w:ascii="Georgia" w:hAnsi="Georgia"/>
          <w:sz w:val="24"/>
          <w:szCs w:val="24"/>
        </w:rPr>
        <w:t>Mississippi Power Company</w:t>
      </w:r>
      <w:r w:rsidRP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>ER21-1121</w:t>
      </w:r>
    </w:p>
    <w:p w14:paraId="658F053F" w14:textId="7E8D6379" w:rsidR="00EE4244" w:rsidRPr="00EE4244" w:rsidRDefault="00EE4244">
      <w:pPr>
        <w:rPr>
          <w:rFonts w:ascii="Georgia" w:hAnsi="Georgia"/>
          <w:sz w:val="24"/>
          <w:szCs w:val="24"/>
        </w:rPr>
      </w:pPr>
      <w:r w:rsidRPr="00EE4244">
        <w:rPr>
          <w:rFonts w:ascii="Georgia" w:hAnsi="Georgia"/>
          <w:sz w:val="24"/>
          <w:szCs w:val="24"/>
        </w:rPr>
        <w:t>Alabama Power Company</w:t>
      </w:r>
      <w:r w:rsidRPr="00EE4244"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>ER21-1125</w:t>
      </w:r>
    </w:p>
    <w:p w14:paraId="47708020" w14:textId="1AA70C2F" w:rsidR="00E343A3" w:rsidRDefault="00EE4244">
      <w:pPr>
        <w:rPr>
          <w:rFonts w:ascii="Georgia" w:hAnsi="Georgia"/>
          <w:sz w:val="24"/>
          <w:szCs w:val="24"/>
        </w:rPr>
      </w:pPr>
      <w:r w:rsidRPr="00EE4244">
        <w:rPr>
          <w:rFonts w:ascii="Georgia" w:hAnsi="Georgia"/>
          <w:sz w:val="24"/>
          <w:szCs w:val="24"/>
        </w:rPr>
        <w:t xml:space="preserve">Dominion Energy South Carolina, Inc. </w:t>
      </w:r>
      <w:r w:rsidRPr="00EE4244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EE4244">
        <w:rPr>
          <w:rFonts w:ascii="Georgia" w:hAnsi="Georgia"/>
          <w:sz w:val="24"/>
          <w:szCs w:val="24"/>
        </w:rPr>
        <w:t>ER21-1128</w:t>
      </w:r>
      <w:r w:rsidR="00E343A3" w:rsidRPr="00EE4244">
        <w:rPr>
          <w:rFonts w:ascii="Georgia" w:hAnsi="Georgia"/>
          <w:sz w:val="24"/>
          <w:szCs w:val="24"/>
        </w:rPr>
        <w:t xml:space="preserve"> </w:t>
      </w:r>
    </w:p>
    <w:p w14:paraId="158B2D36" w14:textId="175224B2" w:rsidR="00E15C24" w:rsidRDefault="00E15C24">
      <w:pPr>
        <w:rPr>
          <w:rFonts w:ascii="Georgia" w:hAnsi="Georgia"/>
          <w:sz w:val="24"/>
          <w:szCs w:val="24"/>
        </w:rPr>
      </w:pPr>
    </w:p>
    <w:p w14:paraId="2F347483" w14:textId="77777777" w:rsidR="00E15C24" w:rsidRDefault="00E15C24" w:rsidP="00E15C24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45567D5B" w14:textId="52CBB215" w:rsidR="00E15C24" w:rsidRPr="00E15C24" w:rsidRDefault="00E15C24" w:rsidP="00E15C24">
      <w:pPr>
        <w:jc w:val="center"/>
        <w:rPr>
          <w:rFonts w:ascii="Georgia" w:hAnsi="Georgia"/>
          <w:b/>
          <w:bCs/>
          <w:sz w:val="24"/>
          <w:szCs w:val="24"/>
        </w:rPr>
      </w:pPr>
      <w:r w:rsidRPr="00E15C24">
        <w:rPr>
          <w:rFonts w:ascii="Georgia" w:hAnsi="Georgia"/>
          <w:b/>
          <w:bCs/>
          <w:sz w:val="24"/>
          <w:szCs w:val="24"/>
        </w:rPr>
        <w:t xml:space="preserve">Motion to Consolidate and </w:t>
      </w:r>
      <w:r w:rsidR="00F74A21">
        <w:rPr>
          <w:rFonts w:ascii="Georgia" w:hAnsi="Georgia"/>
          <w:b/>
          <w:bCs/>
          <w:sz w:val="24"/>
          <w:szCs w:val="24"/>
        </w:rPr>
        <w:t>P</w:t>
      </w:r>
      <w:r w:rsidR="0085236E">
        <w:rPr>
          <w:rFonts w:ascii="Georgia" w:hAnsi="Georgia"/>
          <w:b/>
          <w:bCs/>
          <w:sz w:val="24"/>
          <w:szCs w:val="24"/>
        </w:rPr>
        <w:t>rotest</w:t>
      </w:r>
      <w:r w:rsidRPr="00E15C24">
        <w:rPr>
          <w:rFonts w:ascii="Georgia" w:hAnsi="Georgia"/>
          <w:b/>
          <w:bCs/>
          <w:sz w:val="24"/>
          <w:szCs w:val="24"/>
        </w:rPr>
        <w:t xml:space="preserve"> of Public Citizen, Inc.</w:t>
      </w:r>
    </w:p>
    <w:p w14:paraId="7F21FDFA" w14:textId="561965DE" w:rsidR="00E15C24" w:rsidRDefault="00E15C24">
      <w:pPr>
        <w:rPr>
          <w:rFonts w:ascii="Georgia" w:hAnsi="Georgia"/>
          <w:sz w:val="24"/>
          <w:szCs w:val="24"/>
        </w:rPr>
      </w:pPr>
    </w:p>
    <w:p w14:paraId="2765CDD7" w14:textId="3AD6F90F" w:rsidR="00E15C24" w:rsidRDefault="005B634F" w:rsidP="00475DAA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0B5E37">
        <w:rPr>
          <w:rFonts w:ascii="Georgia" w:hAnsi="Georgia"/>
          <w:sz w:val="24"/>
          <w:szCs w:val="24"/>
        </w:rPr>
        <w:t xml:space="preserve">Fourteen different electric utilities filed at least twelve separately docketed filings seeking </w:t>
      </w:r>
      <w:r w:rsidR="00F66CEE">
        <w:rPr>
          <w:rFonts w:ascii="Georgia" w:hAnsi="Georgia"/>
          <w:sz w:val="24"/>
          <w:szCs w:val="24"/>
        </w:rPr>
        <w:t xml:space="preserve">permission from the Federal Energy Regulatory Commission to create a </w:t>
      </w:r>
      <w:r w:rsidR="00DF788A" w:rsidRPr="00DF788A">
        <w:rPr>
          <w:rFonts w:ascii="Georgia" w:hAnsi="Georgia"/>
          <w:sz w:val="24"/>
          <w:szCs w:val="24"/>
        </w:rPr>
        <w:t>Southeast Energy Exchange Market Agreement</w:t>
      </w:r>
      <w:r w:rsidR="00DF788A">
        <w:rPr>
          <w:rFonts w:ascii="Georgia" w:hAnsi="Georgia"/>
          <w:sz w:val="24"/>
          <w:szCs w:val="24"/>
        </w:rPr>
        <w:t xml:space="preserve"> under Section 205 of the Federal Power Act. </w:t>
      </w:r>
      <w:r w:rsidR="00A05698">
        <w:rPr>
          <w:rFonts w:ascii="Georgia" w:hAnsi="Georgia"/>
          <w:sz w:val="24"/>
          <w:szCs w:val="24"/>
        </w:rPr>
        <w:t>Public Citizen requests the Commission to consolidate the twelve dockets. In addition, we protest the filing</w:t>
      </w:r>
      <w:r w:rsidR="001D402F">
        <w:rPr>
          <w:rFonts w:ascii="Georgia" w:hAnsi="Georgia"/>
          <w:sz w:val="24"/>
          <w:szCs w:val="24"/>
        </w:rPr>
        <w:t xml:space="preserve"> because the failure to include any non-utility stakeholders as voting members of the new </w:t>
      </w:r>
      <w:r w:rsidR="00E8291E">
        <w:rPr>
          <w:rFonts w:ascii="Georgia" w:hAnsi="Georgia"/>
          <w:sz w:val="24"/>
          <w:szCs w:val="24"/>
        </w:rPr>
        <w:t>Energy Exchange Market is unjust and unreasonable.</w:t>
      </w:r>
    </w:p>
    <w:p w14:paraId="0541D1BB" w14:textId="379804DD" w:rsidR="00E8291E" w:rsidRDefault="00E8291E">
      <w:pPr>
        <w:rPr>
          <w:rFonts w:ascii="Georgia" w:hAnsi="Georgia"/>
          <w:sz w:val="24"/>
          <w:szCs w:val="24"/>
        </w:rPr>
      </w:pPr>
    </w:p>
    <w:p w14:paraId="5DFF5B44" w14:textId="77777777" w:rsidR="00475DAA" w:rsidRDefault="00475DAA">
      <w:pPr>
        <w:rPr>
          <w:rFonts w:ascii="Georgia" w:hAnsi="Georgia"/>
          <w:sz w:val="24"/>
          <w:szCs w:val="24"/>
        </w:rPr>
      </w:pPr>
    </w:p>
    <w:p w14:paraId="3AE765DC" w14:textId="77777777" w:rsidR="00E701F6" w:rsidRPr="00914435" w:rsidRDefault="00E701F6" w:rsidP="00E701F6">
      <w:pPr>
        <w:jc w:val="center"/>
        <w:rPr>
          <w:rFonts w:ascii="Georgia" w:hAnsi="Georgia"/>
          <w:b/>
          <w:bCs/>
          <w:sz w:val="24"/>
          <w:szCs w:val="24"/>
        </w:rPr>
      </w:pPr>
      <w:r w:rsidRPr="00914435">
        <w:rPr>
          <w:rFonts w:ascii="Georgia" w:hAnsi="Georgia"/>
          <w:b/>
          <w:bCs/>
          <w:sz w:val="24"/>
          <w:szCs w:val="24"/>
        </w:rPr>
        <w:t>About Public Citizen, Inc.</w:t>
      </w:r>
    </w:p>
    <w:p w14:paraId="5A3B8BAD" w14:textId="77777777" w:rsidR="00E701F6" w:rsidRDefault="00E701F6" w:rsidP="00E701F6">
      <w:pPr>
        <w:rPr>
          <w:rFonts w:ascii="Georgia" w:hAnsi="Georgia"/>
          <w:sz w:val="24"/>
          <w:szCs w:val="24"/>
        </w:rPr>
      </w:pPr>
    </w:p>
    <w:p w14:paraId="396A551F" w14:textId="77777777" w:rsidR="00E701F6" w:rsidRDefault="00E701F6" w:rsidP="00E701F6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Established in 1971, </w:t>
      </w:r>
      <w:r w:rsidRPr="00F829B0">
        <w:rPr>
          <w:rFonts w:ascii="Georgia" w:hAnsi="Georgia"/>
          <w:sz w:val="24"/>
          <w:szCs w:val="24"/>
        </w:rPr>
        <w:t xml:space="preserve">Public Citizen is a national, not-for-profit, non-partisan, research and advocacy organization representing the interests of household consumers. </w:t>
      </w:r>
      <w:r w:rsidRPr="00C56952">
        <w:rPr>
          <w:rFonts w:ascii="Georgia" w:hAnsi="Georgia"/>
          <w:sz w:val="24"/>
          <w:szCs w:val="24"/>
        </w:rPr>
        <w:t xml:space="preserve">Public Citizen </w:t>
      </w:r>
      <w:r>
        <w:rPr>
          <w:rFonts w:ascii="Georgia" w:hAnsi="Georgia"/>
          <w:sz w:val="24"/>
          <w:szCs w:val="24"/>
        </w:rPr>
        <w:t xml:space="preserve">is </w:t>
      </w:r>
      <w:r w:rsidRPr="00F829B0">
        <w:rPr>
          <w:rFonts w:ascii="Georgia" w:hAnsi="Georgia"/>
          <w:sz w:val="24"/>
          <w:szCs w:val="24"/>
        </w:rPr>
        <w:t>active before FERC promoting just and reasonable rates, and supporting efforts for utilities to be accountable to the public interest.</w:t>
      </w:r>
      <w:r>
        <w:rPr>
          <w:rFonts w:ascii="Georgia" w:hAnsi="Georgia"/>
          <w:sz w:val="24"/>
          <w:szCs w:val="24"/>
        </w:rPr>
        <w:t xml:space="preserve"> </w:t>
      </w:r>
      <w:r w:rsidRPr="00F829B0">
        <w:rPr>
          <w:rFonts w:ascii="Georgia" w:hAnsi="Georgia"/>
          <w:sz w:val="24"/>
          <w:szCs w:val="24"/>
        </w:rPr>
        <w:t xml:space="preserve">Our financial details are located </w:t>
      </w:r>
      <w:r>
        <w:rPr>
          <w:rFonts w:ascii="Georgia" w:hAnsi="Georgia"/>
          <w:sz w:val="24"/>
          <w:szCs w:val="24"/>
        </w:rPr>
        <w:t>on</w:t>
      </w:r>
      <w:r w:rsidRPr="00F829B0">
        <w:rPr>
          <w:rFonts w:ascii="Georgia" w:hAnsi="Georgia"/>
          <w:sz w:val="24"/>
          <w:szCs w:val="24"/>
        </w:rPr>
        <w:t xml:space="preserve"> our web site.</w:t>
      </w:r>
      <w:r w:rsidRPr="00F829B0">
        <w:rPr>
          <w:rStyle w:val="FootnoteReference"/>
          <w:rFonts w:ascii="Georgia" w:hAnsi="Georgia"/>
          <w:sz w:val="24"/>
          <w:szCs w:val="24"/>
        </w:rPr>
        <w:footnoteReference w:id="1"/>
      </w:r>
    </w:p>
    <w:p w14:paraId="2DB66088" w14:textId="466FBA18" w:rsidR="00E8291E" w:rsidRDefault="00E8291E">
      <w:pPr>
        <w:rPr>
          <w:rFonts w:ascii="Georgia" w:hAnsi="Georgia"/>
          <w:sz w:val="24"/>
          <w:szCs w:val="24"/>
        </w:rPr>
      </w:pPr>
    </w:p>
    <w:p w14:paraId="474305FB" w14:textId="71495129" w:rsidR="00015F8B" w:rsidRDefault="00015F8B">
      <w:pPr>
        <w:rPr>
          <w:rFonts w:ascii="Georgia" w:hAnsi="Georgia"/>
          <w:sz w:val="24"/>
          <w:szCs w:val="24"/>
        </w:rPr>
      </w:pPr>
    </w:p>
    <w:p w14:paraId="24BB9013" w14:textId="4A92FE3F" w:rsidR="00015F8B" w:rsidRDefault="00015F8B">
      <w:pPr>
        <w:rPr>
          <w:rFonts w:ascii="Georgia" w:hAnsi="Georgia"/>
          <w:sz w:val="24"/>
          <w:szCs w:val="24"/>
        </w:rPr>
      </w:pPr>
    </w:p>
    <w:p w14:paraId="04308C75" w14:textId="5589289D" w:rsidR="00015F8B" w:rsidRDefault="00015F8B">
      <w:pPr>
        <w:rPr>
          <w:rFonts w:ascii="Georgia" w:hAnsi="Georgia"/>
          <w:sz w:val="24"/>
          <w:szCs w:val="24"/>
        </w:rPr>
      </w:pPr>
    </w:p>
    <w:p w14:paraId="09E7ED26" w14:textId="77777777" w:rsidR="00015F8B" w:rsidRDefault="00015F8B">
      <w:pPr>
        <w:rPr>
          <w:rFonts w:ascii="Georgia" w:hAnsi="Georgia"/>
          <w:sz w:val="24"/>
          <w:szCs w:val="24"/>
        </w:rPr>
      </w:pPr>
    </w:p>
    <w:p w14:paraId="4E4F9667" w14:textId="296FA60F" w:rsidR="00E701F6" w:rsidRPr="00475DAA" w:rsidRDefault="00475DAA" w:rsidP="00475DAA">
      <w:pPr>
        <w:jc w:val="center"/>
        <w:rPr>
          <w:rFonts w:ascii="Georgia" w:hAnsi="Georgia"/>
          <w:b/>
          <w:bCs/>
          <w:sz w:val="24"/>
          <w:szCs w:val="24"/>
        </w:rPr>
      </w:pPr>
      <w:r w:rsidRPr="00475DAA">
        <w:rPr>
          <w:rFonts w:ascii="Georgia" w:hAnsi="Georgia"/>
          <w:b/>
          <w:bCs/>
          <w:sz w:val="24"/>
          <w:szCs w:val="24"/>
        </w:rPr>
        <w:lastRenderedPageBreak/>
        <w:t xml:space="preserve">Motion to </w:t>
      </w:r>
      <w:proofErr w:type="gramStart"/>
      <w:r w:rsidRPr="00475DAA">
        <w:rPr>
          <w:rFonts w:ascii="Georgia" w:hAnsi="Georgia"/>
          <w:b/>
          <w:bCs/>
          <w:sz w:val="24"/>
          <w:szCs w:val="24"/>
        </w:rPr>
        <w:t>Consolidate</w:t>
      </w:r>
      <w:proofErr w:type="gramEnd"/>
    </w:p>
    <w:p w14:paraId="3B4245F2" w14:textId="78822D1A" w:rsidR="00475DAA" w:rsidRDefault="00475DAA">
      <w:pPr>
        <w:rPr>
          <w:rFonts w:ascii="Georgia" w:hAnsi="Georgia"/>
          <w:sz w:val="24"/>
          <w:szCs w:val="24"/>
        </w:rPr>
      </w:pPr>
    </w:p>
    <w:p w14:paraId="5E397B50" w14:textId="5548B239" w:rsidR="001E7803" w:rsidRDefault="00E15C24" w:rsidP="006576B5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 w:rsidRPr="00E15C24">
        <w:rPr>
          <w:rFonts w:ascii="Georgia" w:hAnsi="Georgia"/>
          <w:sz w:val="24"/>
          <w:szCs w:val="24"/>
        </w:rPr>
        <w:t>T</w:t>
      </w:r>
      <w:r w:rsidR="002321B8" w:rsidRPr="002321B8">
        <w:rPr>
          <w:rFonts w:ascii="Georgia" w:hAnsi="Georgia"/>
          <w:sz w:val="24"/>
          <w:szCs w:val="24"/>
        </w:rPr>
        <w:t xml:space="preserve">he Commission </w:t>
      </w:r>
      <w:r w:rsidR="00C9368C">
        <w:rPr>
          <w:rFonts w:ascii="Georgia" w:hAnsi="Georgia"/>
          <w:sz w:val="24"/>
          <w:szCs w:val="24"/>
        </w:rPr>
        <w:t xml:space="preserve">can consolidate dockets </w:t>
      </w:r>
      <w:r w:rsidR="00C9368C" w:rsidRPr="002321B8">
        <w:rPr>
          <w:rFonts w:ascii="Georgia" w:hAnsi="Georgia"/>
          <w:sz w:val="24"/>
          <w:szCs w:val="24"/>
        </w:rPr>
        <w:t>to resolve common issues of law and fact</w:t>
      </w:r>
      <w:r w:rsidR="00222FBD">
        <w:rPr>
          <w:rFonts w:ascii="Georgia" w:hAnsi="Georgia"/>
          <w:sz w:val="24"/>
          <w:szCs w:val="24"/>
        </w:rPr>
        <w:t xml:space="preserve"> in order to promote </w:t>
      </w:r>
      <w:r w:rsidR="00222FBD" w:rsidRPr="002321B8">
        <w:rPr>
          <w:rFonts w:ascii="Georgia" w:hAnsi="Georgia"/>
          <w:sz w:val="24"/>
          <w:szCs w:val="24"/>
        </w:rPr>
        <w:t>greater administrative efficiency</w:t>
      </w:r>
      <w:r w:rsidR="00222FBD">
        <w:rPr>
          <w:rFonts w:ascii="Georgia" w:hAnsi="Georgia"/>
          <w:sz w:val="24"/>
          <w:szCs w:val="24"/>
        </w:rPr>
        <w:t>,</w:t>
      </w:r>
      <w:r w:rsidR="00811CD4">
        <w:rPr>
          <w:rFonts w:ascii="Georgia" w:hAnsi="Georgia"/>
          <w:sz w:val="24"/>
          <w:szCs w:val="24"/>
        </w:rPr>
        <w:t xml:space="preserve"> but typically</w:t>
      </w:r>
      <w:r w:rsidR="002321B8" w:rsidRPr="002321B8">
        <w:rPr>
          <w:rFonts w:ascii="Georgia" w:hAnsi="Georgia"/>
          <w:sz w:val="24"/>
          <w:szCs w:val="24"/>
        </w:rPr>
        <w:t xml:space="preserve"> </w:t>
      </w:r>
      <w:r w:rsidR="0035611E">
        <w:rPr>
          <w:rFonts w:ascii="Georgia" w:hAnsi="Georgia"/>
          <w:sz w:val="24"/>
          <w:szCs w:val="24"/>
        </w:rPr>
        <w:t xml:space="preserve">does so </w:t>
      </w:r>
      <w:r w:rsidR="002321B8" w:rsidRPr="002321B8">
        <w:rPr>
          <w:rFonts w:ascii="Georgia" w:hAnsi="Georgia"/>
          <w:sz w:val="24"/>
          <w:szCs w:val="24"/>
        </w:rPr>
        <w:t>only if a trial-type evidentiary hearing is required</w:t>
      </w:r>
      <w:r w:rsidR="00222FBD">
        <w:rPr>
          <w:rFonts w:ascii="Georgia" w:hAnsi="Georgia"/>
          <w:sz w:val="24"/>
          <w:szCs w:val="24"/>
        </w:rPr>
        <w:t>.</w:t>
      </w:r>
      <w:r w:rsidR="00B3555D">
        <w:rPr>
          <w:rStyle w:val="FootnoteReference"/>
          <w:rFonts w:ascii="Georgia" w:hAnsi="Georgia"/>
          <w:sz w:val="24"/>
          <w:szCs w:val="24"/>
        </w:rPr>
        <w:footnoteReference w:id="2"/>
      </w:r>
      <w:r w:rsidR="00222FBD">
        <w:rPr>
          <w:rFonts w:ascii="Georgia" w:hAnsi="Georgia"/>
          <w:sz w:val="24"/>
          <w:szCs w:val="24"/>
        </w:rPr>
        <w:t xml:space="preserve"> </w:t>
      </w:r>
      <w:r w:rsidR="00BA4E77">
        <w:rPr>
          <w:rFonts w:ascii="Georgia" w:hAnsi="Georgia"/>
          <w:sz w:val="24"/>
          <w:szCs w:val="24"/>
        </w:rPr>
        <w:t xml:space="preserve">It is important to note that </w:t>
      </w:r>
      <w:r w:rsidR="00C63872">
        <w:rPr>
          <w:rFonts w:ascii="Georgia" w:hAnsi="Georgia"/>
          <w:sz w:val="24"/>
          <w:szCs w:val="24"/>
        </w:rPr>
        <w:t xml:space="preserve">FERC </w:t>
      </w:r>
      <w:r w:rsidR="007A7D9C">
        <w:rPr>
          <w:rFonts w:ascii="Georgia" w:hAnsi="Georgia"/>
          <w:sz w:val="24"/>
          <w:szCs w:val="24"/>
        </w:rPr>
        <w:t>is not prevented from</w:t>
      </w:r>
      <w:r w:rsidR="00C63872">
        <w:rPr>
          <w:rFonts w:ascii="Georgia" w:hAnsi="Georgia"/>
          <w:sz w:val="24"/>
          <w:szCs w:val="24"/>
        </w:rPr>
        <w:t xml:space="preserve"> consolidat</w:t>
      </w:r>
      <w:r w:rsidR="007A7D9C">
        <w:rPr>
          <w:rFonts w:ascii="Georgia" w:hAnsi="Georgia"/>
          <w:sz w:val="24"/>
          <w:szCs w:val="24"/>
        </w:rPr>
        <w:t>ing</w:t>
      </w:r>
      <w:r w:rsidR="00C63872">
        <w:rPr>
          <w:rFonts w:ascii="Georgia" w:hAnsi="Georgia"/>
          <w:sz w:val="24"/>
          <w:szCs w:val="24"/>
        </w:rPr>
        <w:t xml:space="preserve"> dockets</w:t>
      </w:r>
      <w:r w:rsidR="001E7803">
        <w:rPr>
          <w:rFonts w:ascii="Georgia" w:hAnsi="Georgia"/>
          <w:sz w:val="24"/>
          <w:szCs w:val="24"/>
        </w:rPr>
        <w:t xml:space="preserve"> </w:t>
      </w:r>
      <w:r w:rsidR="009D6E08">
        <w:rPr>
          <w:rFonts w:ascii="Georgia" w:hAnsi="Georgia"/>
          <w:sz w:val="24"/>
          <w:szCs w:val="24"/>
        </w:rPr>
        <w:t>that</w:t>
      </w:r>
      <w:r w:rsidR="001E7803">
        <w:rPr>
          <w:rFonts w:ascii="Georgia" w:hAnsi="Georgia"/>
          <w:sz w:val="24"/>
          <w:szCs w:val="24"/>
        </w:rPr>
        <w:t xml:space="preserve"> do not feature an evidentiary hearing</w:t>
      </w:r>
      <w:r w:rsidR="00DF45C4">
        <w:rPr>
          <w:rFonts w:ascii="Georgia" w:hAnsi="Georgia"/>
          <w:sz w:val="24"/>
          <w:szCs w:val="24"/>
        </w:rPr>
        <w:t>, such as the case here</w:t>
      </w:r>
      <w:r w:rsidR="001E7803">
        <w:rPr>
          <w:rFonts w:ascii="Georgia" w:hAnsi="Georgia"/>
          <w:sz w:val="24"/>
          <w:szCs w:val="24"/>
        </w:rPr>
        <w:t xml:space="preserve">. </w:t>
      </w:r>
    </w:p>
    <w:p w14:paraId="4C6F5511" w14:textId="4FDCA1D6" w:rsidR="002321B8" w:rsidRDefault="00D45807" w:rsidP="006576B5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Applicants </w:t>
      </w:r>
      <w:r w:rsidR="00D45A67">
        <w:rPr>
          <w:rFonts w:ascii="Georgia" w:hAnsi="Georgia"/>
          <w:sz w:val="24"/>
          <w:szCs w:val="24"/>
        </w:rPr>
        <w:t>argue against consolidation</w:t>
      </w:r>
      <w:r w:rsidR="00137134">
        <w:rPr>
          <w:rFonts w:ascii="Georgia" w:hAnsi="Georgia"/>
          <w:sz w:val="24"/>
          <w:szCs w:val="24"/>
        </w:rPr>
        <w:t>: “</w:t>
      </w:r>
      <w:r w:rsidR="00137134" w:rsidRPr="00F448AD">
        <w:rPr>
          <w:rFonts w:ascii="Georgia" w:hAnsi="Georgia"/>
          <w:sz w:val="24"/>
          <w:szCs w:val="24"/>
        </w:rPr>
        <w:t>While the consolidation of dockets is not appropriate because the dockets involve different filings by different parties, the issues in the dockets are related, such that use of a single pleading across all dockets will allow all concerned to focus on substance, rather than the process of preparing multiple documents in parallel.</w:t>
      </w:r>
      <w:r w:rsidR="00137134">
        <w:rPr>
          <w:rFonts w:ascii="Georgia" w:hAnsi="Georgia"/>
          <w:sz w:val="24"/>
          <w:szCs w:val="24"/>
        </w:rPr>
        <w:t>”</w:t>
      </w:r>
      <w:r w:rsidR="00137134">
        <w:rPr>
          <w:rStyle w:val="FootnoteReference"/>
          <w:rFonts w:ascii="Georgia" w:hAnsi="Georgia"/>
          <w:sz w:val="24"/>
          <w:szCs w:val="24"/>
        </w:rPr>
        <w:footnoteReference w:id="3"/>
      </w:r>
      <w:r>
        <w:rPr>
          <w:rFonts w:ascii="Georgia" w:hAnsi="Georgia"/>
          <w:sz w:val="24"/>
          <w:szCs w:val="24"/>
        </w:rPr>
        <w:t xml:space="preserve"> </w:t>
      </w:r>
    </w:p>
    <w:p w14:paraId="394EA9EC" w14:textId="121867A1" w:rsidR="00870A2A" w:rsidRDefault="0039226F" w:rsidP="007D78D2">
      <w:pPr>
        <w:spacing w:line="36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But </w:t>
      </w:r>
      <w:r w:rsidR="0020702B">
        <w:rPr>
          <w:rFonts w:ascii="Georgia" w:hAnsi="Georgia"/>
          <w:sz w:val="24"/>
          <w:szCs w:val="24"/>
        </w:rPr>
        <w:t xml:space="preserve">Applicants do not appreciate the administrative </w:t>
      </w:r>
      <w:r w:rsidR="00084D53">
        <w:rPr>
          <w:rFonts w:ascii="Georgia" w:hAnsi="Georgia"/>
          <w:sz w:val="24"/>
          <w:szCs w:val="24"/>
        </w:rPr>
        <w:t xml:space="preserve">burden </w:t>
      </w:r>
      <w:r w:rsidR="008C4E30">
        <w:rPr>
          <w:rFonts w:ascii="Georgia" w:hAnsi="Georgia"/>
          <w:sz w:val="24"/>
          <w:szCs w:val="24"/>
        </w:rPr>
        <w:t xml:space="preserve">public interest </w:t>
      </w:r>
      <w:r w:rsidR="00084D53">
        <w:rPr>
          <w:rFonts w:ascii="Georgia" w:hAnsi="Georgia"/>
          <w:sz w:val="24"/>
          <w:szCs w:val="24"/>
        </w:rPr>
        <w:t>intervenors face with participating in all of these separate dockets. There was no uniformity to the</w:t>
      </w:r>
      <w:r w:rsidR="009022B5">
        <w:rPr>
          <w:rFonts w:ascii="Georgia" w:hAnsi="Georgia"/>
          <w:sz w:val="24"/>
          <w:szCs w:val="24"/>
        </w:rPr>
        <w:t xml:space="preserve"> names of the filings, rendering </w:t>
      </w:r>
      <w:proofErr w:type="spellStart"/>
      <w:r w:rsidR="009022B5">
        <w:rPr>
          <w:rFonts w:ascii="Georgia" w:hAnsi="Georgia"/>
          <w:sz w:val="24"/>
          <w:szCs w:val="24"/>
        </w:rPr>
        <w:t>eLibrary</w:t>
      </w:r>
      <w:proofErr w:type="spellEnd"/>
      <w:r w:rsidR="009022B5">
        <w:rPr>
          <w:rFonts w:ascii="Georgia" w:hAnsi="Georgia"/>
          <w:sz w:val="24"/>
          <w:szCs w:val="24"/>
        </w:rPr>
        <w:t xml:space="preserve"> searches useless. We had to go docket-by-docket, </w:t>
      </w:r>
      <w:r w:rsidR="001C2D71">
        <w:rPr>
          <w:rFonts w:ascii="Georgia" w:hAnsi="Georgia"/>
          <w:sz w:val="24"/>
          <w:szCs w:val="24"/>
        </w:rPr>
        <w:t>as though</w:t>
      </w:r>
      <w:r w:rsidR="009022B5">
        <w:rPr>
          <w:rFonts w:ascii="Georgia" w:hAnsi="Georgia"/>
          <w:sz w:val="24"/>
          <w:szCs w:val="24"/>
        </w:rPr>
        <w:t xml:space="preserve"> looking for a needle in a haystack, to determine which filings were related to the new SEEM proposal. </w:t>
      </w:r>
      <w:r w:rsidR="00DF11BA">
        <w:rPr>
          <w:rFonts w:ascii="Georgia" w:hAnsi="Georgia"/>
          <w:sz w:val="24"/>
          <w:szCs w:val="24"/>
        </w:rPr>
        <w:t>Forcing the various public interest intervenors</w:t>
      </w:r>
      <w:r w:rsidR="00E917B6">
        <w:rPr>
          <w:rFonts w:ascii="Cambria" w:hAnsi="Cambria"/>
          <w:sz w:val="24"/>
          <w:szCs w:val="24"/>
        </w:rPr>
        <w:t>—</w:t>
      </w:r>
      <w:r w:rsidR="00E917B6">
        <w:rPr>
          <w:rFonts w:ascii="Georgia" w:hAnsi="Georgia"/>
          <w:sz w:val="24"/>
          <w:szCs w:val="24"/>
        </w:rPr>
        <w:t xml:space="preserve">most of whom lack access to paralegals and other administrative legal staff to assist with tracking and </w:t>
      </w:r>
      <w:r w:rsidR="00562E6B">
        <w:rPr>
          <w:rFonts w:ascii="Georgia" w:hAnsi="Georgia"/>
          <w:sz w:val="24"/>
          <w:szCs w:val="24"/>
        </w:rPr>
        <w:t>preparing filings for twelve separate yet “related” proceedings</w:t>
      </w:r>
      <w:r w:rsidR="000F2FA6">
        <w:rPr>
          <w:rFonts w:ascii="Cambria" w:hAnsi="Cambria"/>
          <w:sz w:val="24"/>
          <w:szCs w:val="24"/>
        </w:rPr>
        <w:t>—</w:t>
      </w:r>
      <w:r w:rsidR="00562E6B">
        <w:rPr>
          <w:rFonts w:ascii="Georgia" w:hAnsi="Georgia"/>
          <w:sz w:val="24"/>
          <w:szCs w:val="24"/>
        </w:rPr>
        <w:t xml:space="preserve">is difficult. Applicants have not demonstrated any harm that would occur from </w:t>
      </w:r>
      <w:r w:rsidR="002A4631">
        <w:rPr>
          <w:rFonts w:ascii="Georgia" w:hAnsi="Georgia"/>
          <w:sz w:val="24"/>
          <w:szCs w:val="24"/>
        </w:rPr>
        <w:t>consolidating</w:t>
      </w:r>
      <w:r w:rsidR="00562E6B">
        <w:rPr>
          <w:rFonts w:ascii="Georgia" w:hAnsi="Georgia"/>
          <w:sz w:val="24"/>
          <w:szCs w:val="24"/>
        </w:rPr>
        <w:t xml:space="preserve"> the SEEM dockets, while the benefits for administrative efficiency are </w:t>
      </w:r>
      <w:r w:rsidR="00870A2A">
        <w:rPr>
          <w:rFonts w:ascii="Georgia" w:hAnsi="Georgia"/>
          <w:sz w:val="24"/>
          <w:szCs w:val="24"/>
        </w:rPr>
        <w:t xml:space="preserve">great. We therefore urge the Commission to </w:t>
      </w:r>
      <w:r w:rsidR="002A4631">
        <w:rPr>
          <w:rFonts w:ascii="Georgia" w:hAnsi="Georgia"/>
          <w:sz w:val="24"/>
          <w:szCs w:val="24"/>
        </w:rPr>
        <w:t>consolidate</w:t>
      </w:r>
      <w:r w:rsidR="00870A2A">
        <w:rPr>
          <w:rFonts w:ascii="Georgia" w:hAnsi="Georgia"/>
          <w:sz w:val="24"/>
          <w:szCs w:val="24"/>
        </w:rPr>
        <w:t xml:space="preserve"> the twelve SEEM proceedings</w:t>
      </w:r>
      <w:r w:rsidR="00A41B09">
        <w:rPr>
          <w:rFonts w:ascii="Georgia" w:hAnsi="Georgia"/>
          <w:sz w:val="24"/>
          <w:szCs w:val="24"/>
        </w:rPr>
        <w:t xml:space="preserve">, since they involve </w:t>
      </w:r>
      <w:r w:rsidR="00A41B09" w:rsidRPr="00A41B09">
        <w:rPr>
          <w:rFonts w:ascii="Georgia" w:hAnsi="Georgia"/>
          <w:sz w:val="24"/>
          <w:szCs w:val="24"/>
        </w:rPr>
        <w:t>factual circumstances that are identical in all material respects</w:t>
      </w:r>
      <w:r w:rsidR="00870A2A">
        <w:rPr>
          <w:rFonts w:ascii="Georgia" w:hAnsi="Georgia"/>
          <w:sz w:val="24"/>
          <w:szCs w:val="24"/>
        </w:rPr>
        <w:t>.</w:t>
      </w:r>
    </w:p>
    <w:p w14:paraId="65EBDC00" w14:textId="2463D20E" w:rsidR="00870A2A" w:rsidRDefault="00870A2A" w:rsidP="00870A2A">
      <w:pPr>
        <w:rPr>
          <w:rFonts w:ascii="Georgia" w:hAnsi="Georgia"/>
          <w:sz w:val="24"/>
          <w:szCs w:val="24"/>
        </w:rPr>
      </w:pPr>
    </w:p>
    <w:p w14:paraId="247E25B3" w14:textId="1D094E29" w:rsidR="00870A2A" w:rsidRPr="00FA0C36" w:rsidRDefault="00870A2A" w:rsidP="00FA0C36">
      <w:pPr>
        <w:jc w:val="center"/>
        <w:rPr>
          <w:rFonts w:ascii="Georgia" w:hAnsi="Georgia"/>
          <w:b/>
          <w:bCs/>
          <w:sz w:val="24"/>
          <w:szCs w:val="24"/>
        </w:rPr>
      </w:pPr>
      <w:r w:rsidRPr="00FA0C36">
        <w:rPr>
          <w:rFonts w:ascii="Georgia" w:hAnsi="Georgia"/>
          <w:b/>
          <w:bCs/>
          <w:sz w:val="24"/>
          <w:szCs w:val="24"/>
        </w:rPr>
        <w:t>Public Citizen Protest</w:t>
      </w:r>
    </w:p>
    <w:p w14:paraId="1BA96BDA" w14:textId="4D9B4982" w:rsidR="001749DD" w:rsidRDefault="001749DD" w:rsidP="00E15C24">
      <w:pPr>
        <w:rPr>
          <w:rFonts w:ascii="Georgia" w:hAnsi="Georgia"/>
          <w:sz w:val="24"/>
          <w:szCs w:val="24"/>
        </w:rPr>
      </w:pPr>
    </w:p>
    <w:p w14:paraId="3C2B619E" w14:textId="4F8EB812" w:rsidR="00B337B2" w:rsidRDefault="009F134D" w:rsidP="002A4631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6576B5">
        <w:rPr>
          <w:rFonts w:ascii="Georgia" w:hAnsi="Georgia"/>
          <w:sz w:val="24"/>
          <w:szCs w:val="24"/>
        </w:rPr>
        <w:t xml:space="preserve">The fourteen utilities seeking to create </w:t>
      </w:r>
      <w:r w:rsidR="00EC5BB6">
        <w:rPr>
          <w:rFonts w:ascii="Georgia" w:hAnsi="Georgia"/>
          <w:sz w:val="24"/>
          <w:szCs w:val="24"/>
        </w:rPr>
        <w:t xml:space="preserve">a </w:t>
      </w:r>
      <w:r w:rsidR="00EC5BB6" w:rsidRPr="00DF788A">
        <w:rPr>
          <w:rFonts w:ascii="Georgia" w:hAnsi="Georgia"/>
          <w:sz w:val="24"/>
          <w:szCs w:val="24"/>
        </w:rPr>
        <w:t xml:space="preserve">Southeast Energy Exchange Market </w:t>
      </w:r>
      <w:r w:rsidR="00253DEA">
        <w:rPr>
          <w:rFonts w:ascii="Georgia" w:hAnsi="Georgia"/>
          <w:sz w:val="24"/>
          <w:szCs w:val="24"/>
        </w:rPr>
        <w:t xml:space="preserve">have </w:t>
      </w:r>
      <w:r w:rsidR="002C5E26">
        <w:rPr>
          <w:rFonts w:ascii="Georgia" w:hAnsi="Georgia"/>
          <w:sz w:val="24"/>
          <w:szCs w:val="24"/>
        </w:rPr>
        <w:t xml:space="preserve">reserved all powers of administrative voting rights </w:t>
      </w:r>
      <w:r w:rsidR="00A93CE3">
        <w:rPr>
          <w:rFonts w:ascii="Georgia" w:hAnsi="Georgia"/>
          <w:sz w:val="24"/>
          <w:szCs w:val="24"/>
        </w:rPr>
        <w:t xml:space="preserve">only </w:t>
      </w:r>
      <w:r w:rsidR="00111257">
        <w:rPr>
          <w:rFonts w:ascii="Georgia" w:hAnsi="Georgia"/>
          <w:sz w:val="24"/>
          <w:szCs w:val="24"/>
        </w:rPr>
        <w:t>among themselves</w:t>
      </w:r>
      <w:r w:rsidR="00A93CE3">
        <w:rPr>
          <w:rFonts w:ascii="Georgia" w:hAnsi="Georgia"/>
          <w:sz w:val="24"/>
          <w:szCs w:val="24"/>
        </w:rPr>
        <w:t xml:space="preserve">. All other stakeholders, including consumer advocates, are </w:t>
      </w:r>
      <w:r w:rsidR="00111257">
        <w:rPr>
          <w:rFonts w:ascii="Georgia" w:hAnsi="Georgia"/>
          <w:sz w:val="24"/>
          <w:szCs w:val="24"/>
        </w:rPr>
        <w:t>shunted</w:t>
      </w:r>
      <w:r w:rsidR="00A93CE3">
        <w:rPr>
          <w:rFonts w:ascii="Georgia" w:hAnsi="Georgia"/>
          <w:sz w:val="24"/>
          <w:szCs w:val="24"/>
        </w:rPr>
        <w:t xml:space="preserve"> to the sidelines, with no voting rights </w:t>
      </w:r>
      <w:r w:rsidR="006A6926">
        <w:rPr>
          <w:rFonts w:ascii="Georgia" w:hAnsi="Georgia"/>
          <w:sz w:val="24"/>
          <w:szCs w:val="24"/>
        </w:rPr>
        <w:t xml:space="preserve">and </w:t>
      </w:r>
      <w:r w:rsidR="000A4EFE">
        <w:rPr>
          <w:rFonts w:ascii="Georgia" w:hAnsi="Georgia"/>
          <w:sz w:val="24"/>
          <w:szCs w:val="24"/>
        </w:rPr>
        <w:t>no opportunity to</w:t>
      </w:r>
      <w:r w:rsidR="00A93CE3">
        <w:rPr>
          <w:rFonts w:ascii="Georgia" w:hAnsi="Georgia"/>
          <w:sz w:val="24"/>
          <w:szCs w:val="24"/>
        </w:rPr>
        <w:t xml:space="preserve"> directly influence decision making within the </w:t>
      </w:r>
      <w:r w:rsidR="00D26470">
        <w:rPr>
          <w:rFonts w:ascii="Georgia" w:hAnsi="Georgia"/>
          <w:sz w:val="24"/>
          <w:szCs w:val="24"/>
        </w:rPr>
        <w:t xml:space="preserve">Energy </w:t>
      </w:r>
      <w:r w:rsidR="00D26470">
        <w:rPr>
          <w:rFonts w:ascii="Georgia" w:hAnsi="Georgia"/>
          <w:sz w:val="24"/>
          <w:szCs w:val="24"/>
        </w:rPr>
        <w:lastRenderedPageBreak/>
        <w:t>Exchange Market. Concentrating all management authority for the new market only among</w:t>
      </w:r>
      <w:r w:rsidR="00FA0C36">
        <w:rPr>
          <w:rFonts w:ascii="Georgia" w:hAnsi="Georgia"/>
          <w:sz w:val="24"/>
          <w:szCs w:val="24"/>
        </w:rPr>
        <w:t xml:space="preserve"> utilities is unjust and unreasonable, as</w:t>
      </w:r>
      <w:r w:rsidR="000A4EFE">
        <w:rPr>
          <w:rFonts w:ascii="Georgia" w:hAnsi="Georgia"/>
          <w:sz w:val="24"/>
          <w:szCs w:val="24"/>
        </w:rPr>
        <w:t xml:space="preserve"> </w:t>
      </w:r>
      <w:r w:rsidR="00974187">
        <w:rPr>
          <w:rFonts w:ascii="Georgia" w:hAnsi="Georgia"/>
          <w:sz w:val="24"/>
          <w:szCs w:val="24"/>
        </w:rPr>
        <w:t>the lack of balanced</w:t>
      </w:r>
      <w:r w:rsidR="00436A15">
        <w:rPr>
          <w:rFonts w:ascii="Georgia" w:hAnsi="Georgia"/>
          <w:sz w:val="24"/>
          <w:szCs w:val="24"/>
        </w:rPr>
        <w:t xml:space="preserve"> </w:t>
      </w:r>
      <w:r w:rsidR="00974187">
        <w:rPr>
          <w:rFonts w:ascii="Georgia" w:hAnsi="Georgia"/>
          <w:sz w:val="24"/>
          <w:szCs w:val="24"/>
        </w:rPr>
        <w:t>decision-making</w:t>
      </w:r>
      <w:r w:rsidR="00B337B2">
        <w:rPr>
          <w:rFonts w:ascii="Georgia" w:hAnsi="Georgia"/>
          <w:sz w:val="24"/>
          <w:szCs w:val="24"/>
        </w:rPr>
        <w:t xml:space="preserve"> will lead to </w:t>
      </w:r>
      <w:r w:rsidR="002A4631">
        <w:rPr>
          <w:rFonts w:ascii="Georgia" w:hAnsi="Georgia"/>
          <w:sz w:val="24"/>
          <w:szCs w:val="24"/>
        </w:rPr>
        <w:t>uncompetitive</w:t>
      </w:r>
      <w:r w:rsidR="00B337B2">
        <w:rPr>
          <w:rFonts w:ascii="Georgia" w:hAnsi="Georgia"/>
          <w:sz w:val="24"/>
          <w:szCs w:val="24"/>
        </w:rPr>
        <w:t xml:space="preserve"> outcomes. The Commission should require</w:t>
      </w:r>
      <w:r w:rsidR="007B27A4">
        <w:rPr>
          <w:rFonts w:ascii="Georgia" w:hAnsi="Georgia"/>
          <w:sz w:val="24"/>
          <w:szCs w:val="24"/>
        </w:rPr>
        <w:t xml:space="preserve"> a balanced voting </w:t>
      </w:r>
      <w:r w:rsidR="001E348E">
        <w:rPr>
          <w:rFonts w:ascii="Georgia" w:hAnsi="Georgia"/>
          <w:sz w:val="24"/>
          <w:szCs w:val="24"/>
        </w:rPr>
        <w:t>m</w:t>
      </w:r>
      <w:r w:rsidR="007B27A4">
        <w:rPr>
          <w:rFonts w:ascii="Georgia" w:hAnsi="Georgia"/>
          <w:sz w:val="24"/>
          <w:szCs w:val="24"/>
        </w:rPr>
        <w:t>embership that includes representatives of bona-fide consumer advocates</w:t>
      </w:r>
      <w:r w:rsidR="00645562">
        <w:rPr>
          <w:rFonts w:ascii="Georgia" w:hAnsi="Georgia"/>
          <w:sz w:val="24"/>
          <w:szCs w:val="24"/>
        </w:rPr>
        <w:t>, environmental organizations, and other public interest perspectives.</w:t>
      </w:r>
    </w:p>
    <w:p w14:paraId="2CEDB5E3" w14:textId="1B31B078" w:rsidR="00CA5D7F" w:rsidRDefault="00CA5D7F" w:rsidP="002A4631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49238E">
        <w:rPr>
          <w:rFonts w:ascii="Georgia" w:hAnsi="Georgia"/>
          <w:sz w:val="24"/>
          <w:szCs w:val="24"/>
        </w:rPr>
        <w:t xml:space="preserve">The Applicants detail </w:t>
      </w:r>
      <w:r w:rsidR="000D47E8">
        <w:rPr>
          <w:rFonts w:ascii="Georgia" w:hAnsi="Georgia"/>
          <w:sz w:val="24"/>
          <w:szCs w:val="24"/>
        </w:rPr>
        <w:t xml:space="preserve">how only utilities will have a say in how the market is run: </w:t>
      </w:r>
      <w:r w:rsidR="008133E2">
        <w:rPr>
          <w:rFonts w:ascii="Georgia" w:hAnsi="Georgia"/>
          <w:sz w:val="24"/>
          <w:szCs w:val="24"/>
        </w:rPr>
        <w:t xml:space="preserve">only </w:t>
      </w:r>
      <w:r w:rsidR="00B31A57">
        <w:rPr>
          <w:rFonts w:ascii="Georgia" w:hAnsi="Georgia"/>
          <w:sz w:val="24"/>
          <w:szCs w:val="24"/>
        </w:rPr>
        <w:t>m</w:t>
      </w:r>
      <w:r w:rsidR="008133E2">
        <w:rPr>
          <w:rFonts w:ascii="Georgia" w:hAnsi="Georgia"/>
          <w:sz w:val="24"/>
          <w:szCs w:val="24"/>
        </w:rPr>
        <w:t>embers have voting rights</w:t>
      </w:r>
      <w:r w:rsidR="00B31A57">
        <w:rPr>
          <w:rFonts w:ascii="Georgia" w:hAnsi="Georgia"/>
          <w:sz w:val="24"/>
          <w:szCs w:val="24"/>
        </w:rPr>
        <w:t>;</w:t>
      </w:r>
      <w:r w:rsidR="008133E2">
        <w:rPr>
          <w:rFonts w:ascii="Georgia" w:hAnsi="Georgia"/>
          <w:sz w:val="24"/>
          <w:szCs w:val="24"/>
        </w:rPr>
        <w:t xml:space="preserve"> </w:t>
      </w:r>
      <w:r w:rsidR="00B31A57">
        <w:rPr>
          <w:rFonts w:ascii="Georgia" w:hAnsi="Georgia"/>
          <w:sz w:val="24"/>
          <w:szCs w:val="24"/>
        </w:rPr>
        <w:t>m</w:t>
      </w:r>
      <w:r w:rsidR="008133E2">
        <w:rPr>
          <w:rFonts w:ascii="Georgia" w:hAnsi="Georgia"/>
          <w:sz w:val="24"/>
          <w:szCs w:val="24"/>
        </w:rPr>
        <w:t xml:space="preserve">embers are limited to </w:t>
      </w:r>
      <w:r w:rsidR="003A3453" w:rsidRPr="003A3453">
        <w:rPr>
          <w:rFonts w:ascii="Georgia" w:hAnsi="Georgia"/>
          <w:sz w:val="24"/>
          <w:szCs w:val="24"/>
        </w:rPr>
        <w:t>load serving utilities</w:t>
      </w:r>
      <w:r w:rsidR="00B60D00">
        <w:rPr>
          <w:rFonts w:ascii="Georgia" w:hAnsi="Georgia"/>
          <w:sz w:val="24"/>
          <w:szCs w:val="24"/>
        </w:rPr>
        <w:t xml:space="preserve">, and only </w:t>
      </w:r>
      <w:r w:rsidR="00B31A57">
        <w:rPr>
          <w:rFonts w:ascii="Georgia" w:hAnsi="Georgia"/>
          <w:sz w:val="24"/>
          <w:szCs w:val="24"/>
        </w:rPr>
        <w:t>m</w:t>
      </w:r>
      <w:r w:rsidR="00B60D00">
        <w:rPr>
          <w:rFonts w:ascii="Georgia" w:hAnsi="Georgia"/>
          <w:sz w:val="24"/>
          <w:szCs w:val="24"/>
        </w:rPr>
        <w:t xml:space="preserve">embers can serve on the </w:t>
      </w:r>
      <w:r w:rsidR="00B31A57">
        <w:rPr>
          <w:rFonts w:ascii="Georgia" w:hAnsi="Georgia"/>
          <w:sz w:val="24"/>
          <w:szCs w:val="24"/>
        </w:rPr>
        <w:t>m</w:t>
      </w:r>
      <w:r w:rsidR="00B60D00">
        <w:rPr>
          <w:rFonts w:ascii="Georgia" w:hAnsi="Georgia"/>
          <w:sz w:val="24"/>
          <w:szCs w:val="24"/>
        </w:rPr>
        <w:t xml:space="preserve">embership </w:t>
      </w:r>
      <w:r w:rsidR="00B31A57">
        <w:rPr>
          <w:rFonts w:ascii="Georgia" w:hAnsi="Georgia"/>
          <w:sz w:val="24"/>
          <w:szCs w:val="24"/>
        </w:rPr>
        <w:t>b</w:t>
      </w:r>
      <w:r w:rsidR="00B60D00">
        <w:rPr>
          <w:rFonts w:ascii="Georgia" w:hAnsi="Georgia"/>
          <w:sz w:val="24"/>
          <w:szCs w:val="24"/>
        </w:rPr>
        <w:t>oard</w:t>
      </w:r>
      <w:r w:rsidR="00AD092A">
        <w:rPr>
          <w:rFonts w:ascii="Georgia" w:hAnsi="Georgia"/>
          <w:sz w:val="24"/>
          <w:szCs w:val="24"/>
        </w:rPr>
        <w:t>:</w:t>
      </w:r>
    </w:p>
    <w:p w14:paraId="1FB4742F" w14:textId="68D9E8C4" w:rsidR="00AD092A" w:rsidRDefault="00AD092A" w:rsidP="00E15C24">
      <w:pPr>
        <w:rPr>
          <w:rFonts w:ascii="Georgia" w:hAnsi="Georgia"/>
          <w:sz w:val="24"/>
          <w:szCs w:val="24"/>
        </w:rPr>
      </w:pPr>
    </w:p>
    <w:p w14:paraId="0AC3A22A" w14:textId="0533A5B3" w:rsidR="00AD092A" w:rsidRDefault="001426A2" w:rsidP="00352D17">
      <w:pPr>
        <w:ind w:left="720"/>
        <w:rPr>
          <w:rFonts w:ascii="Georgia" w:hAnsi="Georgia"/>
          <w:sz w:val="24"/>
          <w:szCs w:val="24"/>
        </w:rPr>
      </w:pPr>
      <w:r w:rsidRPr="001426A2">
        <w:rPr>
          <w:rFonts w:ascii="Georgia" w:hAnsi="Georgia"/>
          <w:i/>
          <w:iCs/>
        </w:rPr>
        <w:t>The Members of the Southeast EEM will make all decisions through a Membership Board that is responsible for all significant issues and an Operating Committee that is responsible for day-to-day functioning of the Southeast EEM System.</w:t>
      </w:r>
      <w:r w:rsidR="00604745">
        <w:rPr>
          <w:rStyle w:val="FootnoteReference"/>
          <w:rFonts w:ascii="Georgia" w:hAnsi="Georgia"/>
          <w:sz w:val="24"/>
          <w:szCs w:val="24"/>
        </w:rPr>
        <w:footnoteReference w:id="4"/>
      </w:r>
    </w:p>
    <w:p w14:paraId="169820D6" w14:textId="71B6ECC2" w:rsidR="00994648" w:rsidRDefault="00994648" w:rsidP="00E15C24">
      <w:pPr>
        <w:rPr>
          <w:rFonts w:ascii="Georgia" w:hAnsi="Georgia"/>
          <w:sz w:val="24"/>
          <w:szCs w:val="24"/>
        </w:rPr>
      </w:pPr>
    </w:p>
    <w:p w14:paraId="757346A2" w14:textId="3A934E30" w:rsidR="00753A3C" w:rsidRDefault="00856C91" w:rsidP="002A4631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FE0D30">
        <w:rPr>
          <w:rFonts w:ascii="Georgia" w:hAnsi="Georgia"/>
          <w:sz w:val="24"/>
          <w:szCs w:val="24"/>
        </w:rPr>
        <w:t xml:space="preserve">While </w:t>
      </w:r>
      <w:r w:rsidR="009C5E41">
        <w:rPr>
          <w:rFonts w:ascii="Georgia" w:hAnsi="Georgia"/>
          <w:sz w:val="24"/>
          <w:szCs w:val="24"/>
        </w:rPr>
        <w:t xml:space="preserve">the Energy Exchange Market features </w:t>
      </w:r>
      <w:r w:rsidR="00694FCB">
        <w:rPr>
          <w:rFonts w:ascii="Georgia" w:hAnsi="Georgia"/>
          <w:sz w:val="24"/>
          <w:szCs w:val="24"/>
        </w:rPr>
        <w:t>a</w:t>
      </w:r>
      <w:r w:rsidR="00C47F62">
        <w:rPr>
          <w:rFonts w:ascii="Georgia" w:hAnsi="Georgia"/>
          <w:sz w:val="24"/>
          <w:szCs w:val="24"/>
        </w:rPr>
        <w:t xml:space="preserve">n “Administrator” </w:t>
      </w:r>
      <w:r w:rsidR="003F1504" w:rsidRPr="003F1504">
        <w:rPr>
          <w:rFonts w:ascii="Georgia" w:hAnsi="Georgia"/>
          <w:sz w:val="24"/>
          <w:szCs w:val="24"/>
        </w:rPr>
        <w:t xml:space="preserve">to </w:t>
      </w:r>
      <w:r w:rsidR="00FB7F94">
        <w:rPr>
          <w:rFonts w:ascii="Georgia" w:hAnsi="Georgia"/>
          <w:sz w:val="24"/>
          <w:szCs w:val="24"/>
        </w:rPr>
        <w:t>“</w:t>
      </w:r>
      <w:r w:rsidR="003F1504" w:rsidRPr="003F1504">
        <w:rPr>
          <w:rFonts w:ascii="Georgia" w:hAnsi="Georgia"/>
          <w:sz w:val="24"/>
          <w:szCs w:val="24"/>
        </w:rPr>
        <w:t>implement, manage, and oversee operation of the Southeast EEM System</w:t>
      </w:r>
      <w:r w:rsidR="00FB7F94">
        <w:rPr>
          <w:rFonts w:ascii="Georgia" w:hAnsi="Georgia"/>
          <w:sz w:val="24"/>
          <w:szCs w:val="24"/>
        </w:rPr>
        <w:t>”</w:t>
      </w:r>
      <w:r w:rsidR="003F1504" w:rsidRPr="003F1504">
        <w:rPr>
          <w:rFonts w:ascii="Georgia" w:hAnsi="Georgia"/>
          <w:sz w:val="24"/>
          <w:szCs w:val="24"/>
        </w:rPr>
        <w:t xml:space="preserve">, </w:t>
      </w:r>
      <w:r w:rsidR="00D66D7A">
        <w:rPr>
          <w:rFonts w:ascii="Georgia" w:hAnsi="Georgia"/>
          <w:sz w:val="24"/>
          <w:szCs w:val="24"/>
        </w:rPr>
        <w:t>the Administrator</w:t>
      </w:r>
      <w:r w:rsidR="003F1504" w:rsidRPr="003F1504">
        <w:rPr>
          <w:rFonts w:ascii="Georgia" w:hAnsi="Georgia"/>
          <w:sz w:val="24"/>
          <w:szCs w:val="24"/>
        </w:rPr>
        <w:t xml:space="preserve"> </w:t>
      </w:r>
      <w:r w:rsidR="00D66D7A">
        <w:rPr>
          <w:rFonts w:ascii="Georgia" w:hAnsi="Georgia"/>
          <w:sz w:val="24"/>
          <w:szCs w:val="24"/>
        </w:rPr>
        <w:t>is</w:t>
      </w:r>
      <w:r w:rsidR="003F1504" w:rsidRPr="003F1504">
        <w:rPr>
          <w:rFonts w:ascii="Georgia" w:hAnsi="Georgia"/>
          <w:sz w:val="24"/>
          <w:szCs w:val="24"/>
        </w:rPr>
        <w:t xml:space="preserve"> selected by the voting Members</w:t>
      </w:r>
      <w:r w:rsidR="000C7ED8">
        <w:rPr>
          <w:rFonts w:ascii="Georgia" w:hAnsi="Georgia"/>
          <w:sz w:val="24"/>
          <w:szCs w:val="24"/>
        </w:rPr>
        <w:t>, and serve</w:t>
      </w:r>
      <w:r w:rsidR="006213BF">
        <w:rPr>
          <w:rFonts w:ascii="Georgia" w:hAnsi="Georgia"/>
          <w:sz w:val="24"/>
          <w:szCs w:val="24"/>
        </w:rPr>
        <w:t>s</w:t>
      </w:r>
      <w:r w:rsidR="000C7ED8">
        <w:rPr>
          <w:rFonts w:ascii="Georgia" w:hAnsi="Georgia"/>
          <w:sz w:val="24"/>
          <w:szCs w:val="24"/>
        </w:rPr>
        <w:t xml:space="preserve"> at the pleasure of the voting Members</w:t>
      </w:r>
      <w:r w:rsidR="003F1504" w:rsidRPr="003F1504">
        <w:rPr>
          <w:rFonts w:ascii="Georgia" w:hAnsi="Georgia"/>
          <w:sz w:val="24"/>
          <w:szCs w:val="24"/>
        </w:rPr>
        <w:t>.</w:t>
      </w:r>
      <w:r w:rsidR="00AA491C">
        <w:rPr>
          <w:rStyle w:val="FootnoteReference"/>
          <w:rFonts w:ascii="Georgia" w:hAnsi="Georgia"/>
          <w:sz w:val="24"/>
          <w:szCs w:val="24"/>
        </w:rPr>
        <w:footnoteReference w:id="5"/>
      </w:r>
      <w:r w:rsidR="000C7ED8">
        <w:rPr>
          <w:rFonts w:ascii="Georgia" w:hAnsi="Georgia"/>
          <w:sz w:val="24"/>
          <w:szCs w:val="24"/>
        </w:rPr>
        <w:t xml:space="preserve"> Other stakeholders</w:t>
      </w:r>
      <w:r w:rsidR="00EC60E7">
        <w:rPr>
          <w:rFonts w:ascii="Cambria" w:hAnsi="Cambria"/>
          <w:sz w:val="24"/>
          <w:szCs w:val="24"/>
        </w:rPr>
        <w:t>—</w:t>
      </w:r>
      <w:r w:rsidR="000C7ED8">
        <w:rPr>
          <w:rFonts w:ascii="Georgia" w:hAnsi="Georgia"/>
          <w:sz w:val="24"/>
          <w:szCs w:val="24"/>
        </w:rPr>
        <w:t>including consumer advocates</w:t>
      </w:r>
      <w:r w:rsidR="00A6239D">
        <w:rPr>
          <w:rFonts w:ascii="Cambria" w:hAnsi="Cambria"/>
          <w:sz w:val="24"/>
          <w:szCs w:val="24"/>
        </w:rPr>
        <w:t>—</w:t>
      </w:r>
      <w:r w:rsidR="000C7ED8">
        <w:rPr>
          <w:rFonts w:ascii="Georgia" w:hAnsi="Georgia"/>
          <w:sz w:val="24"/>
          <w:szCs w:val="24"/>
        </w:rPr>
        <w:t xml:space="preserve">play no role whatsoever in </w:t>
      </w:r>
      <w:r w:rsidR="00EC60E7">
        <w:rPr>
          <w:rFonts w:ascii="Georgia" w:hAnsi="Georgia"/>
          <w:sz w:val="24"/>
          <w:szCs w:val="24"/>
        </w:rPr>
        <w:t xml:space="preserve">selecting the </w:t>
      </w:r>
      <w:r w:rsidR="000504C7">
        <w:rPr>
          <w:rFonts w:ascii="Georgia" w:hAnsi="Georgia"/>
          <w:sz w:val="24"/>
          <w:szCs w:val="24"/>
        </w:rPr>
        <w:t>Southeast EEM Administrator</w:t>
      </w:r>
      <w:r w:rsidR="00EC60E7">
        <w:rPr>
          <w:rFonts w:ascii="Georgia" w:hAnsi="Georgia"/>
          <w:sz w:val="24"/>
          <w:szCs w:val="24"/>
        </w:rPr>
        <w:t>.</w:t>
      </w:r>
      <w:r w:rsidR="00A6239D">
        <w:rPr>
          <w:rFonts w:ascii="Georgia" w:hAnsi="Georgia"/>
          <w:sz w:val="24"/>
          <w:szCs w:val="24"/>
        </w:rPr>
        <w:t xml:space="preserve"> </w:t>
      </w:r>
    </w:p>
    <w:p w14:paraId="07889308" w14:textId="19202BD5" w:rsidR="004E52E2" w:rsidRDefault="000504C7" w:rsidP="002A4631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7C45E7" w:rsidRPr="007C45E7">
        <w:rPr>
          <w:rFonts w:ascii="Georgia" w:hAnsi="Georgia"/>
          <w:sz w:val="24"/>
          <w:szCs w:val="24"/>
        </w:rPr>
        <w:t xml:space="preserve">The Operating Committee, which </w:t>
      </w:r>
      <w:r w:rsidR="00DF7458">
        <w:rPr>
          <w:rFonts w:ascii="Georgia" w:hAnsi="Georgia"/>
          <w:sz w:val="24"/>
          <w:szCs w:val="24"/>
        </w:rPr>
        <w:t>“</w:t>
      </w:r>
      <w:r w:rsidR="007C45E7" w:rsidRPr="007C45E7">
        <w:rPr>
          <w:rFonts w:ascii="Georgia" w:hAnsi="Georgia"/>
          <w:sz w:val="24"/>
          <w:szCs w:val="24"/>
        </w:rPr>
        <w:t>will handle day-to-day operations</w:t>
      </w:r>
      <w:r w:rsidR="00DF7458">
        <w:rPr>
          <w:rFonts w:ascii="Georgia" w:hAnsi="Georgia"/>
          <w:sz w:val="24"/>
          <w:szCs w:val="24"/>
        </w:rPr>
        <w:t>”</w:t>
      </w:r>
      <w:r w:rsidR="007C45E7" w:rsidRPr="007C45E7">
        <w:rPr>
          <w:rFonts w:ascii="Georgia" w:hAnsi="Georgia"/>
          <w:sz w:val="24"/>
          <w:szCs w:val="24"/>
        </w:rPr>
        <w:t xml:space="preserve">, is </w:t>
      </w:r>
      <w:r w:rsidR="00DF7458">
        <w:rPr>
          <w:rFonts w:ascii="Georgia" w:hAnsi="Georgia"/>
          <w:sz w:val="24"/>
          <w:szCs w:val="24"/>
        </w:rPr>
        <w:t>“</w:t>
      </w:r>
      <w:r w:rsidR="007C45E7" w:rsidRPr="007C45E7">
        <w:rPr>
          <w:rFonts w:ascii="Georgia" w:hAnsi="Georgia"/>
          <w:sz w:val="24"/>
          <w:szCs w:val="24"/>
        </w:rPr>
        <w:t xml:space="preserve">comprised of four </w:t>
      </w:r>
      <w:r w:rsidR="00DF7458" w:rsidRPr="007C45E7">
        <w:rPr>
          <w:rFonts w:ascii="Georgia" w:hAnsi="Georgia"/>
          <w:sz w:val="24"/>
          <w:szCs w:val="24"/>
        </w:rPr>
        <w:t>representatives</w:t>
      </w:r>
      <w:r w:rsidR="007C45E7" w:rsidRPr="007C45E7">
        <w:rPr>
          <w:rFonts w:ascii="Georgia" w:hAnsi="Georgia"/>
          <w:sz w:val="24"/>
          <w:szCs w:val="24"/>
        </w:rPr>
        <w:t xml:space="preserve"> from the Members.</w:t>
      </w:r>
      <w:r w:rsidR="00DF7458">
        <w:rPr>
          <w:rFonts w:ascii="Georgia" w:hAnsi="Georgia"/>
          <w:sz w:val="24"/>
          <w:szCs w:val="24"/>
        </w:rPr>
        <w:t>”</w:t>
      </w:r>
      <w:r w:rsidR="00DF7458">
        <w:rPr>
          <w:rStyle w:val="FootnoteReference"/>
          <w:rFonts w:ascii="Georgia" w:hAnsi="Georgia"/>
          <w:sz w:val="24"/>
          <w:szCs w:val="24"/>
        </w:rPr>
        <w:footnoteReference w:id="6"/>
      </w:r>
      <w:r w:rsidR="00DF7458">
        <w:rPr>
          <w:rFonts w:ascii="Georgia" w:hAnsi="Georgia"/>
          <w:sz w:val="24"/>
          <w:szCs w:val="24"/>
        </w:rPr>
        <w:t xml:space="preserve"> Again, no other stakeholders, including consumer advocates, have any </w:t>
      </w:r>
      <w:r w:rsidR="005F0A20">
        <w:rPr>
          <w:rFonts w:ascii="Georgia" w:hAnsi="Georgia"/>
          <w:sz w:val="24"/>
          <w:szCs w:val="24"/>
        </w:rPr>
        <w:t>representation</w:t>
      </w:r>
      <w:r w:rsidR="00DF7458">
        <w:rPr>
          <w:rFonts w:ascii="Georgia" w:hAnsi="Georgia"/>
          <w:sz w:val="24"/>
          <w:szCs w:val="24"/>
        </w:rPr>
        <w:t xml:space="preserve"> on the Operating Committee.</w:t>
      </w:r>
    </w:p>
    <w:p w14:paraId="0A7921DA" w14:textId="10B1D484" w:rsidR="00C3352F" w:rsidRDefault="005F0A20" w:rsidP="002A4631">
      <w:pPr>
        <w:spacing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The Applications describe</w:t>
      </w:r>
      <w:r w:rsidR="00C72B98">
        <w:rPr>
          <w:rFonts w:ascii="Georgia" w:hAnsi="Georgia"/>
          <w:sz w:val="24"/>
          <w:szCs w:val="24"/>
        </w:rPr>
        <w:t xml:space="preserve"> a completely useless stakeholder engagement process that allows consumer groups and other critical stakeholders an opportunity </w:t>
      </w:r>
      <w:r w:rsidR="00C72B98" w:rsidRPr="002D56A8">
        <w:rPr>
          <w:rFonts w:ascii="Georgia" w:hAnsi="Georgia"/>
          <w:b/>
          <w:bCs/>
          <w:sz w:val="24"/>
          <w:szCs w:val="24"/>
          <w:u w:val="single"/>
        </w:rPr>
        <w:t>once a year</w:t>
      </w:r>
      <w:r w:rsidR="00C72B98">
        <w:rPr>
          <w:rFonts w:ascii="Georgia" w:hAnsi="Georgia"/>
          <w:sz w:val="24"/>
          <w:szCs w:val="24"/>
        </w:rPr>
        <w:t xml:space="preserve"> to provide </w:t>
      </w:r>
      <w:r w:rsidR="00A421D0">
        <w:rPr>
          <w:rFonts w:ascii="Georgia" w:hAnsi="Georgia"/>
          <w:sz w:val="24"/>
          <w:szCs w:val="24"/>
        </w:rPr>
        <w:t xml:space="preserve">non-binding </w:t>
      </w:r>
      <w:r w:rsidR="00C72B98">
        <w:rPr>
          <w:rFonts w:ascii="Georgia" w:hAnsi="Georgia"/>
          <w:sz w:val="24"/>
          <w:szCs w:val="24"/>
        </w:rPr>
        <w:t>feedback.</w:t>
      </w:r>
      <w:r w:rsidR="009938D4">
        <w:rPr>
          <w:rStyle w:val="FootnoteReference"/>
          <w:rFonts w:ascii="Georgia" w:hAnsi="Georgia"/>
          <w:sz w:val="24"/>
          <w:szCs w:val="24"/>
        </w:rPr>
        <w:footnoteReference w:id="7"/>
      </w:r>
      <w:r w:rsidR="00C72B98">
        <w:rPr>
          <w:rFonts w:ascii="Georgia" w:hAnsi="Georgia"/>
          <w:sz w:val="24"/>
          <w:szCs w:val="24"/>
        </w:rPr>
        <w:t xml:space="preserve"> The utilities have zero obligation to be responsive to these stakeholder comments</w:t>
      </w:r>
      <w:r w:rsidR="00A421D0">
        <w:rPr>
          <w:rFonts w:ascii="Cambria" w:hAnsi="Cambria"/>
          <w:sz w:val="24"/>
          <w:szCs w:val="24"/>
        </w:rPr>
        <w:t>. B</w:t>
      </w:r>
      <w:r w:rsidR="00C72B98">
        <w:rPr>
          <w:rFonts w:ascii="Georgia" w:hAnsi="Georgia"/>
          <w:sz w:val="24"/>
          <w:szCs w:val="24"/>
        </w:rPr>
        <w:t>ecause non-utility stakeholders have no voting rights whatsoever, the likely scenario is that the utility members will simply ignore whatever it is that consumer groups have to say</w:t>
      </w:r>
      <w:r w:rsidR="002D56A8">
        <w:rPr>
          <w:rFonts w:ascii="Georgia" w:hAnsi="Georgia"/>
          <w:sz w:val="24"/>
          <w:szCs w:val="24"/>
        </w:rPr>
        <w:t xml:space="preserve"> at these </w:t>
      </w:r>
      <w:r w:rsidR="00B07FFA">
        <w:rPr>
          <w:rFonts w:ascii="Georgia" w:hAnsi="Georgia"/>
          <w:sz w:val="24"/>
          <w:szCs w:val="24"/>
        </w:rPr>
        <w:t>annual events</w:t>
      </w:r>
      <w:r w:rsidR="00C72B98">
        <w:rPr>
          <w:rFonts w:ascii="Georgia" w:hAnsi="Georgia"/>
          <w:sz w:val="24"/>
          <w:szCs w:val="24"/>
        </w:rPr>
        <w:t xml:space="preserve">. This SEEM proposal will institutionalize the </w:t>
      </w:r>
      <w:r w:rsidR="002A4631">
        <w:rPr>
          <w:rFonts w:ascii="Georgia" w:hAnsi="Georgia"/>
          <w:sz w:val="24"/>
          <w:szCs w:val="24"/>
        </w:rPr>
        <w:t>disenfranchisement</w:t>
      </w:r>
      <w:r w:rsidR="00C72B98">
        <w:rPr>
          <w:rFonts w:ascii="Georgia" w:hAnsi="Georgia"/>
          <w:sz w:val="24"/>
          <w:szCs w:val="24"/>
        </w:rPr>
        <w:t xml:space="preserve"> of consumer groups, environmental groups and </w:t>
      </w:r>
      <w:r w:rsidR="000303B8">
        <w:rPr>
          <w:rFonts w:ascii="Georgia" w:hAnsi="Georgia"/>
          <w:sz w:val="24"/>
          <w:szCs w:val="24"/>
        </w:rPr>
        <w:t>all</w:t>
      </w:r>
      <w:r w:rsidR="00C72B98">
        <w:rPr>
          <w:rFonts w:ascii="Georgia" w:hAnsi="Georgia"/>
          <w:sz w:val="24"/>
          <w:szCs w:val="24"/>
        </w:rPr>
        <w:t xml:space="preserve"> non-</w:t>
      </w:r>
      <w:r w:rsidR="000303B8">
        <w:rPr>
          <w:rFonts w:ascii="Georgia" w:hAnsi="Georgia"/>
          <w:sz w:val="24"/>
          <w:szCs w:val="24"/>
        </w:rPr>
        <w:t>m</w:t>
      </w:r>
      <w:r w:rsidR="00AD16A7">
        <w:rPr>
          <w:rFonts w:ascii="Georgia" w:hAnsi="Georgia"/>
          <w:sz w:val="24"/>
          <w:szCs w:val="24"/>
        </w:rPr>
        <w:t>ember</w:t>
      </w:r>
      <w:r w:rsidR="00C72B98">
        <w:rPr>
          <w:rFonts w:ascii="Georgia" w:hAnsi="Georgia"/>
          <w:sz w:val="24"/>
          <w:szCs w:val="24"/>
        </w:rPr>
        <w:t xml:space="preserve"> stakeholder</w:t>
      </w:r>
      <w:r w:rsidR="000303B8">
        <w:rPr>
          <w:rFonts w:ascii="Georgia" w:hAnsi="Georgia"/>
          <w:sz w:val="24"/>
          <w:szCs w:val="24"/>
        </w:rPr>
        <w:t>s</w:t>
      </w:r>
      <w:r w:rsidR="008262D8">
        <w:rPr>
          <w:rFonts w:ascii="Georgia" w:hAnsi="Georgia"/>
          <w:sz w:val="24"/>
          <w:szCs w:val="24"/>
        </w:rPr>
        <w:t xml:space="preserve"> in any and all Energy Exchange Market operations</w:t>
      </w:r>
      <w:r w:rsidR="00C72B98">
        <w:rPr>
          <w:rFonts w:ascii="Georgia" w:hAnsi="Georgia"/>
          <w:sz w:val="24"/>
          <w:szCs w:val="24"/>
        </w:rPr>
        <w:t>.</w:t>
      </w:r>
    </w:p>
    <w:p w14:paraId="7D5DF806" w14:textId="5E8C06DA" w:rsidR="00C3352F" w:rsidRDefault="00C3352F">
      <w:pPr>
        <w:rPr>
          <w:rFonts w:ascii="Georgia" w:hAnsi="Georgia"/>
          <w:sz w:val="24"/>
          <w:szCs w:val="24"/>
        </w:rPr>
      </w:pPr>
    </w:p>
    <w:p w14:paraId="3CEFB86E" w14:textId="77777777" w:rsidR="002A4631" w:rsidRDefault="002A4631">
      <w:pPr>
        <w:rPr>
          <w:rFonts w:ascii="Georgia" w:hAnsi="Georgia"/>
          <w:sz w:val="24"/>
          <w:szCs w:val="24"/>
        </w:rPr>
      </w:pPr>
    </w:p>
    <w:p w14:paraId="52D60DD5" w14:textId="77777777" w:rsidR="00C3352F" w:rsidRDefault="00C3352F">
      <w:pPr>
        <w:rPr>
          <w:rFonts w:ascii="Georgia" w:hAnsi="Georgia"/>
          <w:sz w:val="24"/>
          <w:szCs w:val="24"/>
        </w:rPr>
      </w:pPr>
    </w:p>
    <w:p w14:paraId="10DF2A3A" w14:textId="77777777" w:rsidR="00C3352F" w:rsidRDefault="00C335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Respectfully submitted,</w:t>
      </w:r>
    </w:p>
    <w:p w14:paraId="76DF102F" w14:textId="77777777" w:rsidR="00C3352F" w:rsidRDefault="00C3352F">
      <w:pPr>
        <w:rPr>
          <w:rFonts w:ascii="Georgia" w:hAnsi="Georgia"/>
          <w:sz w:val="24"/>
          <w:szCs w:val="24"/>
        </w:rPr>
      </w:pPr>
    </w:p>
    <w:p w14:paraId="7D116454" w14:textId="77777777" w:rsidR="00C3352F" w:rsidRDefault="00C335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Tyson Slocum, Energy Program Director</w:t>
      </w:r>
    </w:p>
    <w:p w14:paraId="29A58B84" w14:textId="77777777" w:rsidR="00C3352F" w:rsidRDefault="00C335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Public Citizen, Inc.</w:t>
      </w:r>
    </w:p>
    <w:p w14:paraId="4D960F51" w14:textId="77777777" w:rsidR="00C3352F" w:rsidRDefault="00C335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215 Pennsylvania Ave SE</w:t>
      </w:r>
    </w:p>
    <w:p w14:paraId="5E18E50C" w14:textId="77777777" w:rsidR="00C3352F" w:rsidRDefault="00C335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Washington, DC  20003</w:t>
      </w:r>
    </w:p>
    <w:p w14:paraId="392B508D" w14:textId="77777777" w:rsidR="00C3352F" w:rsidRDefault="00C335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(202) 454-5191</w:t>
      </w:r>
    </w:p>
    <w:p w14:paraId="24CEDBEA" w14:textId="08A3ACFE" w:rsidR="00EE4244" w:rsidRPr="00EE4244" w:rsidRDefault="00C335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tslocum@citizen.org</w:t>
      </w:r>
      <w:r w:rsidR="00C72B98">
        <w:rPr>
          <w:rFonts w:ascii="Georgia" w:hAnsi="Georgia"/>
          <w:sz w:val="24"/>
          <w:szCs w:val="24"/>
        </w:rPr>
        <w:t xml:space="preserve"> </w:t>
      </w:r>
      <w:r w:rsidR="005F0A20">
        <w:rPr>
          <w:rFonts w:ascii="Georgia" w:hAnsi="Georgia"/>
          <w:sz w:val="24"/>
          <w:szCs w:val="24"/>
        </w:rPr>
        <w:t xml:space="preserve"> </w:t>
      </w:r>
    </w:p>
    <w:sectPr w:rsidR="00EE4244" w:rsidRPr="00EE4244" w:rsidSect="00D87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BF99A" w14:textId="77777777" w:rsidR="00013AE6" w:rsidRDefault="00013AE6" w:rsidP="00E701F6">
      <w:r>
        <w:separator/>
      </w:r>
    </w:p>
  </w:endnote>
  <w:endnote w:type="continuationSeparator" w:id="0">
    <w:p w14:paraId="55391AD7" w14:textId="77777777" w:rsidR="00013AE6" w:rsidRDefault="00013AE6" w:rsidP="00E7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A9C3F" w14:textId="77777777" w:rsidR="00D87874" w:rsidRDefault="00D87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3201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DCC7B9" w14:textId="3CA76F99" w:rsidR="00D87874" w:rsidRDefault="00D8787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DF1EB5" w14:textId="77777777" w:rsidR="00D87874" w:rsidRDefault="00D87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B0C89" w14:textId="77777777" w:rsidR="00D87874" w:rsidRDefault="00D87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8E5B9" w14:textId="77777777" w:rsidR="00013AE6" w:rsidRDefault="00013AE6" w:rsidP="00E701F6">
      <w:r>
        <w:separator/>
      </w:r>
    </w:p>
  </w:footnote>
  <w:footnote w:type="continuationSeparator" w:id="0">
    <w:p w14:paraId="03EAF765" w14:textId="77777777" w:rsidR="00013AE6" w:rsidRDefault="00013AE6" w:rsidP="00E701F6">
      <w:r>
        <w:continuationSeparator/>
      </w:r>
    </w:p>
  </w:footnote>
  <w:footnote w:id="1">
    <w:p w14:paraId="3F5067F8" w14:textId="77777777" w:rsidR="00E701F6" w:rsidRPr="00102BC8" w:rsidRDefault="00E701F6" w:rsidP="00E701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32E96">
          <w:rPr>
            <w:rStyle w:val="Hyperlink"/>
            <w:rFonts w:ascii="Georgia" w:hAnsi="Georgia"/>
            <w:color w:val="auto"/>
            <w:u w:val="none"/>
          </w:rPr>
          <w:t>www.citizen.org/about/annual-report/</w:t>
        </w:r>
      </w:hyperlink>
    </w:p>
  </w:footnote>
  <w:footnote w:id="2">
    <w:p w14:paraId="2E6D8927" w14:textId="7FF09DB9" w:rsidR="00B3555D" w:rsidRDefault="00B355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470FD">
        <w:rPr>
          <w:i/>
          <w:iCs/>
        </w:rPr>
        <w:t>Startrans</w:t>
      </w:r>
      <w:proofErr w:type="spellEnd"/>
      <w:r w:rsidRPr="00F470FD">
        <w:rPr>
          <w:i/>
          <w:iCs/>
        </w:rPr>
        <w:t xml:space="preserve"> IO, L.L.C.</w:t>
      </w:r>
      <w:r w:rsidRPr="00B3555D">
        <w:t>, 122 FERC ¶ 61,253, at 25 (2008)</w:t>
      </w:r>
      <w:r w:rsidR="00F470FD">
        <w:t>.</w:t>
      </w:r>
    </w:p>
  </w:footnote>
  <w:footnote w:id="3">
    <w:p w14:paraId="203063F5" w14:textId="68C485D6" w:rsidR="00137134" w:rsidRDefault="001371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37134">
        <w:t>Docket No. ER21-1111, at page 3.</w:t>
      </w:r>
    </w:p>
  </w:footnote>
  <w:footnote w:id="4">
    <w:p w14:paraId="26B88B35" w14:textId="2BABC747" w:rsidR="00604745" w:rsidRDefault="006047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4745">
        <w:rPr>
          <w:rFonts w:ascii="Georgia" w:hAnsi="Georgia"/>
        </w:rPr>
        <w:t xml:space="preserve">Docket No. ER21-1111, at page </w:t>
      </w:r>
      <w:r w:rsidR="00793435">
        <w:rPr>
          <w:rFonts w:ascii="Georgia" w:hAnsi="Georgia"/>
        </w:rPr>
        <w:t>21</w:t>
      </w:r>
      <w:r w:rsidRPr="00604745">
        <w:rPr>
          <w:rFonts w:ascii="Georgia" w:hAnsi="Georgia"/>
        </w:rPr>
        <w:t>.</w:t>
      </w:r>
    </w:p>
  </w:footnote>
  <w:footnote w:id="5">
    <w:p w14:paraId="2E303780" w14:textId="1D3D2C15" w:rsidR="00AA491C" w:rsidRDefault="00AA49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A491C">
        <w:rPr>
          <w:rFonts w:ascii="Georgia" w:hAnsi="Georgia"/>
        </w:rPr>
        <w:t>Docket No. ER21-1111, at page 16.</w:t>
      </w:r>
    </w:p>
  </w:footnote>
  <w:footnote w:id="6">
    <w:p w14:paraId="422F1274" w14:textId="6AE44E26" w:rsidR="00DF7458" w:rsidRDefault="00DF74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A491C">
        <w:rPr>
          <w:rFonts w:ascii="Georgia" w:hAnsi="Georgia"/>
        </w:rPr>
        <w:t>Docket No. ER21-1111, at page 1</w:t>
      </w:r>
      <w:r>
        <w:rPr>
          <w:rFonts w:ascii="Georgia" w:hAnsi="Georgia"/>
        </w:rPr>
        <w:t>8.</w:t>
      </w:r>
    </w:p>
  </w:footnote>
  <w:footnote w:id="7">
    <w:p w14:paraId="18E991A7" w14:textId="39076223" w:rsidR="009938D4" w:rsidRDefault="009938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D16A7" w:rsidRPr="00AA491C">
        <w:rPr>
          <w:rFonts w:ascii="Georgia" w:hAnsi="Georgia"/>
        </w:rPr>
        <w:t>Docket No. ER21-1111, at page</w:t>
      </w:r>
      <w:r w:rsidR="00AD16A7">
        <w:rPr>
          <w:rFonts w:ascii="Georgia" w:hAnsi="Georgia"/>
        </w:rPr>
        <w:t xml:space="preserve"> 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5F5EF" w14:textId="77777777" w:rsidR="00D87874" w:rsidRDefault="00D87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D697" w14:textId="75407D9D" w:rsidR="000D41CD" w:rsidRPr="000D41CD" w:rsidRDefault="000D41CD" w:rsidP="000D41CD">
    <w:pPr>
      <w:pStyle w:val="Header"/>
      <w:jc w:val="center"/>
      <w:rPr>
        <w:rFonts w:ascii="Georgia" w:hAnsi="Georgia"/>
        <w:i/>
        <w:iCs/>
      </w:rPr>
    </w:pPr>
    <w:r w:rsidRPr="000D41CD">
      <w:rPr>
        <w:rFonts w:ascii="Georgia" w:hAnsi="Georgia"/>
        <w:i/>
        <w:iCs/>
      </w:rPr>
      <w:t xml:space="preserve">Motion to Consolidate and Protest of Public Citizen • March 15, </w:t>
    </w:r>
    <w:proofErr w:type="gramStart"/>
    <w:r w:rsidRPr="000D41CD">
      <w:rPr>
        <w:rFonts w:ascii="Georgia" w:hAnsi="Georgia"/>
        <w:i/>
        <w:iCs/>
      </w:rPr>
      <w:t>2021</w:t>
    </w:r>
    <w:proofErr w:type="gramEnd"/>
  </w:p>
  <w:p w14:paraId="042DB1FE" w14:textId="77777777" w:rsidR="00D87874" w:rsidRDefault="00D87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262D2" w14:textId="77777777" w:rsidR="00D87874" w:rsidRDefault="00D87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A3"/>
    <w:rsid w:val="0001281C"/>
    <w:rsid w:val="00013AE6"/>
    <w:rsid w:val="00015F8B"/>
    <w:rsid w:val="000303B8"/>
    <w:rsid w:val="000504C7"/>
    <w:rsid w:val="00065F72"/>
    <w:rsid w:val="00084D53"/>
    <w:rsid w:val="000A4EFE"/>
    <w:rsid w:val="000B5E37"/>
    <w:rsid w:val="000C7ED8"/>
    <w:rsid w:val="000D41CD"/>
    <w:rsid w:val="000D47E8"/>
    <w:rsid w:val="000E15EC"/>
    <w:rsid w:val="000F2FA6"/>
    <w:rsid w:val="00111257"/>
    <w:rsid w:val="00137134"/>
    <w:rsid w:val="001426A2"/>
    <w:rsid w:val="001749DD"/>
    <w:rsid w:val="001C2D71"/>
    <w:rsid w:val="001D402F"/>
    <w:rsid w:val="001E348E"/>
    <w:rsid w:val="001E68F3"/>
    <w:rsid w:val="001E7803"/>
    <w:rsid w:val="00201436"/>
    <w:rsid w:val="0020702B"/>
    <w:rsid w:val="00222FBD"/>
    <w:rsid w:val="002321B8"/>
    <w:rsid w:val="00253DEA"/>
    <w:rsid w:val="002A4631"/>
    <w:rsid w:val="002C59BE"/>
    <w:rsid w:val="002C5E26"/>
    <w:rsid w:val="002D56A8"/>
    <w:rsid w:val="002E0425"/>
    <w:rsid w:val="00322750"/>
    <w:rsid w:val="0034340E"/>
    <w:rsid w:val="00352331"/>
    <w:rsid w:val="00352A2F"/>
    <w:rsid w:val="00352D17"/>
    <w:rsid w:val="0035611E"/>
    <w:rsid w:val="00376D01"/>
    <w:rsid w:val="0039226F"/>
    <w:rsid w:val="00394963"/>
    <w:rsid w:val="003A3453"/>
    <w:rsid w:val="003F0C2D"/>
    <w:rsid w:val="003F1504"/>
    <w:rsid w:val="00415E41"/>
    <w:rsid w:val="00436A15"/>
    <w:rsid w:val="00475DAA"/>
    <w:rsid w:val="0049238E"/>
    <w:rsid w:val="004A0350"/>
    <w:rsid w:val="004C25C3"/>
    <w:rsid w:val="004E52E2"/>
    <w:rsid w:val="00562E6B"/>
    <w:rsid w:val="005865A9"/>
    <w:rsid w:val="005B634F"/>
    <w:rsid w:val="005B7D26"/>
    <w:rsid w:val="005F0A20"/>
    <w:rsid w:val="00602388"/>
    <w:rsid w:val="00604745"/>
    <w:rsid w:val="006213BF"/>
    <w:rsid w:val="00645562"/>
    <w:rsid w:val="006576B5"/>
    <w:rsid w:val="00662EDA"/>
    <w:rsid w:val="00694FCB"/>
    <w:rsid w:val="006A6926"/>
    <w:rsid w:val="006B0425"/>
    <w:rsid w:val="006C53D3"/>
    <w:rsid w:val="00753A3C"/>
    <w:rsid w:val="00793435"/>
    <w:rsid w:val="007A5D0C"/>
    <w:rsid w:val="007A7D9C"/>
    <w:rsid w:val="007B27A4"/>
    <w:rsid w:val="007C45E7"/>
    <w:rsid w:val="007D78D2"/>
    <w:rsid w:val="00811CD4"/>
    <w:rsid w:val="008133E2"/>
    <w:rsid w:val="00820DB3"/>
    <w:rsid w:val="008262D8"/>
    <w:rsid w:val="0085236E"/>
    <w:rsid w:val="00856C91"/>
    <w:rsid w:val="00870A2A"/>
    <w:rsid w:val="008C2B18"/>
    <w:rsid w:val="008C4E30"/>
    <w:rsid w:val="008D3EA7"/>
    <w:rsid w:val="009022B5"/>
    <w:rsid w:val="00934CCF"/>
    <w:rsid w:val="00936022"/>
    <w:rsid w:val="00943167"/>
    <w:rsid w:val="009714EC"/>
    <w:rsid w:val="00974187"/>
    <w:rsid w:val="009938D4"/>
    <w:rsid w:val="00994648"/>
    <w:rsid w:val="009C5E41"/>
    <w:rsid w:val="009D6E08"/>
    <w:rsid w:val="009F134D"/>
    <w:rsid w:val="00A05698"/>
    <w:rsid w:val="00A41B09"/>
    <w:rsid w:val="00A421D0"/>
    <w:rsid w:val="00A6239D"/>
    <w:rsid w:val="00A77277"/>
    <w:rsid w:val="00A93CE3"/>
    <w:rsid w:val="00AA491C"/>
    <w:rsid w:val="00AD092A"/>
    <w:rsid w:val="00AD16A7"/>
    <w:rsid w:val="00B07FFA"/>
    <w:rsid w:val="00B275B5"/>
    <w:rsid w:val="00B31A57"/>
    <w:rsid w:val="00B337B2"/>
    <w:rsid w:val="00B3555D"/>
    <w:rsid w:val="00B60D00"/>
    <w:rsid w:val="00B7359F"/>
    <w:rsid w:val="00BA4E77"/>
    <w:rsid w:val="00C3352F"/>
    <w:rsid w:val="00C47F62"/>
    <w:rsid w:val="00C63872"/>
    <w:rsid w:val="00C72B98"/>
    <w:rsid w:val="00C84142"/>
    <w:rsid w:val="00C8571C"/>
    <w:rsid w:val="00C9368C"/>
    <w:rsid w:val="00CA5D7F"/>
    <w:rsid w:val="00D26470"/>
    <w:rsid w:val="00D45807"/>
    <w:rsid w:val="00D45A67"/>
    <w:rsid w:val="00D66D7A"/>
    <w:rsid w:val="00D87874"/>
    <w:rsid w:val="00DF11BA"/>
    <w:rsid w:val="00DF45C4"/>
    <w:rsid w:val="00DF7458"/>
    <w:rsid w:val="00DF788A"/>
    <w:rsid w:val="00E15C24"/>
    <w:rsid w:val="00E343A3"/>
    <w:rsid w:val="00E64587"/>
    <w:rsid w:val="00E701F6"/>
    <w:rsid w:val="00E8291E"/>
    <w:rsid w:val="00E917B6"/>
    <w:rsid w:val="00EC5BB6"/>
    <w:rsid w:val="00EC60E7"/>
    <w:rsid w:val="00EE4244"/>
    <w:rsid w:val="00EF363E"/>
    <w:rsid w:val="00F40DA5"/>
    <w:rsid w:val="00F448AD"/>
    <w:rsid w:val="00F470FD"/>
    <w:rsid w:val="00F66CEE"/>
    <w:rsid w:val="00F74A21"/>
    <w:rsid w:val="00FA0C36"/>
    <w:rsid w:val="00FB7F94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79B0"/>
  <w15:chartTrackingRefBased/>
  <w15:docId w15:val="{F8FBAD97-E3B6-4CA6-944C-8B4AE7D6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1E68F3"/>
    <w:pPr>
      <w:keepLines/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1E68F3"/>
  </w:style>
  <w:style w:type="character" w:styleId="FootnoteReference">
    <w:name w:val="footnote reference"/>
    <w:basedOn w:val="DefaultParagraphFont"/>
    <w:uiPriority w:val="99"/>
    <w:semiHidden/>
    <w:unhideWhenUsed/>
    <w:rsid w:val="00E701F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01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874"/>
  </w:style>
  <w:style w:type="paragraph" w:styleId="Footer">
    <w:name w:val="footer"/>
    <w:basedOn w:val="Normal"/>
    <w:link w:val="FooterChar"/>
    <w:uiPriority w:val="99"/>
    <w:unhideWhenUsed/>
    <w:rsid w:val="00D87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izen.org/about/annual-re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A6A91-AB3E-461A-B6DD-4E062A52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Slocum</dc:creator>
  <cp:keywords/>
  <dc:description/>
  <cp:lastModifiedBy>Tyson Slocum</cp:lastModifiedBy>
  <cp:revision>137</cp:revision>
  <dcterms:created xsi:type="dcterms:W3CDTF">2021-03-03T15:10:00Z</dcterms:created>
  <dcterms:modified xsi:type="dcterms:W3CDTF">2021-03-15T11:23:00Z</dcterms:modified>
</cp:coreProperties>
</file>