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68C34" w14:textId="7C533AA8" w:rsidR="0005630F" w:rsidRPr="00010B6F" w:rsidRDefault="00675B96" w:rsidP="00010B6F">
      <w:pPr>
        <w:jc w:val="center"/>
        <w:rPr>
          <w:rFonts w:ascii="Georgia" w:hAnsi="Georgia"/>
          <w:sz w:val="24"/>
          <w:szCs w:val="24"/>
        </w:rPr>
      </w:pPr>
      <w:r w:rsidRPr="00010B6F">
        <w:rPr>
          <w:rFonts w:ascii="Georgia" w:hAnsi="Georgia"/>
          <w:sz w:val="24"/>
          <w:szCs w:val="24"/>
        </w:rPr>
        <w:t>UNITED STATES OF AMERICA</w:t>
      </w:r>
    </w:p>
    <w:p w14:paraId="1FFE2B61" w14:textId="4D9E3BDD" w:rsidR="00675B96" w:rsidRPr="00010B6F" w:rsidRDefault="00675B96" w:rsidP="00010B6F">
      <w:pPr>
        <w:jc w:val="center"/>
        <w:rPr>
          <w:rFonts w:ascii="Georgia" w:hAnsi="Georgia"/>
          <w:sz w:val="24"/>
          <w:szCs w:val="24"/>
        </w:rPr>
      </w:pPr>
      <w:r w:rsidRPr="00010B6F">
        <w:rPr>
          <w:rFonts w:ascii="Georgia" w:hAnsi="Georgia"/>
          <w:sz w:val="24"/>
          <w:szCs w:val="24"/>
        </w:rPr>
        <w:t>BEFORE THE</w:t>
      </w:r>
    </w:p>
    <w:p w14:paraId="4A6B6733" w14:textId="5F0F8C00" w:rsidR="00675B96" w:rsidRPr="00010B6F" w:rsidRDefault="00675B96" w:rsidP="00010B6F">
      <w:pPr>
        <w:jc w:val="center"/>
        <w:rPr>
          <w:rFonts w:ascii="Georgia" w:hAnsi="Georgia"/>
          <w:sz w:val="24"/>
          <w:szCs w:val="24"/>
        </w:rPr>
      </w:pPr>
      <w:r w:rsidRPr="00010B6F">
        <w:rPr>
          <w:rFonts w:ascii="Georgia" w:hAnsi="Georgia"/>
          <w:sz w:val="24"/>
          <w:szCs w:val="24"/>
        </w:rPr>
        <w:t>FEDERAL ENERGY REGULATORY COMMISSION</w:t>
      </w:r>
    </w:p>
    <w:p w14:paraId="727AC3EC" w14:textId="6ABB3276" w:rsidR="00675B96" w:rsidRPr="00010B6F" w:rsidRDefault="00675B96">
      <w:pPr>
        <w:rPr>
          <w:rFonts w:ascii="Georgia" w:hAnsi="Georgia"/>
          <w:sz w:val="24"/>
          <w:szCs w:val="24"/>
        </w:rPr>
      </w:pPr>
    </w:p>
    <w:p w14:paraId="22710CED" w14:textId="77777777" w:rsidR="005B7910" w:rsidRDefault="005B7910" w:rsidP="00675B96">
      <w:pPr>
        <w:rPr>
          <w:rFonts w:ascii="Georgia" w:hAnsi="Georgia"/>
          <w:sz w:val="24"/>
          <w:szCs w:val="24"/>
        </w:rPr>
      </w:pPr>
    </w:p>
    <w:p w14:paraId="195255DC" w14:textId="580864DC" w:rsidR="005B7910" w:rsidRDefault="005B7910" w:rsidP="00675B96">
      <w:pPr>
        <w:rPr>
          <w:rFonts w:ascii="Georgia" w:hAnsi="Georgia"/>
          <w:sz w:val="24"/>
          <w:szCs w:val="24"/>
        </w:rPr>
      </w:pPr>
      <w:r w:rsidRPr="005B7910">
        <w:rPr>
          <w:rFonts w:ascii="Georgia" w:hAnsi="Georgia"/>
          <w:sz w:val="24"/>
          <w:szCs w:val="24"/>
        </w:rPr>
        <w:t>Chief Conemaugh Power, LLC</w:t>
      </w:r>
    </w:p>
    <w:p w14:paraId="4712D431" w14:textId="257E9A18" w:rsidR="00675B96" w:rsidRPr="00010B6F" w:rsidRDefault="0040396F" w:rsidP="00675B96">
      <w:pPr>
        <w:rPr>
          <w:rFonts w:ascii="Georgia" w:hAnsi="Georgia"/>
          <w:sz w:val="24"/>
          <w:szCs w:val="24"/>
        </w:rPr>
      </w:pPr>
      <w:r w:rsidRPr="0040396F">
        <w:rPr>
          <w:rFonts w:ascii="Georgia" w:hAnsi="Georgia"/>
          <w:sz w:val="24"/>
          <w:szCs w:val="24"/>
        </w:rPr>
        <w:t>Chief Keystone Power, LLC</w:t>
      </w:r>
      <w:r w:rsidR="00675B96" w:rsidRPr="00010B6F">
        <w:rPr>
          <w:rFonts w:ascii="Georgia" w:hAnsi="Georgia"/>
          <w:sz w:val="24"/>
          <w:szCs w:val="24"/>
        </w:rPr>
        <w:tab/>
      </w:r>
      <w:r w:rsidR="00675B96" w:rsidRPr="00010B6F">
        <w:rPr>
          <w:rFonts w:ascii="Georgia" w:hAnsi="Georgia"/>
          <w:sz w:val="24"/>
          <w:szCs w:val="24"/>
        </w:rPr>
        <w:tab/>
      </w:r>
      <w:r w:rsidR="00675B96" w:rsidRPr="00010B6F">
        <w:rPr>
          <w:rFonts w:ascii="Georgia" w:hAnsi="Georgia"/>
          <w:sz w:val="24"/>
          <w:szCs w:val="24"/>
        </w:rPr>
        <w:tab/>
      </w:r>
      <w:r w:rsidR="00675B96" w:rsidRPr="00010B6F">
        <w:rPr>
          <w:rFonts w:ascii="Georgia" w:hAnsi="Georgia"/>
          <w:sz w:val="24"/>
          <w:szCs w:val="24"/>
        </w:rPr>
        <w:tab/>
      </w:r>
      <w:r w:rsidR="00675B96" w:rsidRPr="00010B6F">
        <w:rPr>
          <w:rFonts w:ascii="Georgia" w:hAnsi="Georgia"/>
          <w:sz w:val="24"/>
          <w:szCs w:val="24"/>
        </w:rPr>
        <w:tab/>
        <w:t>Docket No. EC20-101</w:t>
      </w:r>
    </w:p>
    <w:p w14:paraId="2A8BD147" w14:textId="75638A52" w:rsidR="00675B96" w:rsidRDefault="0040396F">
      <w:pPr>
        <w:rPr>
          <w:rFonts w:ascii="Georgia" w:hAnsi="Georgia"/>
          <w:sz w:val="24"/>
          <w:szCs w:val="24"/>
        </w:rPr>
      </w:pPr>
      <w:r w:rsidRPr="0040396F">
        <w:rPr>
          <w:rFonts w:ascii="Georgia" w:hAnsi="Georgia"/>
          <w:sz w:val="24"/>
          <w:szCs w:val="24"/>
        </w:rPr>
        <w:t>Riverstone Holdings LLC</w:t>
      </w:r>
    </w:p>
    <w:p w14:paraId="76189B8B" w14:textId="77777777" w:rsidR="0040396F" w:rsidRPr="00010B6F" w:rsidRDefault="0040396F">
      <w:pPr>
        <w:rPr>
          <w:rFonts w:ascii="Georgia" w:hAnsi="Georgia"/>
          <w:sz w:val="24"/>
          <w:szCs w:val="24"/>
        </w:rPr>
      </w:pPr>
    </w:p>
    <w:p w14:paraId="6F21505C" w14:textId="7971A33E" w:rsidR="0005630F" w:rsidRPr="00AF36FC" w:rsidRDefault="00234770" w:rsidP="00AF36FC">
      <w:pPr>
        <w:jc w:val="center"/>
        <w:rPr>
          <w:rFonts w:ascii="Georgia" w:hAnsi="Georgia"/>
          <w:b/>
          <w:bCs/>
          <w:sz w:val="24"/>
          <w:szCs w:val="24"/>
        </w:rPr>
      </w:pPr>
      <w:r w:rsidRPr="00AF36FC">
        <w:rPr>
          <w:rFonts w:ascii="Georgia" w:hAnsi="Georgia"/>
          <w:b/>
          <w:bCs/>
          <w:sz w:val="24"/>
          <w:szCs w:val="24"/>
        </w:rPr>
        <w:t>Limited Protest of Public Citizen</w:t>
      </w:r>
    </w:p>
    <w:p w14:paraId="48D5C0E0" w14:textId="2D508BA7" w:rsidR="00443076" w:rsidRPr="00010B6F" w:rsidRDefault="00443076" w:rsidP="00443076">
      <w:pPr>
        <w:rPr>
          <w:rFonts w:ascii="Georgia" w:hAnsi="Georgia"/>
          <w:sz w:val="24"/>
          <w:szCs w:val="24"/>
        </w:rPr>
      </w:pPr>
    </w:p>
    <w:p w14:paraId="4B552C43" w14:textId="77777777" w:rsidR="00443076" w:rsidRPr="00010B6F" w:rsidRDefault="00443076" w:rsidP="00443076">
      <w:pPr>
        <w:rPr>
          <w:rFonts w:ascii="Georgia" w:hAnsi="Georgia"/>
          <w:sz w:val="24"/>
          <w:szCs w:val="24"/>
        </w:rPr>
      </w:pPr>
    </w:p>
    <w:p w14:paraId="0278C468" w14:textId="60F8890C" w:rsidR="00787C2D" w:rsidRDefault="00787C2D" w:rsidP="005036B5">
      <w:pPr>
        <w:spacing w:line="360" w:lineRule="auto"/>
        <w:ind w:firstLine="720"/>
        <w:rPr>
          <w:rFonts w:ascii="Georgia" w:hAnsi="Georgia"/>
          <w:sz w:val="24"/>
          <w:szCs w:val="24"/>
        </w:rPr>
      </w:pPr>
      <w:r>
        <w:rPr>
          <w:rFonts w:ascii="Georgia" w:hAnsi="Georgia"/>
          <w:sz w:val="24"/>
          <w:szCs w:val="24"/>
        </w:rPr>
        <w:t xml:space="preserve">The </w:t>
      </w:r>
      <w:r w:rsidR="001F5E9C">
        <w:rPr>
          <w:rFonts w:ascii="Georgia" w:hAnsi="Georgia"/>
          <w:sz w:val="24"/>
          <w:szCs w:val="24"/>
        </w:rPr>
        <w:t xml:space="preserve">September 11 </w:t>
      </w:r>
      <w:r w:rsidRPr="00FD570F">
        <w:rPr>
          <w:rFonts w:ascii="Georgia" w:hAnsi="Georgia"/>
          <w:sz w:val="24"/>
          <w:szCs w:val="24"/>
        </w:rPr>
        <w:t>Application</w:t>
      </w:r>
      <w:r>
        <w:rPr>
          <w:rFonts w:ascii="Georgia" w:hAnsi="Georgia"/>
          <w:sz w:val="24"/>
          <w:szCs w:val="24"/>
        </w:rPr>
        <w:t xml:space="preserve"> is deficient because it fails to provide intervenors an opportunity to obtain the identities of the non-public owners of Riverstone Holdings LLC</w:t>
      </w:r>
      <w:r w:rsidR="00F22790">
        <w:rPr>
          <w:rFonts w:ascii="Georgia" w:hAnsi="Georgia"/>
          <w:sz w:val="24"/>
          <w:szCs w:val="24"/>
        </w:rPr>
        <w:t>, a Buyer to the transaction.</w:t>
      </w:r>
      <w:r w:rsidR="000D69FD">
        <w:rPr>
          <w:rFonts w:ascii="Georgia" w:hAnsi="Georgia"/>
          <w:sz w:val="24"/>
          <w:szCs w:val="24"/>
        </w:rPr>
        <w:t xml:space="preserve"> The Application must be amended to publicly identify the two owners of Riverstone Holdings LLC.</w:t>
      </w:r>
    </w:p>
    <w:p w14:paraId="2D4BCAF1" w14:textId="28C6DCD9" w:rsidR="003F7B75" w:rsidRDefault="003F7B75" w:rsidP="005036B5">
      <w:pPr>
        <w:spacing w:line="360" w:lineRule="auto"/>
        <w:ind w:firstLine="720"/>
        <w:rPr>
          <w:rFonts w:ascii="Georgia" w:hAnsi="Georgia"/>
          <w:sz w:val="24"/>
          <w:szCs w:val="24"/>
        </w:rPr>
      </w:pPr>
      <w:r>
        <w:rPr>
          <w:rFonts w:ascii="Georgia" w:hAnsi="Georgia"/>
          <w:sz w:val="24"/>
          <w:szCs w:val="24"/>
        </w:rPr>
        <w:t xml:space="preserve">Established in 1971, </w:t>
      </w:r>
      <w:r w:rsidRPr="00F829B0">
        <w:rPr>
          <w:rFonts w:ascii="Georgia" w:hAnsi="Georgia"/>
          <w:sz w:val="24"/>
          <w:szCs w:val="24"/>
        </w:rPr>
        <w:t>Public Citizen is a national, not-for-profit, non-partisan, research and advocacy organization representing the interests of household consumers. We are active before FERC promoting just and reasonable rates, and supporting efforts for utilities to be accountable to the public interest.</w:t>
      </w:r>
      <w:r>
        <w:rPr>
          <w:rFonts w:ascii="Georgia" w:hAnsi="Georgia"/>
          <w:sz w:val="24"/>
          <w:szCs w:val="24"/>
        </w:rPr>
        <w:t xml:space="preserve"> </w:t>
      </w:r>
      <w:r w:rsidRPr="00F829B0">
        <w:rPr>
          <w:rFonts w:ascii="Georgia" w:hAnsi="Georgia"/>
          <w:sz w:val="24"/>
          <w:szCs w:val="24"/>
        </w:rPr>
        <w:t>Our financial details are located at our web site.</w:t>
      </w:r>
      <w:r w:rsidRPr="00F829B0">
        <w:rPr>
          <w:rStyle w:val="FootnoteReference"/>
          <w:rFonts w:ascii="Georgia" w:hAnsi="Georgia"/>
          <w:sz w:val="24"/>
          <w:szCs w:val="24"/>
        </w:rPr>
        <w:footnoteReference w:id="1"/>
      </w:r>
      <w:r w:rsidR="00D03C5E">
        <w:rPr>
          <w:rFonts w:ascii="Georgia" w:hAnsi="Georgia"/>
          <w:sz w:val="24"/>
          <w:szCs w:val="24"/>
        </w:rPr>
        <w:t xml:space="preserve"> We intervened in this docket on September 17.</w:t>
      </w:r>
    </w:p>
    <w:p w14:paraId="79AC3390" w14:textId="77B873BF" w:rsidR="00BD6216" w:rsidRDefault="00443076" w:rsidP="005036B5">
      <w:pPr>
        <w:spacing w:line="360" w:lineRule="auto"/>
        <w:ind w:firstLine="720"/>
        <w:rPr>
          <w:rFonts w:ascii="Georgia" w:hAnsi="Georgia"/>
          <w:sz w:val="24"/>
          <w:szCs w:val="24"/>
        </w:rPr>
      </w:pPr>
      <w:r w:rsidRPr="00010B6F">
        <w:rPr>
          <w:rFonts w:ascii="Georgia" w:hAnsi="Georgia"/>
          <w:sz w:val="24"/>
          <w:szCs w:val="24"/>
        </w:rPr>
        <w:t xml:space="preserve">Riverstone Holdings LLC </w:t>
      </w:r>
      <w:r w:rsidR="0008544E">
        <w:rPr>
          <w:rFonts w:ascii="Georgia" w:hAnsi="Georgia"/>
          <w:sz w:val="24"/>
          <w:szCs w:val="24"/>
        </w:rPr>
        <w:t xml:space="preserve">will </w:t>
      </w:r>
      <w:r w:rsidRPr="00010B6F">
        <w:rPr>
          <w:rFonts w:ascii="Georgia" w:hAnsi="Georgia"/>
          <w:sz w:val="24"/>
          <w:szCs w:val="24"/>
        </w:rPr>
        <w:t>own 14.6% of a</w:t>
      </w:r>
      <w:r w:rsidR="009161DB">
        <w:rPr>
          <w:rFonts w:ascii="Georgia" w:hAnsi="Georgia"/>
          <w:sz w:val="24"/>
          <w:szCs w:val="24"/>
        </w:rPr>
        <w:t xml:space="preserve"> shell company</w:t>
      </w:r>
      <w:r w:rsidRPr="00010B6F">
        <w:rPr>
          <w:rFonts w:ascii="Georgia" w:hAnsi="Georgia"/>
          <w:sz w:val="24"/>
          <w:szCs w:val="24"/>
        </w:rPr>
        <w:t xml:space="preserve"> formed to a</w:t>
      </w:r>
      <w:r w:rsidR="00776BDB">
        <w:rPr>
          <w:rFonts w:ascii="Georgia" w:hAnsi="Georgia"/>
          <w:sz w:val="24"/>
          <w:szCs w:val="24"/>
        </w:rPr>
        <w:t>cquire</w:t>
      </w:r>
      <w:r w:rsidR="0018440D">
        <w:rPr>
          <w:rFonts w:ascii="Georgia" w:hAnsi="Georgia"/>
          <w:sz w:val="24"/>
          <w:szCs w:val="24"/>
        </w:rPr>
        <w:t xml:space="preserve"> controlling</w:t>
      </w:r>
      <w:r w:rsidRPr="00010B6F">
        <w:rPr>
          <w:rFonts w:ascii="Georgia" w:hAnsi="Georgia"/>
          <w:sz w:val="24"/>
          <w:szCs w:val="24"/>
        </w:rPr>
        <w:t xml:space="preserve"> equity of the Conemaugh and Keystone Electric Generating Stations from ArcLight Energy Partners.</w:t>
      </w:r>
      <w:r w:rsidR="00BD6216">
        <w:rPr>
          <w:rFonts w:ascii="Georgia" w:hAnsi="Georgia"/>
          <w:sz w:val="24"/>
          <w:szCs w:val="24"/>
        </w:rPr>
        <w:t xml:space="preserve"> </w:t>
      </w:r>
      <w:r w:rsidR="003C0F09" w:rsidRPr="00010B6F">
        <w:rPr>
          <w:rFonts w:ascii="Georgia" w:hAnsi="Georgia"/>
          <w:sz w:val="24"/>
          <w:szCs w:val="24"/>
        </w:rPr>
        <w:t xml:space="preserve">Conemaugh and Keystone </w:t>
      </w:r>
      <w:r w:rsidR="00BD6216">
        <w:rPr>
          <w:rFonts w:ascii="Georgia" w:hAnsi="Georgia"/>
          <w:sz w:val="24"/>
          <w:szCs w:val="24"/>
        </w:rPr>
        <w:t>each are</w:t>
      </w:r>
      <w:r w:rsidR="003C0F09" w:rsidRPr="00010B6F">
        <w:rPr>
          <w:rFonts w:ascii="Georgia" w:hAnsi="Georgia"/>
          <w:sz w:val="24"/>
          <w:szCs w:val="24"/>
        </w:rPr>
        <w:t xml:space="preserve"> 1,700 MW coal-fired power plants </w:t>
      </w:r>
      <w:r w:rsidR="00AE31E5">
        <w:rPr>
          <w:rFonts w:ascii="Georgia" w:hAnsi="Georgia"/>
          <w:sz w:val="24"/>
          <w:szCs w:val="24"/>
        </w:rPr>
        <w:t xml:space="preserve">located </w:t>
      </w:r>
      <w:r w:rsidR="003C0F09" w:rsidRPr="00010B6F">
        <w:rPr>
          <w:rFonts w:ascii="Georgia" w:hAnsi="Georgia"/>
          <w:sz w:val="24"/>
          <w:szCs w:val="24"/>
        </w:rPr>
        <w:t>in Pennsylvania.</w:t>
      </w:r>
    </w:p>
    <w:p w14:paraId="1080CD9E" w14:textId="037E33AF" w:rsidR="00EC335F" w:rsidRPr="00010B6F" w:rsidRDefault="00EC335F" w:rsidP="005036B5">
      <w:pPr>
        <w:spacing w:line="360" w:lineRule="auto"/>
        <w:ind w:firstLine="720"/>
        <w:rPr>
          <w:rFonts w:ascii="Georgia" w:hAnsi="Georgia"/>
          <w:sz w:val="24"/>
          <w:szCs w:val="24"/>
        </w:rPr>
      </w:pPr>
      <w:r>
        <w:rPr>
          <w:rFonts w:ascii="Georgia" w:hAnsi="Georgia"/>
          <w:sz w:val="24"/>
          <w:szCs w:val="24"/>
        </w:rPr>
        <w:t xml:space="preserve">The Application describes Riverstone Holdings LLC </w:t>
      </w:r>
      <w:r w:rsidRPr="00EC335F">
        <w:rPr>
          <w:rFonts w:ascii="Georgia" w:hAnsi="Georgia"/>
          <w:sz w:val="24"/>
          <w:szCs w:val="24"/>
        </w:rPr>
        <w:t xml:space="preserve">as </w:t>
      </w:r>
      <w:r>
        <w:rPr>
          <w:rFonts w:ascii="Georgia" w:hAnsi="Georgia"/>
          <w:sz w:val="24"/>
          <w:szCs w:val="24"/>
        </w:rPr>
        <w:t>“</w:t>
      </w:r>
      <w:r w:rsidRPr="00EC335F">
        <w:rPr>
          <w:rFonts w:ascii="Georgia" w:hAnsi="Georgia"/>
          <w:sz w:val="24"/>
          <w:szCs w:val="24"/>
        </w:rPr>
        <w:t>an energy- and power-focused private equity firm</w:t>
      </w:r>
      <w:r>
        <w:rPr>
          <w:rFonts w:ascii="Georgia" w:hAnsi="Georgia"/>
          <w:sz w:val="24"/>
          <w:szCs w:val="24"/>
        </w:rPr>
        <w:t>”</w:t>
      </w:r>
      <w:r w:rsidRPr="00EC335F">
        <w:rPr>
          <w:rFonts w:ascii="Georgia" w:hAnsi="Georgia"/>
          <w:sz w:val="24"/>
          <w:szCs w:val="24"/>
        </w:rPr>
        <w:t xml:space="preserve"> owned </w:t>
      </w:r>
      <w:r>
        <w:rPr>
          <w:rFonts w:ascii="Georgia" w:hAnsi="Georgia"/>
          <w:sz w:val="24"/>
          <w:szCs w:val="24"/>
        </w:rPr>
        <w:t>“</w:t>
      </w:r>
      <w:r w:rsidRPr="00EC335F">
        <w:rPr>
          <w:rFonts w:ascii="Georgia" w:hAnsi="Georgia"/>
          <w:sz w:val="24"/>
          <w:szCs w:val="24"/>
        </w:rPr>
        <w:t xml:space="preserve">by two individuals whose identities have previously been provided, on a </w:t>
      </w:r>
      <w:r w:rsidR="005857E2" w:rsidRPr="00EC335F">
        <w:rPr>
          <w:rFonts w:ascii="Georgia" w:hAnsi="Georgia"/>
          <w:sz w:val="24"/>
          <w:szCs w:val="24"/>
        </w:rPr>
        <w:t>privileged</w:t>
      </w:r>
      <w:r w:rsidRPr="00EC335F">
        <w:rPr>
          <w:rFonts w:ascii="Georgia" w:hAnsi="Georgia"/>
          <w:sz w:val="24"/>
          <w:szCs w:val="24"/>
        </w:rPr>
        <w:t>, non-public basis</w:t>
      </w:r>
      <w:r w:rsidR="005857E2">
        <w:rPr>
          <w:rFonts w:ascii="Georgia" w:hAnsi="Georgia"/>
          <w:sz w:val="24"/>
          <w:szCs w:val="24"/>
        </w:rPr>
        <w:t>”</w:t>
      </w:r>
      <w:r w:rsidRPr="00EC335F">
        <w:rPr>
          <w:rFonts w:ascii="Georgia" w:hAnsi="Georgia"/>
          <w:sz w:val="24"/>
          <w:szCs w:val="24"/>
        </w:rPr>
        <w:t xml:space="preserve"> in a </w:t>
      </w:r>
      <w:r w:rsidR="00DD6E7A">
        <w:rPr>
          <w:rFonts w:ascii="Georgia" w:hAnsi="Georgia"/>
          <w:sz w:val="24"/>
          <w:szCs w:val="24"/>
        </w:rPr>
        <w:t xml:space="preserve">completely separate </w:t>
      </w:r>
      <w:r w:rsidRPr="00EC335F">
        <w:rPr>
          <w:rFonts w:ascii="Georgia" w:hAnsi="Georgia"/>
          <w:sz w:val="24"/>
          <w:szCs w:val="24"/>
        </w:rPr>
        <w:t xml:space="preserve">FERC proceeding </w:t>
      </w:r>
      <w:r w:rsidR="000C3666">
        <w:rPr>
          <w:rFonts w:ascii="Georgia" w:hAnsi="Georgia"/>
          <w:sz w:val="24"/>
          <w:szCs w:val="24"/>
        </w:rPr>
        <w:t>five</w:t>
      </w:r>
      <w:r w:rsidRPr="00EC335F">
        <w:rPr>
          <w:rFonts w:ascii="Georgia" w:hAnsi="Georgia"/>
          <w:sz w:val="24"/>
          <w:szCs w:val="24"/>
        </w:rPr>
        <w:t xml:space="preserve"> and a half years ago.</w:t>
      </w:r>
      <w:r w:rsidR="005857E2">
        <w:rPr>
          <w:rStyle w:val="FootnoteReference"/>
          <w:rFonts w:ascii="Georgia" w:hAnsi="Georgia"/>
          <w:sz w:val="24"/>
          <w:szCs w:val="24"/>
        </w:rPr>
        <w:footnoteReference w:id="2"/>
      </w:r>
    </w:p>
    <w:p w14:paraId="651FC347" w14:textId="383993D5" w:rsidR="005857E2" w:rsidRDefault="00A91559" w:rsidP="005036B5">
      <w:pPr>
        <w:spacing w:line="360" w:lineRule="auto"/>
        <w:ind w:firstLine="720"/>
        <w:rPr>
          <w:rFonts w:ascii="Georgia" w:hAnsi="Georgia"/>
          <w:sz w:val="24"/>
          <w:szCs w:val="24"/>
        </w:rPr>
      </w:pPr>
      <w:r>
        <w:rPr>
          <w:rFonts w:ascii="Georgia" w:hAnsi="Georgia"/>
          <w:sz w:val="24"/>
          <w:szCs w:val="24"/>
        </w:rPr>
        <w:t>T</w:t>
      </w:r>
      <w:r w:rsidR="005B0B6B">
        <w:rPr>
          <w:rFonts w:ascii="Georgia" w:hAnsi="Georgia"/>
          <w:sz w:val="24"/>
          <w:szCs w:val="24"/>
        </w:rPr>
        <w:t xml:space="preserve">he </w:t>
      </w:r>
      <w:r w:rsidR="00E27B4C">
        <w:rPr>
          <w:rFonts w:ascii="Georgia" w:hAnsi="Georgia"/>
          <w:sz w:val="24"/>
          <w:szCs w:val="24"/>
        </w:rPr>
        <w:t>September 11</w:t>
      </w:r>
      <w:r w:rsidR="00D72C5C">
        <w:rPr>
          <w:rFonts w:ascii="Georgia" w:hAnsi="Georgia"/>
          <w:sz w:val="24"/>
          <w:szCs w:val="24"/>
        </w:rPr>
        <w:t xml:space="preserve"> </w:t>
      </w:r>
      <w:r w:rsidR="005B0B6B" w:rsidRPr="00FD570F">
        <w:rPr>
          <w:rFonts w:ascii="Georgia" w:hAnsi="Georgia"/>
          <w:sz w:val="24"/>
          <w:szCs w:val="24"/>
        </w:rPr>
        <w:t>Application</w:t>
      </w:r>
      <w:r w:rsidR="005B0B6B">
        <w:rPr>
          <w:rFonts w:ascii="Georgia" w:hAnsi="Georgia"/>
          <w:sz w:val="24"/>
          <w:szCs w:val="24"/>
        </w:rPr>
        <w:t xml:space="preserve"> provides no opportunity for Public Citizen, or any intervenor, to obtain the names of the non-public owners in this proceeding, contrary to Commission rules.</w:t>
      </w:r>
      <w:r w:rsidR="0023126C">
        <w:rPr>
          <w:rStyle w:val="FootnoteReference"/>
          <w:rFonts w:ascii="Georgia" w:hAnsi="Georgia"/>
          <w:sz w:val="24"/>
          <w:szCs w:val="24"/>
        </w:rPr>
        <w:footnoteReference w:id="3"/>
      </w:r>
      <w:r w:rsidR="008B0FDD">
        <w:rPr>
          <w:rFonts w:ascii="Georgia" w:hAnsi="Georgia"/>
          <w:sz w:val="24"/>
          <w:szCs w:val="24"/>
        </w:rPr>
        <w:t xml:space="preserve"> The Application is therefore deficient.</w:t>
      </w:r>
    </w:p>
    <w:p w14:paraId="2321CFE4" w14:textId="6DB56696" w:rsidR="00D74DE2" w:rsidRDefault="000C48FE" w:rsidP="00FD33A2">
      <w:pPr>
        <w:spacing w:line="360" w:lineRule="auto"/>
        <w:ind w:firstLine="720"/>
        <w:rPr>
          <w:rFonts w:ascii="Georgia" w:hAnsi="Georgia"/>
          <w:sz w:val="24"/>
          <w:szCs w:val="24"/>
        </w:rPr>
      </w:pPr>
      <w:r>
        <w:rPr>
          <w:rFonts w:ascii="Georgia" w:hAnsi="Georgia"/>
          <w:sz w:val="24"/>
          <w:szCs w:val="24"/>
        </w:rPr>
        <w:lastRenderedPageBreak/>
        <w:t>Riverstone Holdings LLC claim</w:t>
      </w:r>
      <w:r w:rsidR="00775CF5">
        <w:rPr>
          <w:rFonts w:ascii="Georgia" w:hAnsi="Georgia"/>
          <w:sz w:val="24"/>
          <w:szCs w:val="24"/>
        </w:rPr>
        <w:t>s</w:t>
      </w:r>
      <w:r>
        <w:rPr>
          <w:rFonts w:ascii="Georgia" w:hAnsi="Georgia"/>
          <w:sz w:val="24"/>
          <w:szCs w:val="24"/>
        </w:rPr>
        <w:t xml:space="preserve"> that </w:t>
      </w:r>
      <w:r w:rsidR="001711D0">
        <w:rPr>
          <w:rFonts w:ascii="Georgia" w:hAnsi="Georgia"/>
          <w:sz w:val="24"/>
          <w:szCs w:val="24"/>
        </w:rPr>
        <w:t xml:space="preserve">the names of the owners </w:t>
      </w:r>
      <w:r w:rsidR="00214536">
        <w:rPr>
          <w:rFonts w:ascii="Georgia" w:hAnsi="Georgia"/>
          <w:sz w:val="24"/>
          <w:szCs w:val="24"/>
        </w:rPr>
        <w:t>are</w:t>
      </w:r>
      <w:r w:rsidR="001711D0">
        <w:rPr>
          <w:rFonts w:ascii="Georgia" w:hAnsi="Georgia"/>
          <w:sz w:val="24"/>
          <w:szCs w:val="24"/>
        </w:rPr>
        <w:t xml:space="preserve"> </w:t>
      </w:r>
      <w:r>
        <w:rPr>
          <w:rFonts w:ascii="Georgia" w:hAnsi="Georgia"/>
          <w:sz w:val="24"/>
          <w:szCs w:val="24"/>
        </w:rPr>
        <w:t>“</w:t>
      </w:r>
      <w:r w:rsidRPr="000C48FE">
        <w:rPr>
          <w:rFonts w:ascii="Georgia" w:hAnsi="Georgia"/>
          <w:sz w:val="24"/>
          <w:szCs w:val="24"/>
        </w:rPr>
        <w:t>commercially</w:t>
      </w:r>
      <w:r w:rsidR="001711D0">
        <w:rPr>
          <w:rFonts w:ascii="Georgia" w:hAnsi="Georgia"/>
          <w:sz w:val="24"/>
          <w:szCs w:val="24"/>
        </w:rPr>
        <w:t xml:space="preserve"> </w:t>
      </w:r>
      <w:r w:rsidRPr="000C48FE">
        <w:rPr>
          <w:rFonts w:ascii="Georgia" w:hAnsi="Georgia"/>
          <w:sz w:val="24"/>
          <w:szCs w:val="24"/>
        </w:rPr>
        <w:t>sensitive,</w:t>
      </w:r>
      <w:r w:rsidR="00FD33A2">
        <w:rPr>
          <w:rFonts w:ascii="Georgia" w:hAnsi="Georgia"/>
          <w:sz w:val="24"/>
          <w:szCs w:val="24"/>
        </w:rPr>
        <w:t xml:space="preserve"> </w:t>
      </w:r>
      <w:r w:rsidRPr="000C48FE">
        <w:rPr>
          <w:rFonts w:ascii="Georgia" w:hAnsi="Georgia"/>
          <w:sz w:val="24"/>
          <w:szCs w:val="24"/>
        </w:rPr>
        <w:t>and, as a result, should be withheld from public disclosure</w:t>
      </w:r>
      <w:r w:rsidR="00F035D4">
        <w:rPr>
          <w:rFonts w:ascii="Georgia" w:hAnsi="Georgia"/>
          <w:sz w:val="24"/>
          <w:szCs w:val="24"/>
        </w:rPr>
        <w:t>.”</w:t>
      </w:r>
      <w:r w:rsidR="004362FD">
        <w:rPr>
          <w:rStyle w:val="FootnoteReference"/>
          <w:rFonts w:ascii="Georgia" w:hAnsi="Georgia"/>
          <w:sz w:val="24"/>
          <w:szCs w:val="24"/>
        </w:rPr>
        <w:footnoteReference w:id="4"/>
      </w:r>
    </w:p>
    <w:p w14:paraId="7D33E786" w14:textId="6766B9C4" w:rsidR="00031C40" w:rsidRDefault="00787C2D" w:rsidP="005036B5">
      <w:pPr>
        <w:spacing w:line="360" w:lineRule="auto"/>
        <w:ind w:firstLine="720"/>
        <w:rPr>
          <w:rFonts w:ascii="Georgia" w:hAnsi="Georgia"/>
          <w:sz w:val="24"/>
          <w:szCs w:val="24"/>
        </w:rPr>
      </w:pPr>
      <w:r>
        <w:rPr>
          <w:rFonts w:ascii="Georgia" w:hAnsi="Georgia"/>
          <w:sz w:val="24"/>
          <w:szCs w:val="24"/>
        </w:rPr>
        <w:t>Public Citizen offers a simple solution t</w:t>
      </w:r>
      <w:r w:rsidR="001A4C79">
        <w:rPr>
          <w:rFonts w:ascii="Georgia" w:hAnsi="Georgia"/>
          <w:sz w:val="24"/>
          <w:szCs w:val="24"/>
        </w:rPr>
        <w:t>o alleviate</w:t>
      </w:r>
      <w:r>
        <w:rPr>
          <w:rFonts w:ascii="Georgia" w:hAnsi="Georgia"/>
          <w:sz w:val="24"/>
          <w:szCs w:val="24"/>
        </w:rPr>
        <w:t xml:space="preserve"> the Application’s deficiency: </w:t>
      </w:r>
      <w:r w:rsidR="005E0699">
        <w:rPr>
          <w:rFonts w:ascii="Georgia" w:hAnsi="Georgia"/>
          <w:sz w:val="24"/>
          <w:szCs w:val="24"/>
        </w:rPr>
        <w:t xml:space="preserve">amend </w:t>
      </w:r>
      <w:r w:rsidR="001A4C79">
        <w:rPr>
          <w:rFonts w:ascii="Georgia" w:hAnsi="Georgia"/>
          <w:sz w:val="24"/>
          <w:szCs w:val="24"/>
        </w:rPr>
        <w:t>it</w:t>
      </w:r>
      <w:r w:rsidR="005E0699">
        <w:rPr>
          <w:rFonts w:ascii="Georgia" w:hAnsi="Georgia"/>
          <w:sz w:val="24"/>
          <w:szCs w:val="24"/>
        </w:rPr>
        <w:t xml:space="preserve"> to </w:t>
      </w:r>
      <w:r w:rsidR="005763ED">
        <w:rPr>
          <w:rFonts w:ascii="Georgia" w:hAnsi="Georgia"/>
          <w:sz w:val="24"/>
          <w:szCs w:val="24"/>
        </w:rPr>
        <w:t xml:space="preserve">publicly </w:t>
      </w:r>
      <w:r w:rsidR="005E0699">
        <w:rPr>
          <w:rFonts w:ascii="Georgia" w:hAnsi="Georgia"/>
          <w:sz w:val="24"/>
          <w:szCs w:val="24"/>
        </w:rPr>
        <w:t>name the two owners of Riverstone Holdings LLC</w:t>
      </w:r>
      <w:r w:rsidR="001D50B5">
        <w:rPr>
          <w:rFonts w:ascii="Georgia" w:hAnsi="Georgia"/>
          <w:sz w:val="24"/>
          <w:szCs w:val="24"/>
        </w:rPr>
        <w:t>.</w:t>
      </w:r>
      <w:r w:rsidR="000155AA">
        <w:rPr>
          <w:rFonts w:ascii="Georgia" w:hAnsi="Georgia"/>
          <w:sz w:val="24"/>
          <w:szCs w:val="24"/>
        </w:rPr>
        <w:t xml:space="preserve"> </w:t>
      </w:r>
      <w:r w:rsidR="00303326">
        <w:rPr>
          <w:rFonts w:ascii="Georgia" w:hAnsi="Georgia"/>
          <w:sz w:val="24"/>
          <w:szCs w:val="24"/>
        </w:rPr>
        <w:t>A</w:t>
      </w:r>
      <w:r w:rsidR="00303326" w:rsidRPr="00303326">
        <w:rPr>
          <w:rFonts w:ascii="Georgia" w:hAnsi="Georgia"/>
          <w:sz w:val="24"/>
          <w:szCs w:val="24"/>
        </w:rPr>
        <w:t xml:space="preserve"> cursory review suggests the names of the </w:t>
      </w:r>
      <w:r w:rsidR="00DA0A87">
        <w:rPr>
          <w:rFonts w:ascii="Georgia" w:hAnsi="Georgia"/>
          <w:sz w:val="24"/>
          <w:szCs w:val="24"/>
        </w:rPr>
        <w:t>two</w:t>
      </w:r>
      <w:r w:rsidR="00303326" w:rsidRPr="00303326">
        <w:rPr>
          <w:rFonts w:ascii="Georgia" w:hAnsi="Georgia"/>
          <w:sz w:val="24"/>
          <w:szCs w:val="24"/>
        </w:rPr>
        <w:t xml:space="preserve"> owners are</w:t>
      </w:r>
      <w:r w:rsidR="00DA0A87">
        <w:rPr>
          <w:rFonts w:ascii="Georgia" w:hAnsi="Georgia"/>
          <w:sz w:val="24"/>
          <w:szCs w:val="24"/>
        </w:rPr>
        <w:t xml:space="preserve"> </w:t>
      </w:r>
      <w:r w:rsidR="00851E67">
        <w:rPr>
          <w:rFonts w:ascii="Georgia" w:hAnsi="Georgia"/>
          <w:sz w:val="24"/>
          <w:szCs w:val="24"/>
        </w:rPr>
        <w:t xml:space="preserve">already widely reported to the public as </w:t>
      </w:r>
      <w:r w:rsidR="00DA0A87" w:rsidRPr="001D50B5">
        <w:rPr>
          <w:rFonts w:ascii="Georgia" w:hAnsi="Georgia"/>
          <w:sz w:val="24"/>
          <w:szCs w:val="24"/>
        </w:rPr>
        <w:t>Pierre F. Lapeyre Jr. and David M. Leuschen</w:t>
      </w:r>
      <w:r w:rsidR="00DA0A87">
        <w:rPr>
          <w:rFonts w:ascii="Georgia" w:hAnsi="Georgia"/>
          <w:sz w:val="24"/>
          <w:szCs w:val="24"/>
        </w:rPr>
        <w:t>.</w:t>
      </w:r>
      <w:r w:rsidR="00DA0A87" w:rsidRPr="00943C53">
        <w:rPr>
          <w:rFonts w:ascii="Georgia" w:hAnsi="Georgia"/>
          <w:sz w:val="24"/>
          <w:szCs w:val="24"/>
        </w:rPr>
        <w:t xml:space="preserve"> </w:t>
      </w:r>
      <w:r w:rsidR="00851E67">
        <w:rPr>
          <w:rFonts w:ascii="Georgia" w:hAnsi="Georgia"/>
          <w:sz w:val="24"/>
          <w:szCs w:val="24"/>
        </w:rPr>
        <w:t xml:space="preserve">The fact that these two names </w:t>
      </w:r>
      <w:r w:rsidR="00F944BF">
        <w:rPr>
          <w:rFonts w:ascii="Georgia" w:hAnsi="Georgia"/>
          <w:sz w:val="24"/>
          <w:szCs w:val="24"/>
        </w:rPr>
        <w:t>appear to be</w:t>
      </w:r>
      <w:r w:rsidR="00851E67">
        <w:rPr>
          <w:rFonts w:ascii="Georgia" w:hAnsi="Georgia"/>
          <w:sz w:val="24"/>
          <w:szCs w:val="24"/>
        </w:rPr>
        <w:t xml:space="preserve"> widely and publicly reported</w:t>
      </w:r>
      <w:r w:rsidR="00B1738F">
        <w:rPr>
          <w:rFonts w:ascii="Georgia" w:hAnsi="Georgia"/>
          <w:sz w:val="24"/>
          <w:szCs w:val="24"/>
        </w:rPr>
        <w:t xml:space="preserve"> undermin</w:t>
      </w:r>
      <w:r w:rsidR="00C50DC0">
        <w:rPr>
          <w:rFonts w:ascii="Georgia" w:hAnsi="Georgia"/>
          <w:sz w:val="24"/>
          <w:szCs w:val="24"/>
        </w:rPr>
        <w:t>es</w:t>
      </w:r>
      <w:r w:rsidR="00B1738F">
        <w:rPr>
          <w:rFonts w:ascii="Georgia" w:hAnsi="Georgia"/>
          <w:sz w:val="24"/>
          <w:szCs w:val="24"/>
        </w:rPr>
        <w:t xml:space="preserve"> the </w:t>
      </w:r>
      <w:r w:rsidR="00A05BF0">
        <w:rPr>
          <w:rFonts w:ascii="Georgia" w:hAnsi="Georgia"/>
          <w:sz w:val="24"/>
          <w:szCs w:val="24"/>
        </w:rPr>
        <w:t xml:space="preserve">Application’s </w:t>
      </w:r>
      <w:r w:rsidR="00B1738F">
        <w:rPr>
          <w:rFonts w:ascii="Georgia" w:hAnsi="Georgia"/>
          <w:sz w:val="24"/>
          <w:szCs w:val="24"/>
        </w:rPr>
        <w:t xml:space="preserve">contention </w:t>
      </w:r>
      <w:r w:rsidR="00A05BF0">
        <w:rPr>
          <w:rFonts w:ascii="Georgia" w:hAnsi="Georgia"/>
          <w:sz w:val="24"/>
          <w:szCs w:val="24"/>
        </w:rPr>
        <w:t>that they</w:t>
      </w:r>
      <w:r w:rsidR="00B1738F">
        <w:rPr>
          <w:rFonts w:ascii="Georgia" w:hAnsi="Georgia"/>
          <w:sz w:val="24"/>
          <w:szCs w:val="24"/>
        </w:rPr>
        <w:t xml:space="preserve"> are “commercially sensitive</w:t>
      </w:r>
      <w:r w:rsidR="00405FB1">
        <w:rPr>
          <w:rFonts w:ascii="Georgia" w:hAnsi="Georgia"/>
          <w:sz w:val="24"/>
          <w:szCs w:val="24"/>
        </w:rPr>
        <w:t xml:space="preserve">”, and therefore </w:t>
      </w:r>
      <w:r w:rsidR="001C5B67">
        <w:rPr>
          <w:rFonts w:ascii="Georgia" w:hAnsi="Georgia"/>
          <w:sz w:val="24"/>
          <w:szCs w:val="24"/>
        </w:rPr>
        <w:t xml:space="preserve">are </w:t>
      </w:r>
      <w:r w:rsidR="0083091E">
        <w:rPr>
          <w:rFonts w:ascii="Georgia" w:hAnsi="Georgia"/>
          <w:sz w:val="24"/>
          <w:szCs w:val="24"/>
        </w:rPr>
        <w:t>not entitled</w:t>
      </w:r>
      <w:r w:rsidR="00405FB1">
        <w:rPr>
          <w:rFonts w:ascii="Georgia" w:hAnsi="Georgia"/>
          <w:sz w:val="24"/>
          <w:szCs w:val="24"/>
        </w:rPr>
        <w:t xml:space="preserve"> to be shielded from the public.</w:t>
      </w:r>
    </w:p>
    <w:p w14:paraId="090C11B6" w14:textId="2E009993" w:rsidR="00A22206" w:rsidRDefault="00214536" w:rsidP="005036B5">
      <w:pPr>
        <w:spacing w:line="360" w:lineRule="auto"/>
        <w:ind w:firstLine="720"/>
        <w:rPr>
          <w:rFonts w:ascii="Georgia" w:hAnsi="Georgia"/>
          <w:sz w:val="24"/>
          <w:szCs w:val="24"/>
        </w:rPr>
      </w:pPr>
      <w:r>
        <w:rPr>
          <w:rFonts w:ascii="Georgia" w:hAnsi="Georgia"/>
          <w:sz w:val="24"/>
          <w:szCs w:val="24"/>
        </w:rPr>
        <w:t>W</w:t>
      </w:r>
      <w:r w:rsidR="00031C40">
        <w:rPr>
          <w:rFonts w:ascii="Georgia" w:hAnsi="Georgia"/>
          <w:sz w:val="24"/>
          <w:szCs w:val="24"/>
        </w:rPr>
        <w:t>e provide this</w:t>
      </w:r>
      <w:r w:rsidR="00BD2CC1">
        <w:rPr>
          <w:rFonts w:ascii="Georgia" w:hAnsi="Georgia"/>
          <w:sz w:val="24"/>
          <w:szCs w:val="24"/>
        </w:rPr>
        <w:t xml:space="preserve"> limited protest well in advance of the November </w:t>
      </w:r>
      <w:r w:rsidR="002D408E">
        <w:rPr>
          <w:rFonts w:ascii="Georgia" w:hAnsi="Georgia"/>
          <w:sz w:val="24"/>
          <w:szCs w:val="24"/>
        </w:rPr>
        <w:t xml:space="preserve">10 comment deadline. </w:t>
      </w:r>
      <w:r w:rsidR="00DC1A63">
        <w:rPr>
          <w:rFonts w:ascii="Georgia" w:hAnsi="Georgia"/>
          <w:sz w:val="24"/>
          <w:szCs w:val="24"/>
        </w:rPr>
        <w:t>A</w:t>
      </w:r>
      <w:r w:rsidR="0063506C">
        <w:rPr>
          <w:rFonts w:ascii="Georgia" w:hAnsi="Georgia"/>
          <w:sz w:val="24"/>
          <w:szCs w:val="24"/>
        </w:rPr>
        <w:t>mend</w:t>
      </w:r>
      <w:r w:rsidR="00DC1A63">
        <w:rPr>
          <w:rFonts w:ascii="Georgia" w:hAnsi="Georgia"/>
          <w:sz w:val="24"/>
          <w:szCs w:val="24"/>
        </w:rPr>
        <w:t>ing the application</w:t>
      </w:r>
      <w:r w:rsidR="0063506C">
        <w:rPr>
          <w:rFonts w:ascii="Georgia" w:hAnsi="Georgia"/>
          <w:sz w:val="24"/>
          <w:szCs w:val="24"/>
        </w:rPr>
        <w:t xml:space="preserve"> to</w:t>
      </w:r>
      <w:r w:rsidR="00956E62">
        <w:rPr>
          <w:rFonts w:ascii="Georgia" w:hAnsi="Georgia"/>
          <w:sz w:val="24"/>
          <w:szCs w:val="24"/>
        </w:rPr>
        <w:t xml:space="preserve"> public</w:t>
      </w:r>
      <w:r w:rsidR="00122309">
        <w:rPr>
          <w:rFonts w:ascii="Georgia" w:hAnsi="Georgia"/>
          <w:sz w:val="24"/>
          <w:szCs w:val="24"/>
        </w:rPr>
        <w:t>ly</w:t>
      </w:r>
      <w:r w:rsidR="00956E62">
        <w:rPr>
          <w:rFonts w:ascii="Georgia" w:hAnsi="Georgia"/>
          <w:sz w:val="24"/>
          <w:szCs w:val="24"/>
        </w:rPr>
        <w:t xml:space="preserve"> identif</w:t>
      </w:r>
      <w:r w:rsidR="00122309">
        <w:rPr>
          <w:rFonts w:ascii="Georgia" w:hAnsi="Georgia"/>
          <w:sz w:val="24"/>
          <w:szCs w:val="24"/>
        </w:rPr>
        <w:t>y</w:t>
      </w:r>
      <w:r w:rsidR="00956E62">
        <w:rPr>
          <w:rFonts w:ascii="Georgia" w:hAnsi="Georgia"/>
          <w:sz w:val="24"/>
          <w:szCs w:val="24"/>
        </w:rPr>
        <w:t xml:space="preserve"> the two owners</w:t>
      </w:r>
      <w:r w:rsidR="00716884">
        <w:rPr>
          <w:rFonts w:ascii="Georgia" w:hAnsi="Georgia"/>
          <w:sz w:val="24"/>
          <w:szCs w:val="24"/>
        </w:rPr>
        <w:t xml:space="preserve"> of Riverstone Holdings LLC</w:t>
      </w:r>
      <w:r w:rsidR="00BA79B7">
        <w:rPr>
          <w:rFonts w:ascii="Georgia" w:hAnsi="Georgia"/>
          <w:sz w:val="24"/>
          <w:szCs w:val="24"/>
        </w:rPr>
        <w:t xml:space="preserve"> will resolve Public Citizen’s limited protest.</w:t>
      </w:r>
    </w:p>
    <w:p w14:paraId="1B5D331B" w14:textId="77777777" w:rsidR="00A22206" w:rsidRDefault="00A22206" w:rsidP="00622B8A">
      <w:pPr>
        <w:rPr>
          <w:rFonts w:ascii="Georgia" w:hAnsi="Georgia"/>
          <w:sz w:val="24"/>
          <w:szCs w:val="24"/>
        </w:rPr>
      </w:pPr>
    </w:p>
    <w:p w14:paraId="4788AB98" w14:textId="57567285" w:rsidR="00A22206" w:rsidRDefault="00A22206" w:rsidP="00622B8A">
      <w:pPr>
        <w:rPr>
          <w:rFonts w:ascii="Georgia" w:hAnsi="Georgia"/>
          <w:sz w:val="24"/>
          <w:szCs w:val="24"/>
        </w:rPr>
      </w:pPr>
    </w:p>
    <w:p w14:paraId="2A7445F0" w14:textId="77777777" w:rsidR="005036B5" w:rsidRDefault="005036B5" w:rsidP="00622B8A">
      <w:pPr>
        <w:rPr>
          <w:rFonts w:ascii="Georgia" w:hAnsi="Georgia"/>
          <w:sz w:val="24"/>
          <w:szCs w:val="24"/>
        </w:rPr>
      </w:pPr>
    </w:p>
    <w:p w14:paraId="24AE73A1" w14:textId="77777777" w:rsidR="00A22206" w:rsidRDefault="00A22206" w:rsidP="008D01C8">
      <w:pPr>
        <w:ind w:left="2160"/>
        <w:rPr>
          <w:rFonts w:ascii="Georgia" w:hAnsi="Georgia"/>
          <w:sz w:val="24"/>
          <w:szCs w:val="24"/>
        </w:rPr>
      </w:pPr>
      <w:r>
        <w:rPr>
          <w:rFonts w:ascii="Georgia" w:hAnsi="Georgia"/>
          <w:sz w:val="24"/>
          <w:szCs w:val="24"/>
        </w:rPr>
        <w:t>Respectfully submitted,</w:t>
      </w:r>
    </w:p>
    <w:p w14:paraId="54DA9ADB" w14:textId="77777777" w:rsidR="00A22206" w:rsidRDefault="00A22206" w:rsidP="008D01C8">
      <w:pPr>
        <w:ind w:left="2160"/>
        <w:rPr>
          <w:rFonts w:ascii="Georgia" w:hAnsi="Georgia"/>
          <w:sz w:val="24"/>
          <w:szCs w:val="24"/>
        </w:rPr>
      </w:pPr>
    </w:p>
    <w:p w14:paraId="41E31416" w14:textId="77777777" w:rsidR="00A22206" w:rsidRDefault="00A22206" w:rsidP="008D01C8">
      <w:pPr>
        <w:ind w:left="2160"/>
        <w:rPr>
          <w:rFonts w:ascii="Georgia" w:hAnsi="Georgia"/>
          <w:sz w:val="24"/>
          <w:szCs w:val="24"/>
        </w:rPr>
      </w:pPr>
      <w:r>
        <w:rPr>
          <w:rFonts w:ascii="Georgia" w:hAnsi="Georgia"/>
          <w:sz w:val="24"/>
          <w:szCs w:val="24"/>
        </w:rPr>
        <w:t>Tyson Slocum, Energy Program Director</w:t>
      </w:r>
    </w:p>
    <w:p w14:paraId="0F463EF3" w14:textId="77777777" w:rsidR="00D43BE5" w:rsidRPr="00D43BE5" w:rsidRDefault="00D43BE5" w:rsidP="008D01C8">
      <w:pPr>
        <w:ind w:left="2160"/>
        <w:rPr>
          <w:rFonts w:ascii="Georgia" w:hAnsi="Georgia"/>
          <w:sz w:val="24"/>
          <w:szCs w:val="24"/>
        </w:rPr>
      </w:pPr>
      <w:r w:rsidRPr="00D43BE5">
        <w:rPr>
          <w:rFonts w:ascii="Georgia" w:hAnsi="Georgia"/>
          <w:sz w:val="24"/>
          <w:szCs w:val="24"/>
        </w:rPr>
        <w:t>Gabriela Morris-Flores, Research Intern</w:t>
      </w:r>
    </w:p>
    <w:p w14:paraId="72A3997F" w14:textId="77777777" w:rsidR="00FC26C3" w:rsidRDefault="00FC26C3" w:rsidP="008D01C8">
      <w:pPr>
        <w:ind w:left="2160"/>
        <w:rPr>
          <w:rFonts w:ascii="Georgia" w:hAnsi="Georgia"/>
          <w:sz w:val="24"/>
          <w:szCs w:val="24"/>
        </w:rPr>
      </w:pPr>
      <w:r>
        <w:rPr>
          <w:rFonts w:ascii="Georgia" w:hAnsi="Georgia"/>
          <w:sz w:val="24"/>
          <w:szCs w:val="24"/>
        </w:rPr>
        <w:t>Public Citizen, Inc.</w:t>
      </w:r>
    </w:p>
    <w:p w14:paraId="13492414" w14:textId="77777777" w:rsidR="00FC26C3" w:rsidRDefault="00FC26C3" w:rsidP="008D01C8">
      <w:pPr>
        <w:ind w:left="2160"/>
        <w:rPr>
          <w:rFonts w:ascii="Georgia" w:hAnsi="Georgia"/>
          <w:sz w:val="24"/>
          <w:szCs w:val="24"/>
        </w:rPr>
      </w:pPr>
      <w:r>
        <w:rPr>
          <w:rFonts w:ascii="Georgia" w:hAnsi="Georgia"/>
          <w:sz w:val="24"/>
          <w:szCs w:val="24"/>
        </w:rPr>
        <w:t>215 Pennsylvania Ave SE</w:t>
      </w:r>
    </w:p>
    <w:p w14:paraId="338C478F" w14:textId="77777777" w:rsidR="00FC26C3" w:rsidRDefault="00FC26C3" w:rsidP="008D01C8">
      <w:pPr>
        <w:ind w:left="2160"/>
        <w:rPr>
          <w:rFonts w:ascii="Georgia" w:hAnsi="Georgia"/>
          <w:sz w:val="24"/>
          <w:szCs w:val="24"/>
        </w:rPr>
      </w:pPr>
      <w:r>
        <w:rPr>
          <w:rFonts w:ascii="Georgia" w:hAnsi="Georgia"/>
          <w:sz w:val="24"/>
          <w:szCs w:val="24"/>
        </w:rPr>
        <w:t>Washington, DC  20003</w:t>
      </w:r>
    </w:p>
    <w:p w14:paraId="641E2F23" w14:textId="77777777" w:rsidR="00FC26C3" w:rsidRDefault="00FC26C3" w:rsidP="008D01C8">
      <w:pPr>
        <w:ind w:left="2160"/>
        <w:rPr>
          <w:rFonts w:ascii="Georgia" w:hAnsi="Georgia"/>
          <w:sz w:val="24"/>
          <w:szCs w:val="24"/>
        </w:rPr>
      </w:pPr>
      <w:r>
        <w:rPr>
          <w:rFonts w:ascii="Georgia" w:hAnsi="Georgia"/>
          <w:sz w:val="24"/>
          <w:szCs w:val="24"/>
        </w:rPr>
        <w:t>(202) 454-5191</w:t>
      </w:r>
    </w:p>
    <w:p w14:paraId="008F5005" w14:textId="4BBC173B" w:rsidR="00FC26C3" w:rsidRPr="008D01C8" w:rsidRDefault="00811A98" w:rsidP="008D01C8">
      <w:pPr>
        <w:ind w:left="2160"/>
        <w:rPr>
          <w:rFonts w:ascii="Georgia" w:hAnsi="Georgia"/>
          <w:sz w:val="24"/>
          <w:szCs w:val="24"/>
        </w:rPr>
      </w:pPr>
      <w:hyperlink r:id="rId7" w:history="1">
        <w:r w:rsidR="00FC26C3" w:rsidRPr="008D01C8">
          <w:rPr>
            <w:rStyle w:val="Hyperlink"/>
            <w:rFonts w:ascii="Georgia" w:hAnsi="Georgia"/>
            <w:color w:val="auto"/>
            <w:sz w:val="24"/>
            <w:szCs w:val="24"/>
            <w:u w:val="none"/>
          </w:rPr>
          <w:t>tslocum@citizen.org</w:t>
        </w:r>
      </w:hyperlink>
    </w:p>
    <w:p w14:paraId="5773730D" w14:textId="748BCA75" w:rsidR="00031C40" w:rsidRDefault="00D43BE5" w:rsidP="008D01C8">
      <w:pPr>
        <w:ind w:left="2160"/>
        <w:rPr>
          <w:rFonts w:ascii="Georgia" w:hAnsi="Georgia"/>
          <w:sz w:val="24"/>
          <w:szCs w:val="24"/>
        </w:rPr>
      </w:pPr>
      <w:r w:rsidRPr="00D43BE5">
        <w:rPr>
          <w:rFonts w:ascii="Georgia" w:hAnsi="Georgia"/>
          <w:sz w:val="24"/>
          <w:szCs w:val="24"/>
        </w:rPr>
        <w:t>Gmorris-Flores@citizen.org</w:t>
      </w:r>
      <w:r w:rsidR="00716884">
        <w:rPr>
          <w:rFonts w:ascii="Georgia" w:hAnsi="Georgia"/>
          <w:sz w:val="24"/>
          <w:szCs w:val="24"/>
        </w:rPr>
        <w:t xml:space="preserve"> </w:t>
      </w:r>
    </w:p>
    <w:p w14:paraId="5C0DEABA" w14:textId="19FFA6BD" w:rsidR="0035134D" w:rsidRDefault="0035134D" w:rsidP="0035134D">
      <w:pPr>
        <w:rPr>
          <w:rFonts w:ascii="Georgia" w:hAnsi="Georgia"/>
          <w:sz w:val="24"/>
          <w:szCs w:val="24"/>
        </w:rPr>
      </w:pPr>
    </w:p>
    <w:p w14:paraId="7FAC5B66" w14:textId="123B67D8" w:rsidR="0035134D" w:rsidRDefault="0035134D" w:rsidP="0035134D">
      <w:pPr>
        <w:rPr>
          <w:rFonts w:ascii="Georgia" w:hAnsi="Georgia"/>
          <w:sz w:val="24"/>
          <w:szCs w:val="24"/>
        </w:rPr>
      </w:pPr>
    </w:p>
    <w:p w14:paraId="0C0B92D4" w14:textId="28D8BD00" w:rsidR="0035134D" w:rsidRPr="00010B6F" w:rsidRDefault="0035134D" w:rsidP="0035134D">
      <w:pPr>
        <w:rPr>
          <w:rFonts w:ascii="Georgia" w:hAnsi="Georgia"/>
          <w:sz w:val="24"/>
          <w:szCs w:val="24"/>
        </w:rPr>
      </w:pPr>
      <w:r>
        <w:rPr>
          <w:rFonts w:ascii="Georgia" w:hAnsi="Georgia"/>
          <w:sz w:val="24"/>
          <w:szCs w:val="24"/>
        </w:rPr>
        <w:tab/>
        <w:t>Filed September 28, 2020</w:t>
      </w:r>
    </w:p>
    <w:sectPr w:rsidR="0035134D" w:rsidRPr="00010B6F" w:rsidSect="003A6F7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46905" w14:textId="77777777" w:rsidR="00811A98" w:rsidRDefault="00811A98" w:rsidP="00B36523">
      <w:r>
        <w:separator/>
      </w:r>
    </w:p>
  </w:endnote>
  <w:endnote w:type="continuationSeparator" w:id="0">
    <w:p w14:paraId="7D596F6F" w14:textId="77777777" w:rsidR="00811A98" w:rsidRDefault="00811A98" w:rsidP="00B3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303252"/>
      <w:docPartObj>
        <w:docPartGallery w:val="Page Numbers (Bottom of Page)"/>
        <w:docPartUnique/>
      </w:docPartObj>
    </w:sdtPr>
    <w:sdtEndPr>
      <w:rPr>
        <w:color w:val="7F7F7F" w:themeColor="background1" w:themeShade="7F"/>
        <w:spacing w:val="60"/>
      </w:rPr>
    </w:sdtEndPr>
    <w:sdtContent>
      <w:p w14:paraId="043D1187" w14:textId="740F9649" w:rsidR="003A6F76" w:rsidRDefault="003A6F7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6197F66" w14:textId="77777777" w:rsidR="003A6F76" w:rsidRDefault="003A6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8B3EF" w14:textId="77777777" w:rsidR="00811A98" w:rsidRDefault="00811A98" w:rsidP="00B36523">
      <w:r>
        <w:separator/>
      </w:r>
    </w:p>
  </w:footnote>
  <w:footnote w:type="continuationSeparator" w:id="0">
    <w:p w14:paraId="30D2F2BE" w14:textId="77777777" w:rsidR="00811A98" w:rsidRDefault="00811A98" w:rsidP="00B36523">
      <w:r>
        <w:continuationSeparator/>
      </w:r>
    </w:p>
  </w:footnote>
  <w:footnote w:id="1">
    <w:p w14:paraId="4FB54250" w14:textId="77777777" w:rsidR="003F7B75" w:rsidRPr="00102BC8" w:rsidRDefault="003F7B75" w:rsidP="003F7B75">
      <w:pPr>
        <w:pStyle w:val="FootnoteText"/>
        <w:rPr>
          <w:rFonts w:ascii="Georgia" w:hAnsi="Georgia"/>
        </w:rPr>
      </w:pPr>
      <w:r>
        <w:rPr>
          <w:rStyle w:val="FootnoteReference"/>
        </w:rPr>
        <w:footnoteRef/>
      </w:r>
      <w:r>
        <w:t xml:space="preserve"> </w:t>
      </w:r>
      <w:hyperlink r:id="rId1" w:history="1">
        <w:r w:rsidRPr="00315FB1">
          <w:rPr>
            <w:rStyle w:val="Hyperlink"/>
            <w:rFonts w:ascii="Georgia" w:hAnsi="Georgia"/>
            <w:color w:val="auto"/>
            <w:u w:val="none"/>
          </w:rPr>
          <w:t>www.citizen.org/about/annual-report/</w:t>
        </w:r>
      </w:hyperlink>
    </w:p>
  </w:footnote>
  <w:footnote w:id="2">
    <w:p w14:paraId="57F0DD67" w14:textId="0756EA58" w:rsidR="005857E2" w:rsidRDefault="005857E2">
      <w:pPr>
        <w:pStyle w:val="FootnoteText"/>
      </w:pPr>
      <w:r>
        <w:rPr>
          <w:rStyle w:val="FootnoteReference"/>
        </w:rPr>
        <w:footnoteRef/>
      </w:r>
      <w:r>
        <w:t xml:space="preserve"> </w:t>
      </w:r>
      <w:r w:rsidRPr="00FD570F">
        <w:rPr>
          <w:rFonts w:ascii="Georgia" w:hAnsi="Georgia"/>
        </w:rPr>
        <w:t>Application</w:t>
      </w:r>
      <w:r w:rsidRPr="005857E2">
        <w:rPr>
          <w:rFonts w:ascii="Georgia" w:hAnsi="Georgia"/>
        </w:rPr>
        <w:t>, at pages 7-8.</w:t>
      </w:r>
    </w:p>
  </w:footnote>
  <w:footnote w:id="3">
    <w:p w14:paraId="2CDFB355" w14:textId="55AB5CB3" w:rsidR="0023126C" w:rsidRDefault="0023126C">
      <w:pPr>
        <w:pStyle w:val="FootnoteText"/>
      </w:pPr>
      <w:r>
        <w:rPr>
          <w:rStyle w:val="FootnoteReference"/>
        </w:rPr>
        <w:footnoteRef/>
      </w:r>
      <w:r>
        <w:t xml:space="preserve"> </w:t>
      </w:r>
      <w:r w:rsidRPr="00711D52">
        <w:rPr>
          <w:rFonts w:ascii="Georgia" w:hAnsi="Georgia"/>
        </w:rPr>
        <w:t>Per 18 CFR § 33.2</w:t>
      </w:r>
      <w:r w:rsidR="00FA0444" w:rsidRPr="00711D52">
        <w:rPr>
          <w:rFonts w:ascii="Georgia" w:hAnsi="Georgia"/>
        </w:rPr>
        <w:t xml:space="preserve"> and </w:t>
      </w:r>
      <w:r w:rsidR="00636B49" w:rsidRPr="00711D52">
        <w:rPr>
          <w:rFonts w:ascii="Georgia" w:hAnsi="Georgia"/>
        </w:rPr>
        <w:t>18 CFR § 388.112(b).</w:t>
      </w:r>
    </w:p>
  </w:footnote>
  <w:footnote w:id="4">
    <w:p w14:paraId="7B5CFBF0" w14:textId="4E2B2905" w:rsidR="004362FD" w:rsidRDefault="004362FD">
      <w:pPr>
        <w:pStyle w:val="FootnoteText"/>
      </w:pPr>
      <w:r>
        <w:rPr>
          <w:rStyle w:val="FootnoteReference"/>
        </w:rPr>
        <w:footnoteRef/>
      </w:r>
      <w:r>
        <w:t xml:space="preserve"> </w:t>
      </w:r>
      <w:r w:rsidRPr="004362FD">
        <w:rPr>
          <w:rFonts w:ascii="Georgia" w:hAnsi="Georgia"/>
        </w:rPr>
        <w:t>April 14, 2015 submission in FERC Docket No. ER15-1019, at page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E4"/>
    <w:rsid w:val="00010B6F"/>
    <w:rsid w:val="000155AA"/>
    <w:rsid w:val="00031C40"/>
    <w:rsid w:val="0005630F"/>
    <w:rsid w:val="0008544E"/>
    <w:rsid w:val="000C3666"/>
    <w:rsid w:val="000C48FE"/>
    <w:rsid w:val="000D69FD"/>
    <w:rsid w:val="000E15EC"/>
    <w:rsid w:val="00122309"/>
    <w:rsid w:val="001711D0"/>
    <w:rsid w:val="00177893"/>
    <w:rsid w:val="0018440D"/>
    <w:rsid w:val="001A4C79"/>
    <w:rsid w:val="001C3865"/>
    <w:rsid w:val="001C5B67"/>
    <w:rsid w:val="001D50B5"/>
    <w:rsid w:val="001E68F3"/>
    <w:rsid w:val="001F5E9C"/>
    <w:rsid w:val="00212B03"/>
    <w:rsid w:val="00214536"/>
    <w:rsid w:val="0023126C"/>
    <w:rsid w:val="00234770"/>
    <w:rsid w:val="002D408E"/>
    <w:rsid w:val="00303326"/>
    <w:rsid w:val="0035134D"/>
    <w:rsid w:val="003A6F76"/>
    <w:rsid w:val="003C0F09"/>
    <w:rsid w:val="003F7B75"/>
    <w:rsid w:val="0040396F"/>
    <w:rsid w:val="00405FB1"/>
    <w:rsid w:val="00410741"/>
    <w:rsid w:val="0042760E"/>
    <w:rsid w:val="004362FD"/>
    <w:rsid w:val="00443076"/>
    <w:rsid w:val="004A0350"/>
    <w:rsid w:val="004D0067"/>
    <w:rsid w:val="005036B5"/>
    <w:rsid w:val="005455DB"/>
    <w:rsid w:val="005763ED"/>
    <w:rsid w:val="005857E2"/>
    <w:rsid w:val="005B0B6B"/>
    <w:rsid w:val="005B7910"/>
    <w:rsid w:val="005B7D26"/>
    <w:rsid w:val="005E0699"/>
    <w:rsid w:val="00607A87"/>
    <w:rsid w:val="00622B8A"/>
    <w:rsid w:val="0063506C"/>
    <w:rsid w:val="00636B49"/>
    <w:rsid w:val="00662EDA"/>
    <w:rsid w:val="00675B96"/>
    <w:rsid w:val="0068731E"/>
    <w:rsid w:val="006C5E99"/>
    <w:rsid w:val="007044D8"/>
    <w:rsid w:val="00711D52"/>
    <w:rsid w:val="00716884"/>
    <w:rsid w:val="00767FB1"/>
    <w:rsid w:val="00775CF5"/>
    <w:rsid w:val="00776BDB"/>
    <w:rsid w:val="00787C2D"/>
    <w:rsid w:val="00811A98"/>
    <w:rsid w:val="0083091E"/>
    <w:rsid w:val="00830E25"/>
    <w:rsid w:val="00851E67"/>
    <w:rsid w:val="0089016F"/>
    <w:rsid w:val="0089262A"/>
    <w:rsid w:val="008B0FDD"/>
    <w:rsid w:val="008D01C8"/>
    <w:rsid w:val="009161DB"/>
    <w:rsid w:val="00943C53"/>
    <w:rsid w:val="00956E62"/>
    <w:rsid w:val="009B44DB"/>
    <w:rsid w:val="00A05BF0"/>
    <w:rsid w:val="00A10201"/>
    <w:rsid w:val="00A22206"/>
    <w:rsid w:val="00A91559"/>
    <w:rsid w:val="00AE31E5"/>
    <w:rsid w:val="00AF36FC"/>
    <w:rsid w:val="00B1738F"/>
    <w:rsid w:val="00B36523"/>
    <w:rsid w:val="00BA5BE4"/>
    <w:rsid w:val="00BA79B7"/>
    <w:rsid w:val="00BD2CC1"/>
    <w:rsid w:val="00BD6216"/>
    <w:rsid w:val="00C04E91"/>
    <w:rsid w:val="00C50DC0"/>
    <w:rsid w:val="00C72BD9"/>
    <w:rsid w:val="00C92BD1"/>
    <w:rsid w:val="00D03C5E"/>
    <w:rsid w:val="00D43BE5"/>
    <w:rsid w:val="00D72C5C"/>
    <w:rsid w:val="00D74DE2"/>
    <w:rsid w:val="00D96498"/>
    <w:rsid w:val="00DA0A87"/>
    <w:rsid w:val="00DC1A63"/>
    <w:rsid w:val="00DD6E7A"/>
    <w:rsid w:val="00E17F0F"/>
    <w:rsid w:val="00E21FC1"/>
    <w:rsid w:val="00E27B4C"/>
    <w:rsid w:val="00E57F86"/>
    <w:rsid w:val="00EC335F"/>
    <w:rsid w:val="00EF363E"/>
    <w:rsid w:val="00F035D4"/>
    <w:rsid w:val="00F22790"/>
    <w:rsid w:val="00F427B7"/>
    <w:rsid w:val="00F944BF"/>
    <w:rsid w:val="00FA0444"/>
    <w:rsid w:val="00FC26C3"/>
    <w:rsid w:val="00FD33A2"/>
    <w:rsid w:val="00FD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5B7B"/>
  <w15:chartTrackingRefBased/>
  <w15:docId w15:val="{924BFA5C-31F6-4C6A-A3F4-1AB9A3FC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1E68F3"/>
    <w:pPr>
      <w:keepLines/>
      <w:widowControl w:val="0"/>
    </w:pPr>
  </w:style>
  <w:style w:type="character" w:customStyle="1" w:styleId="FootnoteTextChar">
    <w:name w:val="Footnote Text Char"/>
    <w:basedOn w:val="DefaultParagraphFont"/>
    <w:link w:val="FootnoteText"/>
    <w:uiPriority w:val="99"/>
    <w:semiHidden/>
    <w:rsid w:val="001E68F3"/>
  </w:style>
  <w:style w:type="character" w:styleId="FootnoteReference">
    <w:name w:val="footnote reference"/>
    <w:uiPriority w:val="99"/>
    <w:semiHidden/>
    <w:unhideWhenUsed/>
    <w:rsid w:val="00B36523"/>
    <w:rPr>
      <w:vertAlign w:val="superscript"/>
    </w:rPr>
  </w:style>
  <w:style w:type="character" w:styleId="Hyperlink">
    <w:name w:val="Hyperlink"/>
    <w:basedOn w:val="DefaultParagraphFont"/>
    <w:uiPriority w:val="99"/>
    <w:unhideWhenUsed/>
    <w:rsid w:val="00FC26C3"/>
    <w:rPr>
      <w:color w:val="0563C1" w:themeColor="hyperlink"/>
      <w:u w:val="single"/>
    </w:rPr>
  </w:style>
  <w:style w:type="character" w:styleId="UnresolvedMention">
    <w:name w:val="Unresolved Mention"/>
    <w:basedOn w:val="DefaultParagraphFont"/>
    <w:uiPriority w:val="99"/>
    <w:semiHidden/>
    <w:unhideWhenUsed/>
    <w:rsid w:val="00FC26C3"/>
    <w:rPr>
      <w:color w:val="605E5C"/>
      <w:shd w:val="clear" w:color="auto" w:fill="E1DFDD"/>
    </w:rPr>
  </w:style>
  <w:style w:type="paragraph" w:styleId="Header">
    <w:name w:val="header"/>
    <w:basedOn w:val="Normal"/>
    <w:link w:val="HeaderChar"/>
    <w:uiPriority w:val="99"/>
    <w:unhideWhenUsed/>
    <w:rsid w:val="003A6F76"/>
    <w:pPr>
      <w:tabs>
        <w:tab w:val="center" w:pos="4680"/>
        <w:tab w:val="right" w:pos="9360"/>
      </w:tabs>
    </w:pPr>
  </w:style>
  <w:style w:type="character" w:customStyle="1" w:styleId="HeaderChar">
    <w:name w:val="Header Char"/>
    <w:basedOn w:val="DefaultParagraphFont"/>
    <w:link w:val="Header"/>
    <w:uiPriority w:val="99"/>
    <w:rsid w:val="003A6F76"/>
  </w:style>
  <w:style w:type="paragraph" w:styleId="Footer">
    <w:name w:val="footer"/>
    <w:basedOn w:val="Normal"/>
    <w:link w:val="FooterChar"/>
    <w:uiPriority w:val="99"/>
    <w:unhideWhenUsed/>
    <w:rsid w:val="003A6F76"/>
    <w:pPr>
      <w:tabs>
        <w:tab w:val="center" w:pos="4680"/>
        <w:tab w:val="right" w:pos="9360"/>
      </w:tabs>
    </w:pPr>
  </w:style>
  <w:style w:type="character" w:customStyle="1" w:styleId="FooterChar">
    <w:name w:val="Footer Char"/>
    <w:basedOn w:val="DefaultParagraphFont"/>
    <w:link w:val="Footer"/>
    <w:uiPriority w:val="99"/>
    <w:rsid w:val="003A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slocum@citize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tizen.org/about/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EAE8-0F8E-428C-8551-4D75024F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100</cp:revision>
  <dcterms:created xsi:type="dcterms:W3CDTF">2020-09-26T13:09:00Z</dcterms:created>
  <dcterms:modified xsi:type="dcterms:W3CDTF">2020-09-28T11:12:00Z</dcterms:modified>
</cp:coreProperties>
</file>