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9F4F5" w14:textId="38142F14" w:rsidR="006443BB" w:rsidRPr="00934028" w:rsidRDefault="00D04F91" w:rsidP="00934028">
      <w:pPr>
        <w:jc w:val="center"/>
        <w:rPr>
          <w:rFonts w:ascii="Georgia" w:hAnsi="Georgia"/>
          <w:sz w:val="24"/>
          <w:szCs w:val="24"/>
        </w:rPr>
      </w:pPr>
      <w:r w:rsidRPr="00934028">
        <w:rPr>
          <w:rFonts w:ascii="Georgia" w:hAnsi="Georgia"/>
          <w:sz w:val="24"/>
          <w:szCs w:val="24"/>
        </w:rPr>
        <w:t>UNITED STATES OF AMERICA</w:t>
      </w:r>
    </w:p>
    <w:p w14:paraId="795EF551" w14:textId="6C96C993" w:rsidR="00D04F91" w:rsidRPr="00934028" w:rsidRDefault="00D04F91" w:rsidP="00934028">
      <w:pPr>
        <w:jc w:val="center"/>
        <w:rPr>
          <w:rFonts w:ascii="Georgia" w:hAnsi="Georgia"/>
          <w:sz w:val="24"/>
          <w:szCs w:val="24"/>
        </w:rPr>
      </w:pPr>
      <w:r w:rsidRPr="00934028">
        <w:rPr>
          <w:rFonts w:ascii="Georgia" w:hAnsi="Georgia"/>
          <w:sz w:val="24"/>
          <w:szCs w:val="24"/>
        </w:rPr>
        <w:t>BEFORE THE</w:t>
      </w:r>
    </w:p>
    <w:p w14:paraId="19347E25" w14:textId="6F85DEFC" w:rsidR="00D04F91" w:rsidRPr="00934028" w:rsidRDefault="00D04F91" w:rsidP="00934028">
      <w:pPr>
        <w:jc w:val="center"/>
        <w:rPr>
          <w:rFonts w:ascii="Georgia" w:hAnsi="Georgia"/>
          <w:sz w:val="24"/>
          <w:szCs w:val="24"/>
        </w:rPr>
      </w:pPr>
      <w:r w:rsidRPr="00934028">
        <w:rPr>
          <w:rFonts w:ascii="Georgia" w:hAnsi="Georgia"/>
          <w:sz w:val="24"/>
          <w:szCs w:val="24"/>
        </w:rPr>
        <w:t>FEDERAL ENERGY REGULATORY COMMISSION</w:t>
      </w:r>
    </w:p>
    <w:p w14:paraId="7DC86F4A" w14:textId="0D6272EE" w:rsidR="00D04F91" w:rsidRPr="00934028" w:rsidRDefault="00D04F91">
      <w:pPr>
        <w:rPr>
          <w:rFonts w:ascii="Georgia" w:hAnsi="Georgia"/>
          <w:sz w:val="24"/>
          <w:szCs w:val="24"/>
        </w:rPr>
      </w:pPr>
    </w:p>
    <w:p w14:paraId="14DFD07B" w14:textId="11F12EA2" w:rsidR="00D04F91" w:rsidRPr="00934028" w:rsidRDefault="00D04F91">
      <w:pPr>
        <w:rPr>
          <w:rFonts w:ascii="Georgia" w:hAnsi="Georgia"/>
          <w:sz w:val="24"/>
          <w:szCs w:val="24"/>
        </w:rPr>
      </w:pPr>
      <w:r w:rsidRPr="00934028">
        <w:rPr>
          <w:rFonts w:ascii="Georgia" w:hAnsi="Georgia"/>
          <w:sz w:val="24"/>
          <w:szCs w:val="24"/>
        </w:rPr>
        <w:t>S&amp;P Global Commodity Insights</w:t>
      </w:r>
      <w:r w:rsidRPr="00934028">
        <w:rPr>
          <w:rFonts w:ascii="Georgia" w:hAnsi="Georgia"/>
          <w:sz w:val="24"/>
          <w:szCs w:val="24"/>
        </w:rPr>
        <w:tab/>
      </w:r>
      <w:r w:rsidRPr="00934028">
        <w:rPr>
          <w:rFonts w:ascii="Georgia" w:hAnsi="Georgia"/>
          <w:sz w:val="24"/>
          <w:szCs w:val="24"/>
        </w:rPr>
        <w:tab/>
      </w:r>
      <w:r w:rsidRPr="00934028">
        <w:rPr>
          <w:rFonts w:ascii="Georgia" w:hAnsi="Georgia"/>
          <w:sz w:val="24"/>
          <w:szCs w:val="24"/>
        </w:rPr>
        <w:tab/>
      </w:r>
      <w:r w:rsidRPr="00934028">
        <w:rPr>
          <w:rFonts w:ascii="Georgia" w:hAnsi="Georgia"/>
          <w:sz w:val="24"/>
          <w:szCs w:val="24"/>
        </w:rPr>
        <w:tab/>
      </w:r>
      <w:r w:rsidR="00934028">
        <w:rPr>
          <w:rFonts w:ascii="Georgia" w:hAnsi="Georgia"/>
          <w:sz w:val="24"/>
          <w:szCs w:val="24"/>
        </w:rPr>
        <w:tab/>
      </w:r>
      <w:r w:rsidRPr="00934028">
        <w:rPr>
          <w:rFonts w:ascii="Georgia" w:hAnsi="Georgia"/>
          <w:sz w:val="24"/>
          <w:szCs w:val="24"/>
        </w:rPr>
        <w:t>Docket No. PL03-3-011</w:t>
      </w:r>
    </w:p>
    <w:p w14:paraId="1158F658" w14:textId="1CEF42F2" w:rsidR="007415F3" w:rsidRPr="00934028" w:rsidRDefault="007415F3">
      <w:pPr>
        <w:rPr>
          <w:rFonts w:ascii="Georgia" w:hAnsi="Georgia"/>
          <w:sz w:val="24"/>
          <w:szCs w:val="24"/>
        </w:rPr>
      </w:pPr>
    </w:p>
    <w:p w14:paraId="21E80180" w14:textId="00749E4D" w:rsidR="007415F3" w:rsidRPr="006C3BB2" w:rsidRDefault="007415F3" w:rsidP="00934028">
      <w:pPr>
        <w:jc w:val="center"/>
        <w:rPr>
          <w:rFonts w:ascii="Georgia" w:hAnsi="Georgia"/>
          <w:b/>
          <w:bCs/>
          <w:sz w:val="24"/>
          <w:szCs w:val="24"/>
        </w:rPr>
      </w:pPr>
      <w:r w:rsidRPr="006C3BB2">
        <w:rPr>
          <w:rFonts w:ascii="Georgia" w:hAnsi="Georgia"/>
          <w:b/>
          <w:bCs/>
          <w:sz w:val="24"/>
          <w:szCs w:val="24"/>
        </w:rPr>
        <w:t>Comment of Public Citizen, Inc.</w:t>
      </w:r>
    </w:p>
    <w:p w14:paraId="14E9AA92" w14:textId="6341582A" w:rsidR="00934028" w:rsidRPr="00934028" w:rsidRDefault="00934028">
      <w:pPr>
        <w:rPr>
          <w:rFonts w:ascii="Georgia" w:hAnsi="Georgia"/>
          <w:sz w:val="24"/>
          <w:szCs w:val="24"/>
        </w:rPr>
      </w:pPr>
    </w:p>
    <w:p w14:paraId="5CE02048" w14:textId="11E4841F" w:rsidR="00934028" w:rsidRPr="00934028" w:rsidRDefault="00934028" w:rsidP="00933B9D">
      <w:pPr>
        <w:spacing w:line="360" w:lineRule="auto"/>
        <w:ind w:firstLine="720"/>
        <w:rPr>
          <w:rFonts w:ascii="Georgia" w:hAnsi="Georgia"/>
          <w:sz w:val="24"/>
          <w:szCs w:val="24"/>
        </w:rPr>
      </w:pPr>
      <w:r w:rsidRPr="00934028">
        <w:rPr>
          <w:rFonts w:ascii="Georgia" w:hAnsi="Georgia"/>
          <w:sz w:val="24"/>
          <w:szCs w:val="24"/>
        </w:rPr>
        <w:t xml:space="preserve">On February 9, S&amp;P Global applied for re-approval that its natural gas price indices meets the standards </w:t>
      </w:r>
      <w:r w:rsidR="007D3A95">
        <w:rPr>
          <w:rFonts w:ascii="Georgia" w:hAnsi="Georgia"/>
          <w:sz w:val="24"/>
          <w:szCs w:val="24"/>
        </w:rPr>
        <w:t>of the Commission’s</w:t>
      </w:r>
      <w:r w:rsidRPr="00934028">
        <w:rPr>
          <w:rFonts w:ascii="Georgia" w:hAnsi="Georgia"/>
          <w:sz w:val="24"/>
          <w:szCs w:val="24"/>
        </w:rPr>
        <w:t xml:space="preserve"> revised policy statement.</w:t>
      </w:r>
    </w:p>
    <w:p w14:paraId="3ED7421F" w14:textId="38C55614" w:rsidR="00DD6665" w:rsidRDefault="00934028" w:rsidP="00933B9D">
      <w:pPr>
        <w:spacing w:line="360" w:lineRule="auto"/>
        <w:rPr>
          <w:rFonts w:ascii="Georgia" w:hAnsi="Georgia"/>
          <w:sz w:val="24"/>
          <w:szCs w:val="24"/>
        </w:rPr>
      </w:pPr>
      <w:r>
        <w:rPr>
          <w:rFonts w:ascii="Georgia" w:hAnsi="Georgia"/>
          <w:sz w:val="24"/>
          <w:szCs w:val="24"/>
        </w:rPr>
        <w:tab/>
        <w:t xml:space="preserve">On November 14, 2022, S&amp;P Global agreed to a $2.5 million settlement with the U.S. Securities and Exchange Commission regarding flagrant conflict of interest violations of S&amp;P’s Global Ratings business. The settlement states that after the group’s analytical team downgraded the </w:t>
      </w:r>
      <w:r w:rsidRPr="00934028">
        <w:rPr>
          <w:rFonts w:ascii="Georgia" w:hAnsi="Georgia"/>
          <w:sz w:val="24"/>
          <w:szCs w:val="24"/>
        </w:rPr>
        <w:t>rating of a residential mortgage backed security transaction</w:t>
      </w:r>
      <w:r>
        <w:rPr>
          <w:rFonts w:ascii="Georgia" w:hAnsi="Georgia"/>
          <w:sz w:val="24"/>
          <w:szCs w:val="24"/>
        </w:rPr>
        <w:t xml:space="preserve">, the issuer threatened to terminate business with S&amp;P Global. In response, the settlement states that S&amp;P’s </w:t>
      </w:r>
      <w:r w:rsidR="00DD6665">
        <w:rPr>
          <w:rFonts w:ascii="Georgia" w:hAnsi="Georgia"/>
          <w:sz w:val="24"/>
          <w:szCs w:val="24"/>
        </w:rPr>
        <w:t>commercial operations teams, concerned about the probable loss of business and income to S&amp;P Global, pressured the analytical team to improve the rating of the security, which it did.</w:t>
      </w:r>
      <w:r w:rsidR="00DD6665">
        <w:rPr>
          <w:rStyle w:val="FootnoteReference"/>
          <w:rFonts w:ascii="Georgia" w:hAnsi="Georgia"/>
          <w:sz w:val="24"/>
          <w:szCs w:val="24"/>
        </w:rPr>
        <w:footnoteReference w:id="1"/>
      </w:r>
      <w:r w:rsidR="00DD6665">
        <w:rPr>
          <w:rFonts w:ascii="Georgia" w:hAnsi="Georgia"/>
          <w:sz w:val="24"/>
          <w:szCs w:val="24"/>
        </w:rPr>
        <w:t xml:space="preserve"> This recent case exposes potential liabilities in S&amp;P Global’s internal controls for its businesses, including its Commodity Insight</w:t>
      </w:r>
      <w:r w:rsidR="00F23A4B">
        <w:rPr>
          <w:rFonts w:ascii="Georgia" w:hAnsi="Georgia"/>
          <w:sz w:val="24"/>
          <w:szCs w:val="24"/>
        </w:rPr>
        <w:t>s</w:t>
      </w:r>
      <w:r w:rsidR="00DD6665">
        <w:rPr>
          <w:rFonts w:ascii="Georgia" w:hAnsi="Georgia"/>
          <w:sz w:val="24"/>
          <w:szCs w:val="24"/>
        </w:rPr>
        <w:t xml:space="preserve"> division.</w:t>
      </w:r>
    </w:p>
    <w:p w14:paraId="5ABA0C10" w14:textId="278394D9" w:rsidR="00DD6665" w:rsidRDefault="00DD6665" w:rsidP="00933B9D">
      <w:pPr>
        <w:spacing w:line="360" w:lineRule="auto"/>
        <w:rPr>
          <w:rFonts w:ascii="Georgia" w:hAnsi="Georgia"/>
          <w:sz w:val="24"/>
          <w:szCs w:val="24"/>
        </w:rPr>
      </w:pPr>
      <w:r>
        <w:rPr>
          <w:rFonts w:ascii="Georgia" w:hAnsi="Georgia"/>
          <w:sz w:val="24"/>
          <w:szCs w:val="24"/>
        </w:rPr>
        <w:tab/>
      </w:r>
      <w:r w:rsidR="002F658D">
        <w:rPr>
          <w:rFonts w:ascii="Georgia" w:hAnsi="Georgia"/>
          <w:sz w:val="24"/>
          <w:szCs w:val="24"/>
        </w:rPr>
        <w:t>S&amp;P Global’s Commodity Insight</w:t>
      </w:r>
      <w:r w:rsidR="00BA60CF">
        <w:rPr>
          <w:rFonts w:ascii="Georgia" w:hAnsi="Georgia"/>
          <w:sz w:val="24"/>
          <w:szCs w:val="24"/>
        </w:rPr>
        <w:t>s</w:t>
      </w:r>
      <w:r w:rsidR="002F658D">
        <w:rPr>
          <w:rFonts w:ascii="Georgia" w:hAnsi="Georgia"/>
          <w:sz w:val="24"/>
          <w:szCs w:val="24"/>
        </w:rPr>
        <w:t xml:space="preserve"> division is a major source of </w:t>
      </w:r>
      <w:r w:rsidR="00BD2EC0">
        <w:rPr>
          <w:rFonts w:ascii="Georgia" w:hAnsi="Georgia"/>
          <w:sz w:val="24"/>
          <w:szCs w:val="24"/>
        </w:rPr>
        <w:t>revenue</w:t>
      </w:r>
      <w:r w:rsidR="002F658D">
        <w:rPr>
          <w:rFonts w:ascii="Georgia" w:hAnsi="Georgia"/>
          <w:sz w:val="24"/>
          <w:szCs w:val="24"/>
        </w:rPr>
        <w:t xml:space="preserve"> and profit for the company, generating </w:t>
      </w:r>
      <w:r w:rsidR="00640412">
        <w:rPr>
          <w:rFonts w:ascii="Georgia" w:hAnsi="Georgia"/>
          <w:sz w:val="24"/>
          <w:szCs w:val="24"/>
        </w:rPr>
        <w:t>$1.685 billion in revenue and $591 million in profits in 2022</w:t>
      </w:r>
      <w:r w:rsidR="00E629CC">
        <w:rPr>
          <w:rFonts w:ascii="Georgia" w:hAnsi="Georgia"/>
          <w:sz w:val="24"/>
          <w:szCs w:val="24"/>
        </w:rPr>
        <w:t xml:space="preserve"> (</w:t>
      </w:r>
      <w:r w:rsidR="00BD2EC0">
        <w:rPr>
          <w:rFonts w:ascii="Georgia" w:hAnsi="Georgia"/>
          <w:sz w:val="24"/>
          <w:szCs w:val="24"/>
        </w:rPr>
        <w:t>15% of its revenue and 12% of its profit, respectively).</w:t>
      </w:r>
      <w:r w:rsidR="00BD2EC0">
        <w:rPr>
          <w:rStyle w:val="FootnoteReference"/>
          <w:rFonts w:ascii="Georgia" w:hAnsi="Georgia"/>
          <w:sz w:val="24"/>
          <w:szCs w:val="24"/>
        </w:rPr>
        <w:footnoteReference w:id="2"/>
      </w:r>
    </w:p>
    <w:p w14:paraId="59F7784C" w14:textId="12192661" w:rsidR="002340B8" w:rsidRDefault="00124B4F" w:rsidP="00933B9D">
      <w:pPr>
        <w:spacing w:line="360" w:lineRule="auto"/>
        <w:rPr>
          <w:rFonts w:ascii="Georgia" w:hAnsi="Georgia"/>
          <w:sz w:val="24"/>
          <w:szCs w:val="24"/>
        </w:rPr>
      </w:pPr>
      <w:r>
        <w:rPr>
          <w:rFonts w:ascii="Georgia" w:hAnsi="Georgia"/>
          <w:sz w:val="24"/>
          <w:szCs w:val="24"/>
        </w:rPr>
        <w:tab/>
      </w:r>
      <w:r w:rsidR="00055509">
        <w:rPr>
          <w:rFonts w:ascii="Georgia" w:hAnsi="Georgia"/>
          <w:sz w:val="24"/>
          <w:szCs w:val="24"/>
        </w:rPr>
        <w:t xml:space="preserve">The majority of the revenues and profits from its </w:t>
      </w:r>
      <w:r w:rsidR="00933B9D">
        <w:rPr>
          <w:rFonts w:ascii="Georgia" w:hAnsi="Georgia"/>
          <w:sz w:val="24"/>
          <w:szCs w:val="24"/>
        </w:rPr>
        <w:t>Commodity Insight</w:t>
      </w:r>
      <w:r w:rsidR="00BA60CF">
        <w:rPr>
          <w:rFonts w:ascii="Georgia" w:hAnsi="Georgia"/>
          <w:sz w:val="24"/>
          <w:szCs w:val="24"/>
        </w:rPr>
        <w:t>s</w:t>
      </w:r>
      <w:r w:rsidR="00933B9D">
        <w:rPr>
          <w:rFonts w:ascii="Georgia" w:hAnsi="Georgia"/>
          <w:sz w:val="24"/>
          <w:szCs w:val="24"/>
        </w:rPr>
        <w:t xml:space="preserve"> </w:t>
      </w:r>
      <w:r w:rsidR="00055509">
        <w:rPr>
          <w:rFonts w:ascii="Georgia" w:hAnsi="Georgia"/>
          <w:sz w:val="24"/>
          <w:szCs w:val="24"/>
        </w:rPr>
        <w:t>operations come from selling very expensive subscriptions to its price index services. While S&amp;P Global does not publish</w:t>
      </w:r>
      <w:r w:rsidR="00E82016">
        <w:rPr>
          <w:rFonts w:ascii="Georgia" w:hAnsi="Georgia"/>
          <w:sz w:val="24"/>
          <w:szCs w:val="24"/>
        </w:rPr>
        <w:t xml:space="preserve"> its </w:t>
      </w:r>
      <w:r w:rsidR="00B14CDE">
        <w:rPr>
          <w:rFonts w:ascii="Georgia" w:hAnsi="Georgia"/>
          <w:sz w:val="24"/>
          <w:szCs w:val="24"/>
        </w:rPr>
        <w:t>subscription</w:t>
      </w:r>
      <w:r w:rsidR="00E82016">
        <w:rPr>
          <w:rFonts w:ascii="Georgia" w:hAnsi="Georgia"/>
          <w:sz w:val="24"/>
          <w:szCs w:val="24"/>
        </w:rPr>
        <w:t xml:space="preserve"> prices, an inquiry to their sales team </w:t>
      </w:r>
      <w:r w:rsidR="00F94A24">
        <w:rPr>
          <w:rFonts w:ascii="Georgia" w:hAnsi="Georgia"/>
          <w:sz w:val="24"/>
          <w:szCs w:val="24"/>
        </w:rPr>
        <w:t>revealed that an annual subscription starts in the five-figure range</w:t>
      </w:r>
      <w:r w:rsidR="003F732E">
        <w:rPr>
          <w:rFonts w:ascii="Georgia" w:hAnsi="Georgia"/>
          <w:sz w:val="24"/>
          <w:szCs w:val="24"/>
        </w:rPr>
        <w:t>. Needless to say, it is problematic that the Commission relies upon for-profit price index developers that</w:t>
      </w:r>
      <w:r w:rsidR="00BA60CF">
        <w:rPr>
          <w:rFonts w:ascii="Georgia" w:hAnsi="Georgia"/>
          <w:sz w:val="24"/>
          <w:szCs w:val="24"/>
        </w:rPr>
        <w:t xml:space="preserve"> seek to</w:t>
      </w:r>
      <w:r w:rsidR="003F732E">
        <w:rPr>
          <w:rFonts w:ascii="Georgia" w:hAnsi="Georgia"/>
          <w:sz w:val="24"/>
          <w:szCs w:val="24"/>
        </w:rPr>
        <w:t xml:space="preserve"> charge public interest organizations more than $10,000/year just to access basic natural gas price index data.</w:t>
      </w:r>
    </w:p>
    <w:p w14:paraId="21ECE9A1" w14:textId="52203606" w:rsidR="006C3BB2" w:rsidRDefault="002340B8" w:rsidP="006C3BB2">
      <w:pPr>
        <w:spacing w:line="360" w:lineRule="auto"/>
        <w:ind w:firstLine="720"/>
        <w:rPr>
          <w:rFonts w:ascii="Georgia" w:hAnsi="Georgia"/>
          <w:sz w:val="24"/>
          <w:szCs w:val="24"/>
        </w:rPr>
      </w:pPr>
      <w:r>
        <w:rPr>
          <w:rFonts w:ascii="Georgia" w:hAnsi="Georgia"/>
          <w:sz w:val="24"/>
          <w:szCs w:val="24"/>
        </w:rPr>
        <w:t xml:space="preserve">Fortunately, Congress provides the Commission with a more just and reasonable alternative. </w:t>
      </w:r>
      <w:r w:rsidR="006C3BB2" w:rsidRPr="00EF7488">
        <w:rPr>
          <w:rFonts w:ascii="Georgia" w:hAnsi="Georgia"/>
          <w:sz w:val="24"/>
          <w:szCs w:val="24"/>
        </w:rPr>
        <w:t>15 USC §</w:t>
      </w:r>
      <w:r w:rsidR="006C3BB2" w:rsidRPr="00EF7488">
        <w:rPr>
          <w:rFonts w:ascii="Times New Roman" w:hAnsi="Times New Roman" w:cs="Times New Roman"/>
          <w:sz w:val="24"/>
          <w:szCs w:val="24"/>
        </w:rPr>
        <w:t> </w:t>
      </w:r>
      <w:r w:rsidR="006C3BB2" w:rsidRPr="00EF7488">
        <w:rPr>
          <w:rFonts w:ascii="Georgia" w:hAnsi="Georgia"/>
          <w:sz w:val="24"/>
          <w:szCs w:val="24"/>
        </w:rPr>
        <w:t>717t</w:t>
      </w:r>
      <w:r w:rsidR="006C3BB2" w:rsidRPr="00EF7488">
        <w:rPr>
          <w:rFonts w:ascii="Georgia" w:hAnsi="Georgia" w:cs="Georgia"/>
          <w:sz w:val="24"/>
          <w:szCs w:val="24"/>
        </w:rPr>
        <w:t>–</w:t>
      </w:r>
      <w:r w:rsidR="006C3BB2" w:rsidRPr="00EF7488">
        <w:rPr>
          <w:rFonts w:ascii="Georgia" w:hAnsi="Georgia"/>
          <w:sz w:val="24"/>
          <w:szCs w:val="24"/>
        </w:rPr>
        <w:t>2(a)(4)</w:t>
      </w:r>
      <w:r w:rsidR="001819D7">
        <w:rPr>
          <w:rFonts w:ascii="Georgia" w:hAnsi="Georgia"/>
          <w:sz w:val="24"/>
          <w:szCs w:val="24"/>
        </w:rPr>
        <w:t xml:space="preserve"> </w:t>
      </w:r>
      <w:r w:rsidR="006C3BB2">
        <w:rPr>
          <w:rFonts w:ascii="Georgia" w:hAnsi="Georgia"/>
          <w:sz w:val="24"/>
          <w:szCs w:val="24"/>
        </w:rPr>
        <w:t xml:space="preserve">states that </w:t>
      </w:r>
      <w:r w:rsidR="006C3BB2" w:rsidRPr="00D02316">
        <w:rPr>
          <w:rFonts w:ascii="Georgia" w:hAnsi="Georgia"/>
          <w:sz w:val="24"/>
          <w:szCs w:val="24"/>
        </w:rPr>
        <w:t xml:space="preserve">“the Commission </w:t>
      </w:r>
      <w:r w:rsidR="006C3BB2" w:rsidRPr="001819D7">
        <w:rPr>
          <w:rFonts w:ascii="Georgia" w:hAnsi="Georgia"/>
          <w:b/>
          <w:bCs/>
          <w:sz w:val="24"/>
          <w:szCs w:val="24"/>
          <w:u w:val="single"/>
        </w:rPr>
        <w:t>shall</w:t>
      </w:r>
      <w:r w:rsidR="006C3BB2" w:rsidRPr="00D02316">
        <w:rPr>
          <w:rFonts w:ascii="Georgia" w:hAnsi="Georgia"/>
          <w:sz w:val="24"/>
          <w:szCs w:val="24"/>
        </w:rPr>
        <w:t xml:space="preserve"> consider the </w:t>
      </w:r>
      <w:r w:rsidR="006C3BB2" w:rsidRPr="00D02316">
        <w:rPr>
          <w:rFonts w:ascii="Georgia" w:hAnsi="Georgia"/>
          <w:sz w:val="24"/>
          <w:szCs w:val="24"/>
        </w:rPr>
        <w:lastRenderedPageBreak/>
        <w:t xml:space="preserve">degree of price transparency provided by existing price publishers and providers of trade processing services . . . </w:t>
      </w:r>
      <w:r w:rsidR="006C3BB2" w:rsidRPr="00EF110D">
        <w:rPr>
          <w:rFonts w:ascii="Georgia" w:hAnsi="Georgia"/>
          <w:b/>
          <w:bCs/>
          <w:i/>
          <w:iCs/>
          <w:sz w:val="24"/>
          <w:szCs w:val="24"/>
        </w:rPr>
        <w:t xml:space="preserve">The Commission may establish an electronic information system if it determines that existing price publications are not adequately providing </w:t>
      </w:r>
      <w:bookmarkStart w:id="0" w:name="_Hlk73429149"/>
      <w:r w:rsidR="006C3BB2" w:rsidRPr="00EF110D">
        <w:rPr>
          <w:rFonts w:ascii="Georgia" w:hAnsi="Georgia"/>
          <w:b/>
          <w:bCs/>
          <w:i/>
          <w:iCs/>
          <w:sz w:val="24"/>
          <w:szCs w:val="24"/>
        </w:rPr>
        <w:t>price discovery or market transparency</w:t>
      </w:r>
      <w:bookmarkEnd w:id="0"/>
      <w:r w:rsidR="006C3BB2">
        <w:rPr>
          <w:rFonts w:ascii="Georgia" w:hAnsi="Georgia"/>
          <w:sz w:val="24"/>
          <w:szCs w:val="24"/>
        </w:rPr>
        <w:t xml:space="preserve">” [emphasis added]. Such “an electronic information system” could be based on </w:t>
      </w:r>
      <w:r w:rsidR="006C3BB2" w:rsidRPr="00155CA4">
        <w:rPr>
          <w:rFonts w:ascii="Georgia" w:hAnsi="Georgia"/>
          <w:sz w:val="24"/>
          <w:szCs w:val="24"/>
          <w:u w:val="single"/>
        </w:rPr>
        <w:t>actual</w:t>
      </w:r>
      <w:r w:rsidR="006C3BB2">
        <w:rPr>
          <w:rFonts w:ascii="Georgia" w:hAnsi="Georgia"/>
          <w:sz w:val="24"/>
          <w:szCs w:val="24"/>
        </w:rPr>
        <w:t xml:space="preserve"> transactions, and not limited to those voluntarily reported, and would be freely available to all interested parties through a platform hosted by the Commission, rather than the proprietary, commodified data model of the index publishers.</w:t>
      </w:r>
    </w:p>
    <w:p w14:paraId="18CB8B53" w14:textId="77777777" w:rsidR="006C3BB2" w:rsidRDefault="006C3BB2" w:rsidP="006C3BB2">
      <w:pPr>
        <w:spacing w:line="360" w:lineRule="auto"/>
        <w:ind w:firstLine="720"/>
        <w:rPr>
          <w:rFonts w:ascii="Georgia" w:hAnsi="Georgia"/>
          <w:sz w:val="24"/>
          <w:szCs w:val="24"/>
        </w:rPr>
      </w:pPr>
      <w:r w:rsidRPr="00BD2610">
        <w:rPr>
          <w:rFonts w:ascii="Georgia" w:hAnsi="Georgia"/>
          <w:sz w:val="24"/>
          <w:szCs w:val="24"/>
        </w:rPr>
        <w:t xml:space="preserve">Indeed, </w:t>
      </w:r>
      <w:r>
        <w:rPr>
          <w:rFonts w:ascii="Georgia" w:hAnsi="Georgia"/>
          <w:sz w:val="24"/>
          <w:szCs w:val="24"/>
        </w:rPr>
        <w:t>FERC conceived of the idea of having</w:t>
      </w:r>
      <w:r w:rsidRPr="00BD2610">
        <w:rPr>
          <w:rFonts w:ascii="Georgia" w:hAnsi="Georgia"/>
          <w:sz w:val="24"/>
          <w:szCs w:val="24"/>
        </w:rPr>
        <w:t xml:space="preserve"> authority to create its own electronic natural gas price reporting system</w:t>
      </w:r>
      <w:r>
        <w:rPr>
          <w:rFonts w:ascii="Georgia" w:hAnsi="Georgia"/>
          <w:sz w:val="24"/>
          <w:szCs w:val="24"/>
        </w:rPr>
        <w:t>.</w:t>
      </w:r>
      <w:r w:rsidRPr="00BD2610">
        <w:rPr>
          <w:rFonts w:ascii="Georgia" w:hAnsi="Georgia"/>
          <w:sz w:val="24"/>
          <w:szCs w:val="24"/>
        </w:rPr>
        <w:t xml:space="preserve"> In testimony before the House Committee on Energy and Commerce on February 10, 2005, FERC's general counsel Cynthia A. Marlette included in her prepared testimony a section entitled </w:t>
      </w:r>
      <w:r w:rsidRPr="00471338">
        <w:rPr>
          <w:rFonts w:ascii="Georgia" w:hAnsi="Georgia"/>
          <w:sz w:val="24"/>
          <w:szCs w:val="24"/>
          <w:u w:val="single"/>
        </w:rPr>
        <w:t>Price Transparency in Natural Gas and Electric Markets</w:t>
      </w:r>
      <w:r>
        <w:rPr>
          <w:rFonts w:ascii="Georgia" w:hAnsi="Georgia"/>
          <w:sz w:val="24"/>
          <w:szCs w:val="24"/>
        </w:rPr>
        <w:t>, where she declared:</w:t>
      </w:r>
    </w:p>
    <w:p w14:paraId="53ACADB7" w14:textId="77777777" w:rsidR="006C3BB2" w:rsidRDefault="006C3BB2" w:rsidP="006C3BB2">
      <w:pPr>
        <w:spacing w:line="360" w:lineRule="auto"/>
        <w:ind w:firstLine="720"/>
        <w:rPr>
          <w:rFonts w:ascii="Georgia" w:hAnsi="Georgia"/>
          <w:sz w:val="24"/>
          <w:szCs w:val="24"/>
        </w:rPr>
      </w:pPr>
    </w:p>
    <w:p w14:paraId="22913906" w14:textId="77777777" w:rsidR="006C3BB2" w:rsidRDefault="006C3BB2" w:rsidP="006C3BB2">
      <w:pPr>
        <w:ind w:left="720"/>
        <w:rPr>
          <w:rFonts w:ascii="Georgia" w:hAnsi="Georgia"/>
          <w:sz w:val="24"/>
          <w:szCs w:val="24"/>
        </w:rPr>
      </w:pPr>
      <w:r w:rsidRPr="00C229ED">
        <w:rPr>
          <w:rFonts w:ascii="Georgia" w:hAnsi="Georgia"/>
          <w:i/>
          <w:iCs/>
        </w:rPr>
        <w:t>It would be helpful if the Congress clarified the Commission’s authority to require the development of an electronic price reporting system, and if the Congress gave the Commission the ability to require all electric market participants to participate in such a reporting system . . . and make it publicly available.</w:t>
      </w:r>
      <w:r>
        <w:rPr>
          <w:rStyle w:val="FootnoteReference"/>
          <w:rFonts w:ascii="Georgia" w:hAnsi="Georgia"/>
          <w:sz w:val="24"/>
          <w:szCs w:val="24"/>
        </w:rPr>
        <w:footnoteReference w:id="3"/>
      </w:r>
    </w:p>
    <w:p w14:paraId="3845521A" w14:textId="77777777" w:rsidR="006C3BB2" w:rsidRDefault="006C3BB2" w:rsidP="006C3BB2"/>
    <w:p w14:paraId="57CACC7C" w14:textId="566B8EC1" w:rsidR="00124B4F" w:rsidRDefault="00E82016" w:rsidP="00934028">
      <w:pPr>
        <w:rPr>
          <w:rFonts w:ascii="Georgia" w:hAnsi="Georgia"/>
          <w:sz w:val="24"/>
          <w:szCs w:val="24"/>
        </w:rPr>
      </w:pPr>
      <w:r>
        <w:rPr>
          <w:rFonts w:ascii="Georgia" w:hAnsi="Georgia"/>
          <w:sz w:val="24"/>
          <w:szCs w:val="24"/>
        </w:rPr>
        <w:t xml:space="preserve"> </w:t>
      </w:r>
      <w:r w:rsidR="00124B4F">
        <w:rPr>
          <w:rFonts w:ascii="Georgia" w:hAnsi="Georgia"/>
          <w:sz w:val="24"/>
          <w:szCs w:val="24"/>
        </w:rPr>
        <w:t xml:space="preserve"> </w:t>
      </w:r>
    </w:p>
    <w:p w14:paraId="3BCFE1FB" w14:textId="77777777" w:rsidR="008250D2" w:rsidRDefault="008250D2" w:rsidP="00934028">
      <w:pPr>
        <w:rPr>
          <w:rFonts w:ascii="Georgia" w:hAnsi="Georgia"/>
          <w:sz w:val="24"/>
          <w:szCs w:val="24"/>
        </w:rPr>
      </w:pPr>
    </w:p>
    <w:p w14:paraId="4633F4F1" w14:textId="55DFB753" w:rsidR="008250D2" w:rsidRDefault="008250D2" w:rsidP="00934028">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A74D8F">
        <w:rPr>
          <w:rFonts w:ascii="Georgia" w:hAnsi="Georgia"/>
          <w:sz w:val="24"/>
          <w:szCs w:val="24"/>
        </w:rPr>
        <w:t>Respectfully</w:t>
      </w:r>
      <w:r>
        <w:rPr>
          <w:rFonts w:ascii="Georgia" w:hAnsi="Georgia"/>
          <w:sz w:val="24"/>
          <w:szCs w:val="24"/>
        </w:rPr>
        <w:t xml:space="preserve"> submitted,</w:t>
      </w:r>
    </w:p>
    <w:p w14:paraId="7AE6CCE7" w14:textId="77777777" w:rsidR="008250D2" w:rsidRDefault="008250D2" w:rsidP="00934028">
      <w:pPr>
        <w:rPr>
          <w:rFonts w:ascii="Georgia" w:hAnsi="Georgia"/>
          <w:sz w:val="24"/>
          <w:szCs w:val="24"/>
        </w:rPr>
      </w:pPr>
    </w:p>
    <w:p w14:paraId="22344526" w14:textId="4AEA0516" w:rsidR="008250D2" w:rsidRDefault="008250D2" w:rsidP="00934028">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Tyson Slocum, Energy Program Director</w:t>
      </w:r>
    </w:p>
    <w:p w14:paraId="25CF33E2" w14:textId="67E33093" w:rsidR="008250D2" w:rsidRDefault="008250D2" w:rsidP="00934028">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Public Citizen, Inc.</w:t>
      </w:r>
    </w:p>
    <w:p w14:paraId="408842BB" w14:textId="6F2EEDFC" w:rsidR="008250D2" w:rsidRDefault="008250D2" w:rsidP="00934028">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A74D8F">
        <w:rPr>
          <w:rFonts w:ascii="Georgia" w:hAnsi="Georgia"/>
          <w:sz w:val="24"/>
          <w:szCs w:val="24"/>
        </w:rPr>
        <w:t>1600 20</w:t>
      </w:r>
      <w:r w:rsidR="00A74D8F" w:rsidRPr="00A74D8F">
        <w:rPr>
          <w:rFonts w:ascii="Georgia" w:hAnsi="Georgia"/>
          <w:sz w:val="24"/>
          <w:szCs w:val="24"/>
          <w:vertAlign w:val="superscript"/>
        </w:rPr>
        <w:t>th</w:t>
      </w:r>
      <w:r w:rsidR="00A74D8F">
        <w:rPr>
          <w:rFonts w:ascii="Georgia" w:hAnsi="Georgia"/>
          <w:sz w:val="24"/>
          <w:szCs w:val="24"/>
        </w:rPr>
        <w:t xml:space="preserve"> St NW</w:t>
      </w:r>
    </w:p>
    <w:p w14:paraId="48DF0930" w14:textId="6032F76A" w:rsidR="00A74D8F" w:rsidRDefault="00A74D8F" w:rsidP="00934028">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Washington, DC  20009</w:t>
      </w:r>
    </w:p>
    <w:p w14:paraId="2B1BF422" w14:textId="1F964F73" w:rsidR="00A74D8F" w:rsidRDefault="00A74D8F" w:rsidP="00934028">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(202) 588-1000</w:t>
      </w:r>
    </w:p>
    <w:p w14:paraId="1F84C9BB" w14:textId="15D03F28" w:rsidR="00A74D8F" w:rsidRPr="00A74D8F" w:rsidRDefault="00A74D8F" w:rsidP="00934028">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hyperlink r:id="rId7" w:history="1">
        <w:r w:rsidRPr="00A74D8F">
          <w:rPr>
            <w:rStyle w:val="Hyperlink"/>
            <w:rFonts w:ascii="Georgia" w:hAnsi="Georgia"/>
            <w:color w:val="auto"/>
            <w:sz w:val="24"/>
            <w:szCs w:val="24"/>
            <w:u w:val="none"/>
          </w:rPr>
          <w:t>tslocum@citizen.org</w:t>
        </w:r>
      </w:hyperlink>
    </w:p>
    <w:p w14:paraId="37A86A77" w14:textId="77777777" w:rsidR="00A74D8F" w:rsidRDefault="00A74D8F" w:rsidP="00934028">
      <w:pPr>
        <w:rPr>
          <w:rFonts w:ascii="Georgia" w:hAnsi="Georgia"/>
          <w:sz w:val="24"/>
          <w:szCs w:val="24"/>
        </w:rPr>
      </w:pPr>
    </w:p>
    <w:p w14:paraId="37DC523B" w14:textId="2F677CEF" w:rsidR="00A74D8F" w:rsidRPr="00934028" w:rsidRDefault="00A74D8F" w:rsidP="00934028">
      <w:pPr>
        <w:rPr>
          <w:rFonts w:ascii="Georgia" w:hAnsi="Georgia"/>
          <w:sz w:val="24"/>
          <w:szCs w:val="24"/>
        </w:rPr>
      </w:pPr>
      <w:r>
        <w:rPr>
          <w:rFonts w:ascii="Georgia" w:hAnsi="Georgia"/>
          <w:sz w:val="24"/>
          <w:szCs w:val="24"/>
        </w:rPr>
        <w:t>Filed February 21, 2023</w:t>
      </w:r>
    </w:p>
    <w:sectPr w:rsidR="00A74D8F" w:rsidRPr="00934028" w:rsidSect="00A74D8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F756" w14:textId="77777777" w:rsidR="002D717D" w:rsidRDefault="002D717D" w:rsidP="00DD6665">
      <w:r>
        <w:separator/>
      </w:r>
    </w:p>
  </w:endnote>
  <w:endnote w:type="continuationSeparator" w:id="0">
    <w:p w14:paraId="0E7CFA18" w14:textId="77777777" w:rsidR="002D717D" w:rsidRDefault="002D717D" w:rsidP="00DD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537047"/>
      <w:docPartObj>
        <w:docPartGallery w:val="Page Numbers (Bottom of Page)"/>
        <w:docPartUnique/>
      </w:docPartObj>
    </w:sdtPr>
    <w:sdtEndPr>
      <w:rPr>
        <w:color w:val="7F7F7F" w:themeColor="background1" w:themeShade="7F"/>
        <w:spacing w:val="60"/>
      </w:rPr>
    </w:sdtEndPr>
    <w:sdtContent>
      <w:p w14:paraId="3F7D3DF7" w14:textId="341E6FB7" w:rsidR="00A74D8F" w:rsidRDefault="00A74D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81D66B1" w14:textId="77777777" w:rsidR="00A74D8F" w:rsidRDefault="00A74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A9D0B" w14:textId="77777777" w:rsidR="002D717D" w:rsidRDefault="002D717D" w:rsidP="00DD6665">
      <w:r>
        <w:separator/>
      </w:r>
    </w:p>
  </w:footnote>
  <w:footnote w:type="continuationSeparator" w:id="0">
    <w:p w14:paraId="4A6D601B" w14:textId="77777777" w:rsidR="002D717D" w:rsidRDefault="002D717D" w:rsidP="00DD6665">
      <w:r>
        <w:continuationSeparator/>
      </w:r>
    </w:p>
  </w:footnote>
  <w:footnote w:id="1">
    <w:p w14:paraId="5D32A229" w14:textId="72FABD50" w:rsidR="00DD6665" w:rsidRDefault="00DD6665">
      <w:pPr>
        <w:pStyle w:val="FootnoteText"/>
      </w:pPr>
      <w:r>
        <w:rPr>
          <w:rStyle w:val="FootnoteReference"/>
        </w:rPr>
        <w:footnoteRef/>
      </w:r>
      <w:r>
        <w:t xml:space="preserve"> </w:t>
      </w:r>
      <w:r w:rsidRPr="00DD6665">
        <w:rPr>
          <w:rFonts w:ascii="Georgia" w:hAnsi="Georgia"/>
        </w:rPr>
        <w:t>www.sec.gov/news/press-release/2022-205</w:t>
      </w:r>
    </w:p>
  </w:footnote>
  <w:footnote w:id="2">
    <w:p w14:paraId="09A373F7" w14:textId="2D39FFE1" w:rsidR="00BD2EC0" w:rsidRDefault="00BD2EC0">
      <w:pPr>
        <w:pStyle w:val="FootnoteText"/>
      </w:pPr>
      <w:r>
        <w:rPr>
          <w:rStyle w:val="FootnoteReference"/>
        </w:rPr>
        <w:footnoteRef/>
      </w:r>
      <w:r>
        <w:t xml:space="preserve"> </w:t>
      </w:r>
      <w:r w:rsidRPr="00BD2EC0">
        <w:rPr>
          <w:rFonts w:ascii="Georgia" w:hAnsi="Georgia"/>
        </w:rPr>
        <w:t>www.sec.gov/ix?doc=/Archives/edgar/data/64040/000006404023000058/spgi-20221231.htm</w:t>
      </w:r>
    </w:p>
  </w:footnote>
  <w:footnote w:id="3">
    <w:p w14:paraId="77505DBF" w14:textId="77777777" w:rsidR="006C3BB2" w:rsidRDefault="006C3BB2" w:rsidP="006C3BB2">
      <w:pPr>
        <w:pStyle w:val="FootnoteText"/>
      </w:pPr>
      <w:r>
        <w:rPr>
          <w:rStyle w:val="FootnoteReference"/>
        </w:rPr>
        <w:footnoteRef/>
      </w:r>
      <w:r>
        <w:t xml:space="preserve"> </w:t>
      </w:r>
      <w:r w:rsidRPr="002117D0">
        <w:rPr>
          <w:rFonts w:ascii="Georgia" w:hAnsi="Georgia"/>
        </w:rPr>
        <w:t>At pages 28-</w:t>
      </w:r>
      <w:r>
        <w:rPr>
          <w:rFonts w:ascii="Georgia" w:hAnsi="Georgia"/>
        </w:rPr>
        <w:t>2</w:t>
      </w:r>
      <w:r w:rsidRPr="002117D0">
        <w:rPr>
          <w:rFonts w:ascii="Georgia" w:hAnsi="Georgia"/>
        </w:rPr>
        <w:t>9, www.govinfo.gov/content/pkg/CHRG-109hhrg99906/pdf/CHRG-109hhrg99906.pdf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91"/>
    <w:rsid w:val="00055509"/>
    <w:rsid w:val="000F4965"/>
    <w:rsid w:val="00124B4F"/>
    <w:rsid w:val="001819D7"/>
    <w:rsid w:val="002340B8"/>
    <w:rsid w:val="002D717D"/>
    <w:rsid w:val="002F658D"/>
    <w:rsid w:val="00327CF1"/>
    <w:rsid w:val="003F732E"/>
    <w:rsid w:val="00640412"/>
    <w:rsid w:val="006443BB"/>
    <w:rsid w:val="006C3BB2"/>
    <w:rsid w:val="007415F3"/>
    <w:rsid w:val="007D3A95"/>
    <w:rsid w:val="008250D2"/>
    <w:rsid w:val="00933B9D"/>
    <w:rsid w:val="00934028"/>
    <w:rsid w:val="00A47B9D"/>
    <w:rsid w:val="00A74D8F"/>
    <w:rsid w:val="00B14CDE"/>
    <w:rsid w:val="00BA60CF"/>
    <w:rsid w:val="00BD2EC0"/>
    <w:rsid w:val="00D04F91"/>
    <w:rsid w:val="00DD6665"/>
    <w:rsid w:val="00E629CC"/>
    <w:rsid w:val="00E82016"/>
    <w:rsid w:val="00F23A4B"/>
    <w:rsid w:val="00F9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06A2"/>
  <w15:chartTrackingRefBased/>
  <w15:docId w15:val="{1A5C1378-7D61-4D84-BE81-8AF8CA27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6665"/>
    <w:rPr>
      <w:sz w:val="20"/>
      <w:szCs w:val="20"/>
    </w:rPr>
  </w:style>
  <w:style w:type="character" w:customStyle="1" w:styleId="FootnoteTextChar">
    <w:name w:val="Footnote Text Char"/>
    <w:basedOn w:val="DefaultParagraphFont"/>
    <w:link w:val="FootnoteText"/>
    <w:uiPriority w:val="99"/>
    <w:semiHidden/>
    <w:rsid w:val="00DD6665"/>
    <w:rPr>
      <w:sz w:val="20"/>
      <w:szCs w:val="20"/>
    </w:rPr>
  </w:style>
  <w:style w:type="character" w:styleId="FootnoteReference">
    <w:name w:val="footnote reference"/>
    <w:basedOn w:val="DefaultParagraphFont"/>
    <w:uiPriority w:val="99"/>
    <w:semiHidden/>
    <w:unhideWhenUsed/>
    <w:rsid w:val="00DD6665"/>
    <w:rPr>
      <w:vertAlign w:val="superscript"/>
    </w:rPr>
  </w:style>
  <w:style w:type="character" w:styleId="Hyperlink">
    <w:name w:val="Hyperlink"/>
    <w:basedOn w:val="DefaultParagraphFont"/>
    <w:uiPriority w:val="99"/>
    <w:unhideWhenUsed/>
    <w:rsid w:val="00A74D8F"/>
    <w:rPr>
      <w:color w:val="0563C1" w:themeColor="hyperlink"/>
      <w:u w:val="single"/>
    </w:rPr>
  </w:style>
  <w:style w:type="character" w:styleId="UnresolvedMention">
    <w:name w:val="Unresolved Mention"/>
    <w:basedOn w:val="DefaultParagraphFont"/>
    <w:uiPriority w:val="99"/>
    <w:semiHidden/>
    <w:unhideWhenUsed/>
    <w:rsid w:val="00A74D8F"/>
    <w:rPr>
      <w:color w:val="605E5C"/>
      <w:shd w:val="clear" w:color="auto" w:fill="E1DFDD"/>
    </w:rPr>
  </w:style>
  <w:style w:type="paragraph" w:styleId="Header">
    <w:name w:val="header"/>
    <w:basedOn w:val="Normal"/>
    <w:link w:val="HeaderChar"/>
    <w:uiPriority w:val="99"/>
    <w:unhideWhenUsed/>
    <w:rsid w:val="00A74D8F"/>
    <w:pPr>
      <w:tabs>
        <w:tab w:val="center" w:pos="4680"/>
        <w:tab w:val="right" w:pos="9360"/>
      </w:tabs>
    </w:pPr>
  </w:style>
  <w:style w:type="character" w:customStyle="1" w:styleId="HeaderChar">
    <w:name w:val="Header Char"/>
    <w:basedOn w:val="DefaultParagraphFont"/>
    <w:link w:val="Header"/>
    <w:uiPriority w:val="99"/>
    <w:rsid w:val="00A74D8F"/>
  </w:style>
  <w:style w:type="paragraph" w:styleId="Footer">
    <w:name w:val="footer"/>
    <w:basedOn w:val="Normal"/>
    <w:link w:val="FooterChar"/>
    <w:uiPriority w:val="99"/>
    <w:unhideWhenUsed/>
    <w:rsid w:val="00A74D8F"/>
    <w:pPr>
      <w:tabs>
        <w:tab w:val="center" w:pos="4680"/>
        <w:tab w:val="right" w:pos="9360"/>
      </w:tabs>
    </w:pPr>
  </w:style>
  <w:style w:type="character" w:customStyle="1" w:styleId="FooterChar">
    <w:name w:val="Footer Char"/>
    <w:basedOn w:val="DefaultParagraphFont"/>
    <w:link w:val="Footer"/>
    <w:uiPriority w:val="99"/>
    <w:rsid w:val="00A74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slocum@citize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8E07-2FC4-423F-A572-E95E1D8E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Slocum</dc:creator>
  <cp:keywords/>
  <dc:description/>
  <cp:lastModifiedBy>Tyson Slocum</cp:lastModifiedBy>
  <cp:revision>20</cp:revision>
  <dcterms:created xsi:type="dcterms:W3CDTF">2023-02-21T17:27:00Z</dcterms:created>
  <dcterms:modified xsi:type="dcterms:W3CDTF">2023-02-21T19:01:00Z</dcterms:modified>
</cp:coreProperties>
</file>