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F43C" w14:textId="1382AAEC" w:rsidR="006443BB" w:rsidRPr="00581B55" w:rsidRDefault="00581B55" w:rsidP="00581B55">
      <w:pPr>
        <w:jc w:val="center"/>
        <w:rPr>
          <w:rFonts w:ascii="Georgia" w:hAnsi="Georgia"/>
          <w:sz w:val="24"/>
          <w:szCs w:val="24"/>
        </w:rPr>
      </w:pPr>
      <w:r w:rsidRPr="00581B55">
        <w:rPr>
          <w:rFonts w:ascii="Georgia" w:hAnsi="Georgia"/>
          <w:sz w:val="24"/>
          <w:szCs w:val="24"/>
        </w:rPr>
        <w:t>UNITED STATES OF AMERICA</w:t>
      </w:r>
    </w:p>
    <w:p w14:paraId="16E3D4DD" w14:textId="54787922" w:rsidR="00581B55" w:rsidRPr="00581B55" w:rsidRDefault="00581B55" w:rsidP="00581B55">
      <w:pPr>
        <w:jc w:val="center"/>
        <w:rPr>
          <w:rFonts w:ascii="Georgia" w:hAnsi="Georgia"/>
          <w:sz w:val="24"/>
          <w:szCs w:val="24"/>
        </w:rPr>
      </w:pPr>
      <w:r w:rsidRPr="00581B55">
        <w:rPr>
          <w:rFonts w:ascii="Georgia" w:hAnsi="Georgia"/>
          <w:sz w:val="24"/>
          <w:szCs w:val="24"/>
        </w:rPr>
        <w:t>BEFORE THE</w:t>
      </w:r>
    </w:p>
    <w:p w14:paraId="2CCBFF52" w14:textId="6B518A16" w:rsidR="00581B55" w:rsidRPr="00581B55" w:rsidRDefault="00581B55" w:rsidP="00581B55">
      <w:pPr>
        <w:jc w:val="center"/>
        <w:rPr>
          <w:rFonts w:ascii="Georgia" w:hAnsi="Georgia"/>
          <w:sz w:val="24"/>
          <w:szCs w:val="24"/>
        </w:rPr>
      </w:pPr>
      <w:r w:rsidRPr="00581B55">
        <w:rPr>
          <w:rFonts w:ascii="Georgia" w:hAnsi="Georgia"/>
          <w:sz w:val="24"/>
          <w:szCs w:val="24"/>
        </w:rPr>
        <w:t>FEDERAL ENERGY REGULATORY COMMISSION</w:t>
      </w:r>
    </w:p>
    <w:p w14:paraId="322B5D69" w14:textId="44AB62E1" w:rsidR="00581B55" w:rsidRPr="00581B55" w:rsidRDefault="00581B55">
      <w:pPr>
        <w:rPr>
          <w:rFonts w:ascii="Georgia" w:hAnsi="Georgia"/>
          <w:sz w:val="24"/>
          <w:szCs w:val="24"/>
        </w:rPr>
      </w:pPr>
    </w:p>
    <w:p w14:paraId="3D462A79" w14:textId="6CEC1D12" w:rsidR="00581B55" w:rsidRPr="00581B55" w:rsidRDefault="00581B55" w:rsidP="00581B55">
      <w:pPr>
        <w:rPr>
          <w:rFonts w:ascii="Georgia" w:hAnsi="Georgia"/>
          <w:sz w:val="24"/>
          <w:szCs w:val="24"/>
        </w:rPr>
      </w:pPr>
      <w:r w:rsidRPr="00581B55">
        <w:rPr>
          <w:rFonts w:ascii="Georgia" w:hAnsi="Georgia"/>
          <w:sz w:val="24"/>
          <w:szCs w:val="24"/>
        </w:rPr>
        <w:t>PJM Interconnection LLC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Docket Nos.</w:t>
      </w:r>
      <w:r>
        <w:rPr>
          <w:rFonts w:ascii="Georgia" w:hAnsi="Georgia"/>
          <w:sz w:val="24"/>
          <w:szCs w:val="24"/>
        </w:rPr>
        <w:tab/>
      </w:r>
      <w:r w:rsidRPr="00581B55">
        <w:rPr>
          <w:rFonts w:ascii="Georgia" w:hAnsi="Georgia"/>
          <w:sz w:val="24"/>
          <w:szCs w:val="24"/>
        </w:rPr>
        <w:t>EL23-19</w:t>
      </w:r>
    </w:p>
    <w:p w14:paraId="51F3F6AE" w14:textId="5B7AC07B" w:rsidR="001319B2" w:rsidRPr="00560596" w:rsidRDefault="00581B55" w:rsidP="00560596">
      <w:pPr>
        <w:ind w:left="7200" w:firstLine="720"/>
        <w:rPr>
          <w:rFonts w:ascii="Georgia" w:hAnsi="Georgia"/>
          <w:sz w:val="24"/>
          <w:szCs w:val="24"/>
        </w:rPr>
      </w:pPr>
      <w:r w:rsidRPr="00581B55">
        <w:rPr>
          <w:rFonts w:ascii="Georgia" w:hAnsi="Georgia"/>
          <w:sz w:val="24"/>
          <w:szCs w:val="24"/>
        </w:rPr>
        <w:t>ER23-729</w:t>
      </w:r>
    </w:p>
    <w:p w14:paraId="6DF5BE76" w14:textId="77777777" w:rsidR="00584B21" w:rsidRDefault="00584B21" w:rsidP="004076F2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74B437B" w14:textId="72457711" w:rsidR="00581B55" w:rsidRPr="006178F3" w:rsidRDefault="00581B55" w:rsidP="004076F2">
      <w:pPr>
        <w:jc w:val="center"/>
        <w:rPr>
          <w:rFonts w:ascii="Georgia" w:hAnsi="Georgia"/>
          <w:b/>
          <w:bCs/>
          <w:sz w:val="24"/>
          <w:szCs w:val="24"/>
        </w:rPr>
      </w:pPr>
      <w:r w:rsidRPr="006178F3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59C8F1C0" w14:textId="0CEF4B77" w:rsidR="00581B55" w:rsidRDefault="00581B55" w:rsidP="00581B55">
      <w:pPr>
        <w:rPr>
          <w:rFonts w:ascii="Georgia" w:hAnsi="Georgia"/>
          <w:sz w:val="24"/>
          <w:szCs w:val="24"/>
        </w:rPr>
      </w:pPr>
    </w:p>
    <w:p w14:paraId="3CD6170D" w14:textId="01DD5508" w:rsidR="001319B2" w:rsidRDefault="00581B55" w:rsidP="0056059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83BA3">
        <w:rPr>
          <w:rFonts w:ascii="Georgia" w:hAnsi="Georgia"/>
          <w:sz w:val="24"/>
          <w:szCs w:val="24"/>
        </w:rPr>
        <w:t xml:space="preserve">Our protest makes </w:t>
      </w:r>
      <w:r w:rsidR="00CA0FE5">
        <w:rPr>
          <w:rFonts w:ascii="Georgia" w:hAnsi="Georgia"/>
          <w:sz w:val="24"/>
          <w:szCs w:val="24"/>
        </w:rPr>
        <w:t>three</w:t>
      </w:r>
      <w:r w:rsidR="00CA5D62">
        <w:rPr>
          <w:rFonts w:ascii="Georgia" w:hAnsi="Georgia"/>
          <w:sz w:val="24"/>
          <w:szCs w:val="24"/>
        </w:rPr>
        <w:t xml:space="preserve"> </w:t>
      </w:r>
      <w:r w:rsidR="00683BA3">
        <w:rPr>
          <w:rFonts w:ascii="Georgia" w:hAnsi="Georgia"/>
          <w:sz w:val="24"/>
          <w:szCs w:val="24"/>
        </w:rPr>
        <w:t>requests:</w:t>
      </w:r>
      <w:r w:rsidR="00A24D91">
        <w:rPr>
          <w:rFonts w:ascii="Georgia" w:hAnsi="Georgia"/>
          <w:sz w:val="24"/>
          <w:szCs w:val="24"/>
        </w:rPr>
        <w:t xml:space="preserve"> </w:t>
      </w:r>
      <w:r w:rsidR="00AD0635">
        <w:rPr>
          <w:rFonts w:ascii="Georgia" w:hAnsi="Georgia"/>
          <w:sz w:val="24"/>
          <w:szCs w:val="24"/>
        </w:rPr>
        <w:t xml:space="preserve">(1) </w:t>
      </w:r>
      <w:r w:rsidR="00A24D91">
        <w:rPr>
          <w:rFonts w:ascii="Georgia" w:hAnsi="Georgia"/>
          <w:sz w:val="24"/>
          <w:szCs w:val="24"/>
        </w:rPr>
        <w:t>that t</w:t>
      </w:r>
      <w:r w:rsidR="00112907">
        <w:rPr>
          <w:rFonts w:ascii="Georgia" w:hAnsi="Georgia"/>
          <w:sz w:val="24"/>
          <w:szCs w:val="24"/>
        </w:rPr>
        <w:t xml:space="preserve">he Commission </w:t>
      </w:r>
      <w:r w:rsidR="00112907" w:rsidRPr="00DF32B7">
        <w:rPr>
          <w:rFonts w:ascii="Georgia" w:hAnsi="Georgia"/>
          <w:sz w:val="24"/>
          <w:szCs w:val="24"/>
        </w:rPr>
        <w:t xml:space="preserve">set </w:t>
      </w:r>
      <w:r w:rsidR="00572710">
        <w:rPr>
          <w:rFonts w:ascii="Georgia" w:hAnsi="Georgia"/>
          <w:sz w:val="24"/>
          <w:szCs w:val="24"/>
        </w:rPr>
        <w:t>PJM’s auction results</w:t>
      </w:r>
      <w:r w:rsidR="00112907" w:rsidRPr="00DF32B7">
        <w:rPr>
          <w:rFonts w:ascii="Georgia" w:hAnsi="Georgia"/>
          <w:sz w:val="24"/>
          <w:szCs w:val="24"/>
        </w:rPr>
        <w:t xml:space="preserve"> for hearing</w:t>
      </w:r>
      <w:r w:rsidR="00112907">
        <w:rPr>
          <w:rFonts w:ascii="Georgia" w:hAnsi="Georgia"/>
          <w:sz w:val="24"/>
          <w:szCs w:val="24"/>
        </w:rPr>
        <w:t xml:space="preserve"> and</w:t>
      </w:r>
      <w:r w:rsidR="00112907" w:rsidRPr="00DF32B7">
        <w:rPr>
          <w:rFonts w:ascii="Georgia" w:hAnsi="Georgia"/>
          <w:sz w:val="24"/>
          <w:szCs w:val="24"/>
        </w:rPr>
        <w:t xml:space="preserve"> establish a refund effective date</w:t>
      </w:r>
      <w:r w:rsidR="00112907">
        <w:rPr>
          <w:rFonts w:ascii="Georgia" w:hAnsi="Georgia"/>
          <w:sz w:val="24"/>
          <w:szCs w:val="24"/>
        </w:rPr>
        <w:t xml:space="preserve">, per </w:t>
      </w:r>
      <w:r w:rsidR="00112907" w:rsidRPr="004C5524">
        <w:rPr>
          <w:rFonts w:ascii="Georgia" w:hAnsi="Georgia"/>
          <w:sz w:val="24"/>
          <w:szCs w:val="24"/>
        </w:rPr>
        <w:t>16 USC § 824e</w:t>
      </w:r>
      <w:r w:rsidR="00112907">
        <w:rPr>
          <w:rFonts w:ascii="Georgia" w:hAnsi="Georgia"/>
          <w:sz w:val="24"/>
          <w:szCs w:val="24"/>
        </w:rPr>
        <w:t xml:space="preserve">; </w:t>
      </w:r>
      <w:r w:rsidR="00AD0635">
        <w:rPr>
          <w:rFonts w:ascii="Georgia" w:hAnsi="Georgia"/>
          <w:sz w:val="24"/>
          <w:szCs w:val="24"/>
        </w:rPr>
        <w:t xml:space="preserve">(2) </w:t>
      </w:r>
      <w:r w:rsidR="00112907">
        <w:rPr>
          <w:rFonts w:ascii="Georgia" w:hAnsi="Georgia"/>
          <w:sz w:val="24"/>
          <w:szCs w:val="24"/>
        </w:rPr>
        <w:t>determine as part of that hearing whether market participants in Delmarva South engaged in intentional capacity withholding</w:t>
      </w:r>
      <w:r w:rsidR="00B85F08">
        <w:rPr>
          <w:rFonts w:ascii="Georgia" w:hAnsi="Georgia"/>
          <w:sz w:val="24"/>
          <w:szCs w:val="24"/>
        </w:rPr>
        <w:t>;</w:t>
      </w:r>
      <w:r w:rsidR="00AD0635">
        <w:rPr>
          <w:rFonts w:ascii="Georgia" w:hAnsi="Georgia"/>
          <w:sz w:val="24"/>
          <w:szCs w:val="24"/>
        </w:rPr>
        <w:t xml:space="preserve"> </w:t>
      </w:r>
      <w:r w:rsidR="00112907">
        <w:rPr>
          <w:rFonts w:ascii="Georgia" w:hAnsi="Georgia"/>
          <w:sz w:val="24"/>
          <w:szCs w:val="24"/>
        </w:rPr>
        <w:t>and</w:t>
      </w:r>
      <w:r w:rsidR="00B85F08">
        <w:rPr>
          <w:rFonts w:ascii="Georgia" w:hAnsi="Georgia"/>
          <w:sz w:val="24"/>
          <w:szCs w:val="24"/>
        </w:rPr>
        <w:t xml:space="preserve"> (</w:t>
      </w:r>
      <w:r w:rsidR="00CA5D62">
        <w:rPr>
          <w:rFonts w:ascii="Georgia" w:hAnsi="Georgia"/>
          <w:sz w:val="24"/>
          <w:szCs w:val="24"/>
        </w:rPr>
        <w:t>3</w:t>
      </w:r>
      <w:r w:rsidR="00B85F08">
        <w:rPr>
          <w:rFonts w:ascii="Georgia" w:hAnsi="Georgia"/>
          <w:sz w:val="24"/>
          <w:szCs w:val="24"/>
        </w:rPr>
        <w:t>)</w:t>
      </w:r>
      <w:r w:rsidR="00112907">
        <w:rPr>
          <w:rFonts w:ascii="Georgia" w:hAnsi="Georgia"/>
          <w:sz w:val="24"/>
          <w:szCs w:val="24"/>
        </w:rPr>
        <w:t xml:space="preserve"> </w:t>
      </w:r>
      <w:r w:rsidR="00EB33D4">
        <w:rPr>
          <w:rFonts w:ascii="Georgia" w:hAnsi="Georgia"/>
          <w:sz w:val="24"/>
          <w:szCs w:val="24"/>
        </w:rPr>
        <w:t>modify</w:t>
      </w:r>
      <w:r w:rsidR="00112907">
        <w:rPr>
          <w:rFonts w:ascii="Georgia" w:hAnsi="Georgia"/>
          <w:sz w:val="24"/>
          <w:szCs w:val="24"/>
        </w:rPr>
        <w:t xml:space="preserve"> PJM’s tariff requir</w:t>
      </w:r>
      <w:r w:rsidR="00CE601B">
        <w:rPr>
          <w:rFonts w:ascii="Georgia" w:hAnsi="Georgia"/>
          <w:sz w:val="24"/>
          <w:szCs w:val="24"/>
        </w:rPr>
        <w:t>ing</w:t>
      </w:r>
      <w:r w:rsidR="00112907">
        <w:rPr>
          <w:rFonts w:ascii="Georgia" w:hAnsi="Georgia"/>
          <w:sz w:val="24"/>
          <w:szCs w:val="24"/>
        </w:rPr>
        <w:t xml:space="preserve"> capacity auction results be filed as a stand-alone Section 205 rate filing subject to public notice, inspection and protest.</w:t>
      </w:r>
    </w:p>
    <w:p w14:paraId="7D8ACDE8" w14:textId="1BC4568A" w:rsidR="000445B6" w:rsidRDefault="00581B55" w:rsidP="00112907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these dual </w:t>
      </w:r>
      <w:r w:rsidR="002B6614">
        <w:rPr>
          <w:rFonts w:ascii="Georgia" w:hAnsi="Georgia"/>
          <w:sz w:val="24"/>
          <w:szCs w:val="24"/>
        </w:rPr>
        <w:t xml:space="preserve">Section 205 and Section 206 </w:t>
      </w:r>
      <w:r>
        <w:rPr>
          <w:rFonts w:ascii="Georgia" w:hAnsi="Georgia"/>
          <w:sz w:val="24"/>
          <w:szCs w:val="24"/>
        </w:rPr>
        <w:t>proceedings, PJM Interconnection LLC admits</w:t>
      </w:r>
      <w:r w:rsidR="004076F2">
        <w:rPr>
          <w:rFonts w:ascii="Georgia" w:hAnsi="Georgia"/>
          <w:sz w:val="24"/>
          <w:szCs w:val="24"/>
        </w:rPr>
        <w:t xml:space="preserve"> that its annual capacity auction </w:t>
      </w:r>
      <w:r w:rsidR="00840634">
        <w:rPr>
          <w:rFonts w:ascii="Georgia" w:hAnsi="Georgia"/>
          <w:sz w:val="24"/>
          <w:szCs w:val="24"/>
        </w:rPr>
        <w:t>resulted in unjust and unreasonable rates</w:t>
      </w:r>
      <w:r w:rsidR="009732E5">
        <w:rPr>
          <w:rFonts w:ascii="Georgia" w:hAnsi="Georgia"/>
          <w:sz w:val="24"/>
          <w:szCs w:val="24"/>
        </w:rPr>
        <w:t>.</w:t>
      </w:r>
      <w:r w:rsidR="00EA27DF">
        <w:rPr>
          <w:rStyle w:val="FootnoteReference"/>
          <w:rFonts w:ascii="Georgia" w:hAnsi="Georgia"/>
          <w:sz w:val="24"/>
          <w:szCs w:val="24"/>
        </w:rPr>
        <w:footnoteReference w:id="1"/>
      </w:r>
      <w:r w:rsidR="009732E5">
        <w:rPr>
          <w:rFonts w:ascii="Georgia" w:hAnsi="Georgia"/>
          <w:sz w:val="24"/>
          <w:szCs w:val="24"/>
        </w:rPr>
        <w:t xml:space="preserve"> </w:t>
      </w:r>
      <w:r w:rsidR="00552A98">
        <w:rPr>
          <w:rFonts w:ascii="Georgia" w:hAnsi="Georgia"/>
          <w:sz w:val="24"/>
          <w:szCs w:val="24"/>
        </w:rPr>
        <w:t xml:space="preserve">PJM’s </w:t>
      </w:r>
      <w:r w:rsidR="009A2C2E">
        <w:rPr>
          <w:rFonts w:ascii="Georgia" w:hAnsi="Georgia"/>
          <w:sz w:val="24"/>
          <w:szCs w:val="24"/>
        </w:rPr>
        <w:t>Section 205 filing suggests tha</w:t>
      </w:r>
      <w:r w:rsidR="00492655">
        <w:rPr>
          <w:rFonts w:ascii="Georgia" w:hAnsi="Georgia"/>
          <w:sz w:val="24"/>
          <w:szCs w:val="24"/>
        </w:rPr>
        <w:t>t the</w:t>
      </w:r>
      <w:r w:rsidR="005C19E8">
        <w:rPr>
          <w:rFonts w:ascii="Georgia" w:hAnsi="Georgia"/>
          <w:sz w:val="24"/>
          <w:szCs w:val="24"/>
        </w:rPr>
        <w:t xml:space="preserve"> unjust and unreasonable outcome of the capacity auction is the result of market manipulation</w:t>
      </w:r>
      <w:r w:rsidR="001D6003">
        <w:rPr>
          <w:rFonts w:ascii="Georgia" w:hAnsi="Georgia"/>
          <w:sz w:val="24"/>
          <w:szCs w:val="24"/>
        </w:rPr>
        <w:t>―</w:t>
      </w:r>
      <w:r w:rsidR="005C19E8">
        <w:rPr>
          <w:rFonts w:ascii="Georgia" w:hAnsi="Georgia"/>
          <w:sz w:val="24"/>
          <w:szCs w:val="24"/>
        </w:rPr>
        <w:t>in the form of intentional capacity withholding</w:t>
      </w:r>
      <w:r w:rsidR="001D6003">
        <w:rPr>
          <w:rFonts w:ascii="Georgia" w:hAnsi="Georgia"/>
          <w:sz w:val="24"/>
          <w:szCs w:val="24"/>
        </w:rPr>
        <w:t>―</w:t>
      </w:r>
      <w:r w:rsidR="003121D4">
        <w:rPr>
          <w:rFonts w:ascii="Georgia" w:hAnsi="Georgia"/>
          <w:sz w:val="24"/>
          <w:szCs w:val="24"/>
        </w:rPr>
        <w:t xml:space="preserve">in the </w:t>
      </w:r>
      <w:r w:rsidR="003121D4" w:rsidRPr="003121D4">
        <w:rPr>
          <w:rFonts w:ascii="Georgia" w:hAnsi="Georgia"/>
          <w:sz w:val="24"/>
          <w:szCs w:val="24"/>
        </w:rPr>
        <w:t>Delmarva Power &amp; Light South</w:t>
      </w:r>
      <w:r w:rsidR="00B63E00">
        <w:rPr>
          <w:rFonts w:ascii="Georgia" w:hAnsi="Georgia"/>
          <w:sz w:val="24"/>
          <w:szCs w:val="24"/>
        </w:rPr>
        <w:t xml:space="preserve"> </w:t>
      </w:r>
      <w:r w:rsidR="00B63E00" w:rsidRPr="00B63E00">
        <w:rPr>
          <w:rFonts w:ascii="Georgia" w:hAnsi="Georgia"/>
          <w:sz w:val="24"/>
          <w:szCs w:val="24"/>
        </w:rPr>
        <w:t>Locational Deliverability Area</w:t>
      </w:r>
      <w:r w:rsidR="00B63E00">
        <w:rPr>
          <w:rFonts w:ascii="Georgia" w:hAnsi="Georgia"/>
          <w:sz w:val="24"/>
          <w:szCs w:val="24"/>
        </w:rPr>
        <w:t xml:space="preserve">, where PJM estimates prices </w:t>
      </w:r>
      <w:r w:rsidR="000445B6">
        <w:rPr>
          <w:rFonts w:ascii="Georgia" w:hAnsi="Georgia"/>
          <w:sz w:val="24"/>
          <w:szCs w:val="24"/>
        </w:rPr>
        <w:t xml:space="preserve">are </w:t>
      </w:r>
      <w:r w:rsidR="00B63E00">
        <w:rPr>
          <w:rFonts w:ascii="Georgia" w:hAnsi="Georgia"/>
          <w:sz w:val="24"/>
          <w:szCs w:val="24"/>
        </w:rPr>
        <w:t xml:space="preserve">four times higher than they should </w:t>
      </w:r>
      <w:r w:rsidR="00CC4458">
        <w:rPr>
          <w:rFonts w:ascii="Georgia" w:hAnsi="Georgia"/>
          <w:sz w:val="24"/>
          <w:szCs w:val="24"/>
        </w:rPr>
        <w:t>be</w:t>
      </w:r>
      <w:r w:rsidR="00856544">
        <w:rPr>
          <w:rFonts w:ascii="Georgia" w:hAnsi="Georgia"/>
          <w:sz w:val="24"/>
          <w:szCs w:val="24"/>
        </w:rPr>
        <w:t xml:space="preserve"> (at page 2).</w:t>
      </w:r>
      <w:r w:rsidR="00E267EE">
        <w:rPr>
          <w:rFonts w:ascii="Georgia" w:hAnsi="Georgia"/>
          <w:sz w:val="24"/>
          <w:szCs w:val="24"/>
        </w:rPr>
        <w:t xml:space="preserve"> </w:t>
      </w:r>
    </w:p>
    <w:p w14:paraId="45CEC272" w14:textId="0A3C2021" w:rsidR="005B5C14" w:rsidRDefault="00DF32B7" w:rsidP="00112907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 PJM acknowledge</w:t>
      </w:r>
      <w:r w:rsidR="00E64E2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that</w:t>
      </w:r>
      <w:r w:rsidR="009E3E82">
        <w:rPr>
          <w:rFonts w:ascii="Georgia" w:hAnsi="Georgia"/>
          <w:sz w:val="24"/>
          <w:szCs w:val="24"/>
        </w:rPr>
        <w:t xml:space="preserve"> the auction prices are not just and reasonable, </w:t>
      </w:r>
      <w:r>
        <w:rPr>
          <w:rFonts w:ascii="Georgia" w:hAnsi="Georgia"/>
          <w:sz w:val="24"/>
          <w:szCs w:val="24"/>
        </w:rPr>
        <w:t>the Commission must</w:t>
      </w:r>
      <w:r w:rsidRPr="00DF32B7">
        <w:rPr>
          <w:rFonts w:ascii="Georgia" w:hAnsi="Georgia"/>
          <w:sz w:val="24"/>
          <w:szCs w:val="24"/>
        </w:rPr>
        <w:t xml:space="preserve"> set this matter for hearing</w:t>
      </w:r>
      <w:r w:rsidR="009E3E82">
        <w:rPr>
          <w:rFonts w:ascii="Georgia" w:hAnsi="Georgia"/>
          <w:sz w:val="24"/>
          <w:szCs w:val="24"/>
        </w:rPr>
        <w:t xml:space="preserve"> and</w:t>
      </w:r>
      <w:r w:rsidRPr="00DF32B7">
        <w:rPr>
          <w:rFonts w:ascii="Georgia" w:hAnsi="Georgia"/>
          <w:sz w:val="24"/>
          <w:szCs w:val="24"/>
        </w:rPr>
        <w:t xml:space="preserve"> establish a refund effective date</w:t>
      </w:r>
      <w:r w:rsidR="00536EFC">
        <w:rPr>
          <w:rFonts w:ascii="Georgia" w:hAnsi="Georgia"/>
          <w:sz w:val="24"/>
          <w:szCs w:val="24"/>
        </w:rPr>
        <w:t xml:space="preserve">, per </w:t>
      </w:r>
      <w:r w:rsidR="00536EFC" w:rsidRPr="004C5524">
        <w:rPr>
          <w:rFonts w:ascii="Georgia" w:hAnsi="Georgia"/>
          <w:sz w:val="24"/>
          <w:szCs w:val="24"/>
        </w:rPr>
        <w:t>16 USC § 824e</w:t>
      </w:r>
      <w:r w:rsidR="00536EFC">
        <w:rPr>
          <w:rFonts w:ascii="Georgia" w:hAnsi="Georgia"/>
          <w:sz w:val="24"/>
          <w:szCs w:val="24"/>
        </w:rPr>
        <w:t>.</w:t>
      </w:r>
      <w:r w:rsidR="00EF645B">
        <w:rPr>
          <w:rFonts w:ascii="Georgia" w:hAnsi="Georgia"/>
          <w:sz w:val="24"/>
          <w:szCs w:val="24"/>
        </w:rPr>
        <w:t xml:space="preserve"> Setting the matter for hearing</w:t>
      </w:r>
      <w:r w:rsidR="005E4FCF">
        <w:rPr>
          <w:rFonts w:ascii="Georgia" w:hAnsi="Georgia"/>
          <w:sz w:val="24"/>
          <w:szCs w:val="24"/>
        </w:rPr>
        <w:t xml:space="preserve"> and subjecting the capacity auction to refunds is the statutorily appropriate path for the Commission to pursue, rather than PJM’s proposed “do over” which does</w:t>
      </w:r>
      <w:r w:rsidR="00763558">
        <w:rPr>
          <w:rFonts w:ascii="Georgia" w:hAnsi="Georgia"/>
          <w:sz w:val="24"/>
          <w:szCs w:val="24"/>
        </w:rPr>
        <w:t xml:space="preserve"> not</w:t>
      </w:r>
      <w:r w:rsidR="005E4FCF">
        <w:rPr>
          <w:rFonts w:ascii="Georgia" w:hAnsi="Georgia"/>
          <w:sz w:val="24"/>
          <w:szCs w:val="24"/>
        </w:rPr>
        <w:t xml:space="preserve"> appear to be permitted</w:t>
      </w:r>
      <w:r w:rsidR="004F360D">
        <w:rPr>
          <w:rFonts w:ascii="Georgia" w:hAnsi="Georgia"/>
          <w:sz w:val="24"/>
          <w:szCs w:val="24"/>
        </w:rPr>
        <w:t xml:space="preserve"> by</w:t>
      </w:r>
      <w:r w:rsidR="005E4FCF">
        <w:rPr>
          <w:rFonts w:ascii="Georgia" w:hAnsi="Georgia"/>
          <w:sz w:val="24"/>
          <w:szCs w:val="24"/>
        </w:rPr>
        <w:t xml:space="preserve"> its tariff.</w:t>
      </w:r>
      <w:r w:rsidR="001866C9">
        <w:rPr>
          <w:rFonts w:ascii="Georgia" w:hAnsi="Georgia"/>
          <w:sz w:val="24"/>
          <w:szCs w:val="24"/>
        </w:rPr>
        <w:t xml:space="preserve"> </w:t>
      </w:r>
      <w:r w:rsidR="006F3579">
        <w:rPr>
          <w:rFonts w:ascii="Georgia" w:hAnsi="Georgia"/>
          <w:sz w:val="24"/>
          <w:szCs w:val="24"/>
        </w:rPr>
        <w:t xml:space="preserve">Subjecting the auction results to a </w:t>
      </w:r>
      <w:r w:rsidR="007F32D0">
        <w:rPr>
          <w:rFonts w:ascii="Georgia" w:hAnsi="Georgia"/>
          <w:sz w:val="24"/>
          <w:szCs w:val="24"/>
        </w:rPr>
        <w:t xml:space="preserve">hearing with refund authority will protect consumers and </w:t>
      </w:r>
      <w:r w:rsidR="00576585">
        <w:rPr>
          <w:rFonts w:ascii="Georgia" w:hAnsi="Georgia"/>
          <w:sz w:val="24"/>
          <w:szCs w:val="24"/>
        </w:rPr>
        <w:t>ensure accountability for</w:t>
      </w:r>
      <w:r w:rsidR="007F32D0">
        <w:rPr>
          <w:rFonts w:ascii="Georgia" w:hAnsi="Georgia"/>
          <w:sz w:val="24"/>
          <w:szCs w:val="24"/>
        </w:rPr>
        <w:t xml:space="preserve"> </w:t>
      </w:r>
      <w:r w:rsidR="0059474F">
        <w:rPr>
          <w:rFonts w:ascii="Georgia" w:hAnsi="Georgia"/>
          <w:sz w:val="24"/>
          <w:szCs w:val="24"/>
        </w:rPr>
        <w:t xml:space="preserve">any </w:t>
      </w:r>
      <w:r w:rsidR="007F32D0">
        <w:rPr>
          <w:rFonts w:ascii="Georgia" w:hAnsi="Georgia"/>
          <w:sz w:val="24"/>
          <w:szCs w:val="24"/>
        </w:rPr>
        <w:t xml:space="preserve">generators </w:t>
      </w:r>
      <w:r w:rsidR="00576585">
        <w:rPr>
          <w:rFonts w:ascii="Georgia" w:hAnsi="Georgia"/>
          <w:sz w:val="24"/>
          <w:szCs w:val="24"/>
        </w:rPr>
        <w:t xml:space="preserve">that </w:t>
      </w:r>
      <w:r w:rsidR="007F32D0">
        <w:rPr>
          <w:rFonts w:ascii="Georgia" w:hAnsi="Georgia"/>
          <w:sz w:val="24"/>
          <w:szCs w:val="24"/>
        </w:rPr>
        <w:t>engaged in capacity withholding.</w:t>
      </w:r>
    </w:p>
    <w:p w14:paraId="63680589" w14:textId="4C90BEB8" w:rsidR="006178F3" w:rsidRPr="00805AA8" w:rsidRDefault="0009299F" w:rsidP="00805AA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E1504" w:rsidRPr="00780E08">
        <w:rPr>
          <w:rFonts w:ascii="Georgia" w:hAnsi="Georgia"/>
          <w:sz w:val="24"/>
          <w:szCs w:val="24"/>
        </w:rPr>
        <w:t>NRG Energy’s</w:t>
      </w:r>
      <w:r w:rsidR="00514565">
        <w:rPr>
          <w:rFonts w:ascii="Georgia" w:hAnsi="Georgia"/>
          <w:sz w:val="24"/>
          <w:szCs w:val="24"/>
        </w:rPr>
        <w:t xml:space="preserve"> generation assets</w:t>
      </w:r>
      <w:r>
        <w:rPr>
          <w:rFonts w:ascii="Georgia" w:hAnsi="Georgia"/>
          <w:sz w:val="24"/>
          <w:szCs w:val="24"/>
        </w:rPr>
        <w:t xml:space="preserve"> </w:t>
      </w:r>
      <w:r w:rsidR="001B21DA">
        <w:rPr>
          <w:rFonts w:ascii="Georgia" w:hAnsi="Georgia"/>
          <w:sz w:val="24"/>
          <w:szCs w:val="24"/>
        </w:rPr>
        <w:t>in Delmarva South</w:t>
      </w:r>
      <w:r w:rsidR="00A17245">
        <w:rPr>
          <w:rFonts w:ascii="Georgia" w:hAnsi="Georgia"/>
          <w:sz w:val="24"/>
          <w:szCs w:val="24"/>
        </w:rPr>
        <w:t>―</w:t>
      </w:r>
      <w:r w:rsidR="00A17245" w:rsidRPr="00780E08">
        <w:rPr>
          <w:rFonts w:ascii="Georgia" w:hAnsi="Georgia"/>
          <w:sz w:val="24"/>
          <w:szCs w:val="24"/>
        </w:rPr>
        <w:t>600 MW divvied between its coal-fired Indian River and its oil-fueled Vienna facilities</w:t>
      </w:r>
      <w:r w:rsidR="00A17245">
        <w:rPr>
          <w:rFonts w:ascii="Georgia" w:hAnsi="Georgia"/>
          <w:sz w:val="24"/>
          <w:szCs w:val="24"/>
        </w:rPr>
        <w:t>―</w:t>
      </w:r>
      <w:r w:rsidR="00421D3C">
        <w:rPr>
          <w:rFonts w:ascii="Georgia" w:hAnsi="Georgia"/>
          <w:sz w:val="24"/>
          <w:szCs w:val="24"/>
        </w:rPr>
        <w:t xml:space="preserve">should be </w:t>
      </w:r>
      <w:r w:rsidR="00BD56C5">
        <w:rPr>
          <w:rFonts w:ascii="Georgia" w:hAnsi="Georgia"/>
          <w:sz w:val="24"/>
          <w:szCs w:val="24"/>
        </w:rPr>
        <w:t>noted</w:t>
      </w:r>
      <w:r w:rsidR="00A17245">
        <w:rPr>
          <w:rFonts w:ascii="Georgia" w:hAnsi="Georgia"/>
          <w:sz w:val="24"/>
          <w:szCs w:val="24"/>
        </w:rPr>
        <w:t xml:space="preserve"> as part of any </w:t>
      </w:r>
      <w:r w:rsidR="00421D3C">
        <w:rPr>
          <w:rFonts w:ascii="Georgia" w:hAnsi="Georgia"/>
          <w:sz w:val="24"/>
          <w:szCs w:val="24"/>
        </w:rPr>
        <w:t xml:space="preserve">hearing </w:t>
      </w:r>
      <w:r w:rsidR="00BD56C5">
        <w:rPr>
          <w:rFonts w:ascii="Georgia" w:hAnsi="Georgia"/>
          <w:sz w:val="24"/>
          <w:szCs w:val="24"/>
        </w:rPr>
        <w:t>under Section 206</w:t>
      </w:r>
      <w:r w:rsidR="003B597F">
        <w:rPr>
          <w:rFonts w:ascii="Georgia" w:hAnsi="Georgia"/>
          <w:sz w:val="24"/>
          <w:szCs w:val="24"/>
        </w:rPr>
        <w:t>, as</w:t>
      </w:r>
      <w:r w:rsidR="00A7639F">
        <w:rPr>
          <w:rFonts w:ascii="Georgia" w:hAnsi="Georgia"/>
          <w:sz w:val="24"/>
          <w:szCs w:val="24"/>
        </w:rPr>
        <w:t xml:space="preserve"> it</w:t>
      </w:r>
      <w:r w:rsidR="003B597F">
        <w:rPr>
          <w:rFonts w:ascii="Georgia" w:hAnsi="Georgia"/>
          <w:sz w:val="24"/>
          <w:szCs w:val="24"/>
        </w:rPr>
        <w:t xml:space="preserve"> appears to be a pivotal supplier</w:t>
      </w:r>
      <w:r w:rsidR="002C326D" w:rsidRPr="00780E08">
        <w:rPr>
          <w:rFonts w:ascii="Georgia" w:hAnsi="Georgia"/>
          <w:sz w:val="24"/>
          <w:szCs w:val="24"/>
        </w:rPr>
        <w:t>.</w:t>
      </w:r>
    </w:p>
    <w:p w14:paraId="2C748FEC" w14:textId="5EA9762A" w:rsidR="00421D3C" w:rsidRPr="00542B5B" w:rsidRDefault="00421D3C" w:rsidP="00542B5B">
      <w:pPr>
        <w:ind w:left="360"/>
        <w:rPr>
          <w:rFonts w:ascii="Georgia" w:hAnsi="Georgia"/>
          <w:sz w:val="24"/>
          <w:szCs w:val="24"/>
        </w:rPr>
      </w:pPr>
    </w:p>
    <w:p w14:paraId="1B1F61AF" w14:textId="7B149675" w:rsidR="00BE2750" w:rsidRDefault="00E701A8" w:rsidP="00952F4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 xml:space="preserve">PJM’s admission that its capacity auction </w:t>
      </w:r>
      <w:r w:rsidR="003D3D46">
        <w:rPr>
          <w:rFonts w:ascii="Georgia" w:hAnsi="Georgia"/>
          <w:sz w:val="24"/>
          <w:szCs w:val="24"/>
        </w:rPr>
        <w:t xml:space="preserve">produced unjust and unreasonable rates must compel changes to </w:t>
      </w:r>
      <w:r w:rsidR="0093264E">
        <w:rPr>
          <w:rFonts w:ascii="Georgia" w:hAnsi="Georgia"/>
          <w:sz w:val="24"/>
          <w:szCs w:val="24"/>
        </w:rPr>
        <w:t>its</w:t>
      </w:r>
      <w:r w:rsidR="003D3D46">
        <w:rPr>
          <w:rFonts w:ascii="Georgia" w:hAnsi="Georgia"/>
          <w:sz w:val="24"/>
          <w:szCs w:val="24"/>
        </w:rPr>
        <w:t xml:space="preserve"> </w:t>
      </w:r>
      <w:r w:rsidR="004955FB">
        <w:rPr>
          <w:rFonts w:ascii="Georgia" w:hAnsi="Georgia"/>
          <w:sz w:val="24"/>
          <w:szCs w:val="24"/>
        </w:rPr>
        <w:t>tariff requi</w:t>
      </w:r>
      <w:r w:rsidR="0093264E">
        <w:rPr>
          <w:rFonts w:ascii="Georgia" w:hAnsi="Georgia"/>
          <w:sz w:val="24"/>
          <w:szCs w:val="24"/>
        </w:rPr>
        <w:t>ring</w:t>
      </w:r>
      <w:r w:rsidR="004955FB">
        <w:rPr>
          <w:rFonts w:ascii="Georgia" w:hAnsi="Georgia"/>
          <w:sz w:val="24"/>
          <w:szCs w:val="24"/>
        </w:rPr>
        <w:t xml:space="preserve"> future capacity auction results be filed as </w:t>
      </w:r>
      <w:r w:rsidR="0093264E">
        <w:rPr>
          <w:rFonts w:ascii="Georgia" w:hAnsi="Georgia"/>
          <w:sz w:val="24"/>
          <w:szCs w:val="24"/>
        </w:rPr>
        <w:t xml:space="preserve">a </w:t>
      </w:r>
      <w:r w:rsidR="004955FB">
        <w:rPr>
          <w:rFonts w:ascii="Georgia" w:hAnsi="Georgia"/>
          <w:sz w:val="24"/>
          <w:szCs w:val="24"/>
        </w:rPr>
        <w:t xml:space="preserve">stand-alone rate filing under Section 205 of the Federal Power Act. </w:t>
      </w:r>
      <w:r w:rsidR="008D524A">
        <w:rPr>
          <w:rFonts w:ascii="Georgia" w:hAnsi="Georgia"/>
          <w:sz w:val="24"/>
          <w:szCs w:val="24"/>
        </w:rPr>
        <w:t>Prec</w:t>
      </w:r>
      <w:r w:rsidR="00697CC2">
        <w:rPr>
          <w:rFonts w:ascii="Georgia" w:hAnsi="Georgia"/>
          <w:sz w:val="24"/>
          <w:szCs w:val="24"/>
        </w:rPr>
        <w:t>edent exists: t</w:t>
      </w:r>
      <w:r w:rsidR="00B87C9E">
        <w:rPr>
          <w:rFonts w:ascii="Georgia" w:hAnsi="Georgia"/>
          <w:sz w:val="24"/>
          <w:szCs w:val="24"/>
        </w:rPr>
        <w:t>he Commission accepted the requirement that ISO-NE capacity auction results be filed as a stand-alone</w:t>
      </w:r>
      <w:r w:rsidR="00BE2750">
        <w:rPr>
          <w:rFonts w:ascii="Georgia" w:hAnsi="Georgia"/>
          <w:sz w:val="24"/>
          <w:szCs w:val="24"/>
        </w:rPr>
        <w:t xml:space="preserve"> Section 205 rate filing</w:t>
      </w:r>
      <w:r w:rsidR="0001390A">
        <w:rPr>
          <w:rFonts w:ascii="Georgia" w:hAnsi="Georgia"/>
          <w:sz w:val="24"/>
          <w:szCs w:val="24"/>
        </w:rPr>
        <w:t xml:space="preserve"> </w:t>
      </w:r>
      <w:r w:rsidR="006226AC">
        <w:rPr>
          <w:rFonts w:ascii="Georgia" w:hAnsi="Georgia"/>
          <w:sz w:val="24"/>
          <w:szCs w:val="24"/>
        </w:rPr>
        <w:t xml:space="preserve">beginning </w:t>
      </w:r>
      <w:r w:rsidR="0001390A">
        <w:rPr>
          <w:rFonts w:ascii="Georgia" w:hAnsi="Georgia"/>
          <w:sz w:val="24"/>
          <w:szCs w:val="24"/>
        </w:rPr>
        <w:t>in 2007</w:t>
      </w:r>
      <w:r w:rsidR="00BE2750">
        <w:rPr>
          <w:rFonts w:ascii="Georgia" w:hAnsi="Georgia"/>
          <w:sz w:val="24"/>
          <w:szCs w:val="24"/>
        </w:rPr>
        <w:t>.</w:t>
      </w:r>
      <w:r w:rsidR="00BE2750">
        <w:rPr>
          <w:rStyle w:val="FootnoteReference"/>
          <w:rFonts w:ascii="Georgia" w:hAnsi="Georgia"/>
          <w:sz w:val="24"/>
          <w:szCs w:val="24"/>
        </w:rPr>
        <w:footnoteReference w:id="2"/>
      </w:r>
      <w:r w:rsidR="00E953D5">
        <w:rPr>
          <w:rFonts w:ascii="Georgia" w:hAnsi="Georgia"/>
          <w:sz w:val="24"/>
          <w:szCs w:val="24"/>
        </w:rPr>
        <w:t xml:space="preserve"> Amending PJM’s tariff to require capacity auction results to be filed as a Section 205 rate filing </w:t>
      </w:r>
      <w:r w:rsidR="0063536E">
        <w:rPr>
          <w:rFonts w:ascii="Georgia" w:hAnsi="Georgia"/>
          <w:sz w:val="24"/>
          <w:szCs w:val="24"/>
        </w:rPr>
        <w:t xml:space="preserve">will </w:t>
      </w:r>
      <w:r w:rsidR="00E953D5">
        <w:rPr>
          <w:rFonts w:ascii="Georgia" w:hAnsi="Georgia"/>
          <w:sz w:val="24"/>
          <w:szCs w:val="24"/>
        </w:rPr>
        <w:t>ensure that</w:t>
      </w:r>
      <w:r w:rsidR="0016307D">
        <w:rPr>
          <w:rFonts w:ascii="Georgia" w:hAnsi="Georgia"/>
          <w:sz w:val="24"/>
          <w:szCs w:val="24"/>
        </w:rPr>
        <w:t xml:space="preserve"> rates</w:t>
      </w:r>
      <w:r w:rsidR="00E953D5">
        <w:rPr>
          <w:rFonts w:ascii="Georgia" w:hAnsi="Georgia"/>
          <w:sz w:val="24"/>
          <w:szCs w:val="24"/>
        </w:rPr>
        <w:t xml:space="preserve"> cannot</w:t>
      </w:r>
      <w:r w:rsidR="00135424">
        <w:rPr>
          <w:rFonts w:ascii="Georgia" w:hAnsi="Georgia"/>
          <w:sz w:val="24"/>
          <w:szCs w:val="24"/>
        </w:rPr>
        <w:t xml:space="preserve"> go into effect until the they have been noticed for public inspect</w:t>
      </w:r>
      <w:r w:rsidR="00796DBE">
        <w:rPr>
          <w:rFonts w:ascii="Georgia" w:hAnsi="Georgia"/>
          <w:sz w:val="24"/>
          <w:szCs w:val="24"/>
        </w:rPr>
        <w:t>ion</w:t>
      </w:r>
      <w:r w:rsidR="00135424">
        <w:rPr>
          <w:rFonts w:ascii="Georgia" w:hAnsi="Georgia"/>
          <w:sz w:val="24"/>
          <w:szCs w:val="24"/>
        </w:rPr>
        <w:t xml:space="preserve"> </w:t>
      </w:r>
      <w:r w:rsidR="00796DBE">
        <w:rPr>
          <w:rFonts w:ascii="Georgia" w:hAnsi="Georgia"/>
          <w:sz w:val="24"/>
          <w:szCs w:val="24"/>
        </w:rPr>
        <w:t>and opportunity for</w:t>
      </w:r>
      <w:r w:rsidR="00135424">
        <w:rPr>
          <w:rFonts w:ascii="Georgia" w:hAnsi="Georgia"/>
          <w:sz w:val="24"/>
          <w:szCs w:val="24"/>
        </w:rPr>
        <w:t xml:space="preserve"> comment or protest.</w:t>
      </w:r>
      <w:r w:rsidR="00993713">
        <w:rPr>
          <w:rFonts w:ascii="Georgia" w:hAnsi="Georgia"/>
          <w:sz w:val="24"/>
          <w:szCs w:val="24"/>
        </w:rPr>
        <w:t xml:space="preserve"> Section </w:t>
      </w:r>
      <w:r w:rsidR="00993713" w:rsidRPr="00E83D52">
        <w:rPr>
          <w:rFonts w:ascii="Georgia" w:hAnsi="Georgia"/>
          <w:sz w:val="24"/>
          <w:szCs w:val="24"/>
        </w:rPr>
        <w:t>III.13.8.2</w:t>
      </w:r>
      <w:r w:rsidR="00993713">
        <w:rPr>
          <w:rFonts w:ascii="Georgia" w:hAnsi="Georgia"/>
          <w:sz w:val="24"/>
          <w:szCs w:val="24"/>
        </w:rPr>
        <w:t xml:space="preserve"> </w:t>
      </w:r>
      <w:r w:rsidR="005050EC">
        <w:rPr>
          <w:rFonts w:ascii="Georgia" w:hAnsi="Georgia"/>
          <w:sz w:val="24"/>
          <w:szCs w:val="24"/>
        </w:rPr>
        <w:t xml:space="preserve">of the ISO-NE </w:t>
      </w:r>
      <w:r w:rsidR="00403215">
        <w:rPr>
          <w:rFonts w:ascii="Georgia" w:hAnsi="Georgia"/>
          <w:sz w:val="24"/>
          <w:szCs w:val="24"/>
        </w:rPr>
        <w:t>tariff</w:t>
      </w:r>
      <w:r w:rsidR="005050EC">
        <w:rPr>
          <w:rFonts w:ascii="Georgia" w:hAnsi="Georgia"/>
          <w:sz w:val="24"/>
          <w:szCs w:val="24"/>
        </w:rPr>
        <w:t xml:space="preserve"> states: “</w:t>
      </w:r>
      <w:r w:rsidR="005050EC" w:rsidRPr="005050EC">
        <w:rPr>
          <w:rFonts w:ascii="Georgia" w:hAnsi="Georgia"/>
          <w:sz w:val="24"/>
          <w:szCs w:val="24"/>
        </w:rPr>
        <w:t>As soon as practicable after the Forward Capacity Auction is complete, the ISO shall file the</w:t>
      </w:r>
      <w:r w:rsidR="005050EC">
        <w:rPr>
          <w:rFonts w:ascii="Georgia" w:hAnsi="Georgia"/>
          <w:sz w:val="24"/>
          <w:szCs w:val="24"/>
        </w:rPr>
        <w:t xml:space="preserve"> </w:t>
      </w:r>
      <w:r w:rsidR="005050EC" w:rsidRPr="005050EC">
        <w:rPr>
          <w:rFonts w:ascii="Georgia" w:hAnsi="Georgia"/>
          <w:sz w:val="24"/>
          <w:szCs w:val="24"/>
        </w:rPr>
        <w:t>results of that Forward Capacity Auction with the Commission pursuant to Section 205 of the Federal</w:t>
      </w:r>
      <w:r w:rsidR="005050EC">
        <w:rPr>
          <w:rFonts w:ascii="Georgia" w:hAnsi="Georgia"/>
          <w:sz w:val="24"/>
          <w:szCs w:val="24"/>
        </w:rPr>
        <w:t xml:space="preserve"> </w:t>
      </w:r>
      <w:r w:rsidR="005050EC" w:rsidRPr="005050EC">
        <w:rPr>
          <w:rFonts w:ascii="Georgia" w:hAnsi="Georgia"/>
          <w:sz w:val="24"/>
          <w:szCs w:val="24"/>
        </w:rPr>
        <w:t>Power Act</w:t>
      </w:r>
      <w:r w:rsidR="005050EC">
        <w:rPr>
          <w:rFonts w:ascii="Georgia" w:hAnsi="Georgia"/>
          <w:sz w:val="24"/>
          <w:szCs w:val="24"/>
        </w:rPr>
        <w:t xml:space="preserve"> . . . </w:t>
      </w:r>
      <w:r w:rsidR="00664BDD">
        <w:rPr>
          <w:rFonts w:ascii="Georgia" w:hAnsi="Georgia"/>
          <w:sz w:val="24"/>
          <w:szCs w:val="24"/>
        </w:rPr>
        <w:t xml:space="preserve">[and] </w:t>
      </w:r>
      <w:r w:rsidR="00664BDD" w:rsidRPr="00664BDD">
        <w:rPr>
          <w:rFonts w:ascii="Georgia" w:hAnsi="Georgia"/>
          <w:sz w:val="24"/>
          <w:szCs w:val="24"/>
        </w:rPr>
        <w:t>shall also</w:t>
      </w:r>
      <w:r w:rsidR="00243F4D">
        <w:rPr>
          <w:rFonts w:ascii="Georgia" w:hAnsi="Georgia"/>
          <w:sz w:val="24"/>
          <w:szCs w:val="24"/>
        </w:rPr>
        <w:t xml:space="preserve"> </w:t>
      </w:r>
      <w:r w:rsidR="00664BDD" w:rsidRPr="00664BDD">
        <w:rPr>
          <w:rFonts w:ascii="Georgia" w:hAnsi="Georgia"/>
          <w:sz w:val="24"/>
          <w:szCs w:val="24"/>
        </w:rPr>
        <w:t>include documentation regarding the competitiveness of the Forward Capacity Auction</w:t>
      </w:r>
      <w:r w:rsidR="00243F4D">
        <w:rPr>
          <w:rFonts w:ascii="Georgia" w:hAnsi="Georgia"/>
          <w:sz w:val="24"/>
          <w:szCs w:val="24"/>
        </w:rPr>
        <w:t>”.</w:t>
      </w:r>
      <w:r w:rsidR="00243F4D">
        <w:rPr>
          <w:rStyle w:val="FootnoteReference"/>
          <w:rFonts w:ascii="Georgia" w:hAnsi="Georgia"/>
          <w:sz w:val="24"/>
          <w:szCs w:val="24"/>
        </w:rPr>
        <w:footnoteReference w:id="3"/>
      </w:r>
      <w:r w:rsidR="005C4CEC">
        <w:rPr>
          <w:rFonts w:ascii="Georgia" w:hAnsi="Georgia"/>
          <w:sz w:val="24"/>
          <w:szCs w:val="24"/>
        </w:rPr>
        <w:t xml:space="preserve"> </w:t>
      </w:r>
      <w:r w:rsidR="00ED160F">
        <w:rPr>
          <w:rFonts w:ascii="Georgia" w:hAnsi="Georgia"/>
          <w:sz w:val="24"/>
          <w:szCs w:val="24"/>
        </w:rPr>
        <w:t xml:space="preserve">Structuring PJM’s capacity auction results as a stand-alone Section 205 filing will </w:t>
      </w:r>
      <w:r w:rsidR="0066791E">
        <w:rPr>
          <w:rFonts w:ascii="Georgia" w:hAnsi="Georgia"/>
          <w:sz w:val="24"/>
          <w:szCs w:val="24"/>
        </w:rPr>
        <w:t xml:space="preserve">protect consumers from the unjust and unreasonable rates threatened by PJM’s </w:t>
      </w:r>
      <w:r w:rsidR="005B5601">
        <w:rPr>
          <w:rFonts w:ascii="Georgia" w:hAnsi="Georgia"/>
          <w:sz w:val="24"/>
          <w:szCs w:val="24"/>
        </w:rPr>
        <w:t xml:space="preserve">capacity auction </w:t>
      </w:r>
      <w:r w:rsidR="0066791E">
        <w:rPr>
          <w:rFonts w:ascii="Georgia" w:hAnsi="Georgia"/>
          <w:sz w:val="24"/>
          <w:szCs w:val="24"/>
        </w:rPr>
        <w:t>mismanagement.</w:t>
      </w:r>
    </w:p>
    <w:p w14:paraId="150B7817" w14:textId="77777777" w:rsidR="00187B54" w:rsidRDefault="00187B54" w:rsidP="00CA5C14">
      <w:pPr>
        <w:rPr>
          <w:rFonts w:ascii="Georgia" w:hAnsi="Georgia"/>
          <w:sz w:val="24"/>
          <w:szCs w:val="24"/>
        </w:rPr>
      </w:pPr>
    </w:p>
    <w:p w14:paraId="69FC8550" w14:textId="2236F389" w:rsidR="00952F49" w:rsidRDefault="00187B54" w:rsidP="0011290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In Conclusion: </w:t>
      </w:r>
      <w:proofErr w:type="gramStart"/>
      <w:r w:rsidR="00112907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he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403215">
        <w:rPr>
          <w:rFonts w:ascii="Georgia" w:hAnsi="Georgia"/>
          <w:sz w:val="24"/>
          <w:szCs w:val="24"/>
        </w:rPr>
        <w:t>Commission</w:t>
      </w:r>
      <w:r>
        <w:rPr>
          <w:rFonts w:ascii="Georgia" w:hAnsi="Georgia"/>
          <w:sz w:val="24"/>
          <w:szCs w:val="24"/>
        </w:rPr>
        <w:t xml:space="preserve"> must </w:t>
      </w:r>
      <w:r w:rsidRPr="00DF32B7">
        <w:rPr>
          <w:rFonts w:ascii="Georgia" w:hAnsi="Georgia"/>
          <w:sz w:val="24"/>
          <w:szCs w:val="24"/>
        </w:rPr>
        <w:t>set this matter for hearing</w:t>
      </w:r>
      <w:r>
        <w:rPr>
          <w:rFonts w:ascii="Georgia" w:hAnsi="Georgia"/>
          <w:sz w:val="24"/>
          <w:szCs w:val="24"/>
        </w:rPr>
        <w:t xml:space="preserve"> and</w:t>
      </w:r>
      <w:r w:rsidRPr="00DF32B7">
        <w:rPr>
          <w:rFonts w:ascii="Georgia" w:hAnsi="Georgia"/>
          <w:sz w:val="24"/>
          <w:szCs w:val="24"/>
        </w:rPr>
        <w:t xml:space="preserve"> establish a refund effective date</w:t>
      </w:r>
      <w:r>
        <w:rPr>
          <w:rFonts w:ascii="Georgia" w:hAnsi="Georgia"/>
          <w:sz w:val="24"/>
          <w:szCs w:val="24"/>
        </w:rPr>
        <w:t xml:space="preserve">, per </w:t>
      </w:r>
      <w:r w:rsidRPr="004C5524">
        <w:rPr>
          <w:rFonts w:ascii="Georgia" w:hAnsi="Georgia"/>
          <w:sz w:val="24"/>
          <w:szCs w:val="24"/>
        </w:rPr>
        <w:t>16 USC § 824e</w:t>
      </w:r>
      <w:r>
        <w:rPr>
          <w:rFonts w:ascii="Georgia" w:hAnsi="Georgia"/>
          <w:sz w:val="24"/>
          <w:szCs w:val="24"/>
        </w:rPr>
        <w:t xml:space="preserve">; </w:t>
      </w:r>
      <w:r w:rsidR="008451E7">
        <w:rPr>
          <w:rFonts w:ascii="Georgia" w:hAnsi="Georgia"/>
          <w:sz w:val="24"/>
          <w:szCs w:val="24"/>
        </w:rPr>
        <w:t>determine as part of that hearing whether market participants in Delmarva South engaged in intentional capacity withholding</w:t>
      </w:r>
      <w:r w:rsidR="00AB7592">
        <w:rPr>
          <w:rFonts w:ascii="Georgia" w:hAnsi="Georgia"/>
          <w:sz w:val="24"/>
          <w:szCs w:val="24"/>
        </w:rPr>
        <w:t>;</w:t>
      </w:r>
      <w:r w:rsidR="008451E7">
        <w:rPr>
          <w:rFonts w:ascii="Georgia" w:hAnsi="Georgia"/>
          <w:sz w:val="24"/>
          <w:szCs w:val="24"/>
        </w:rPr>
        <w:t xml:space="preserve"> and</w:t>
      </w:r>
      <w:r w:rsidR="00403215">
        <w:rPr>
          <w:rFonts w:ascii="Georgia" w:hAnsi="Georgia"/>
          <w:sz w:val="24"/>
          <w:szCs w:val="24"/>
        </w:rPr>
        <w:t xml:space="preserve"> improve PJM’s tariff </w:t>
      </w:r>
      <w:r w:rsidR="00AB7592">
        <w:rPr>
          <w:rFonts w:ascii="Georgia" w:hAnsi="Georgia"/>
          <w:sz w:val="24"/>
          <w:szCs w:val="24"/>
        </w:rPr>
        <w:t xml:space="preserve">by </w:t>
      </w:r>
      <w:r w:rsidR="00403215">
        <w:rPr>
          <w:rFonts w:ascii="Georgia" w:hAnsi="Georgia"/>
          <w:sz w:val="24"/>
          <w:szCs w:val="24"/>
        </w:rPr>
        <w:t>requir</w:t>
      </w:r>
      <w:r w:rsidR="00EB33D4">
        <w:rPr>
          <w:rFonts w:ascii="Georgia" w:hAnsi="Georgia"/>
          <w:sz w:val="24"/>
          <w:szCs w:val="24"/>
        </w:rPr>
        <w:t>ing</w:t>
      </w:r>
      <w:r w:rsidR="00403215">
        <w:rPr>
          <w:rFonts w:ascii="Georgia" w:hAnsi="Georgia"/>
          <w:sz w:val="24"/>
          <w:szCs w:val="24"/>
        </w:rPr>
        <w:t xml:space="preserve"> capacity auction results to be filed as a stand-alone Section 205 rate filing subject to public notice, inspection and protest.</w:t>
      </w:r>
    </w:p>
    <w:p w14:paraId="38DDBC90" w14:textId="77777777" w:rsidR="00A452D5" w:rsidRDefault="00A452D5" w:rsidP="00664BDD">
      <w:pPr>
        <w:rPr>
          <w:rFonts w:ascii="Georgia" w:hAnsi="Georgia"/>
          <w:sz w:val="24"/>
          <w:szCs w:val="24"/>
        </w:rPr>
      </w:pPr>
    </w:p>
    <w:p w14:paraId="2C3132AE" w14:textId="77777777" w:rsidR="00B969E4" w:rsidRDefault="00B969E4" w:rsidP="00664BDD">
      <w:pPr>
        <w:rPr>
          <w:rFonts w:ascii="Georgia" w:hAnsi="Georgia"/>
          <w:sz w:val="24"/>
          <w:szCs w:val="24"/>
        </w:rPr>
      </w:pPr>
    </w:p>
    <w:p w14:paraId="36E61D40" w14:textId="57B412D9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73B4AF78" w14:textId="77777777" w:rsidR="00952F49" w:rsidRDefault="00952F49" w:rsidP="00664BDD">
      <w:pPr>
        <w:rPr>
          <w:rFonts w:ascii="Georgia" w:hAnsi="Georgia"/>
          <w:sz w:val="24"/>
          <w:szCs w:val="24"/>
        </w:rPr>
      </w:pPr>
    </w:p>
    <w:p w14:paraId="5E7F9144" w14:textId="43BD6A8A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0C929093" w14:textId="6DC93017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6D26516B" w14:textId="4C956AD9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3DFCAE96" w14:textId="73C33BAD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4AA976EF" w14:textId="58F36608" w:rsid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2863A3D6" w14:textId="43121844" w:rsidR="00952F49" w:rsidRPr="00952F49" w:rsidRDefault="00952F49" w:rsidP="00664B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8" w:history="1">
        <w:r w:rsidRPr="00952F49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</w:p>
    <w:p w14:paraId="75C8BE79" w14:textId="77777777" w:rsidR="00952F49" w:rsidRDefault="00952F49" w:rsidP="00664BDD">
      <w:pPr>
        <w:rPr>
          <w:rFonts w:ascii="Georgia" w:hAnsi="Georgia"/>
          <w:sz w:val="24"/>
          <w:szCs w:val="24"/>
        </w:rPr>
      </w:pPr>
    </w:p>
    <w:p w14:paraId="574A0CD2" w14:textId="77777777" w:rsidR="00A452D5" w:rsidRDefault="00A452D5" w:rsidP="00664BDD">
      <w:pPr>
        <w:rPr>
          <w:rFonts w:ascii="Georgia" w:hAnsi="Georgia"/>
          <w:sz w:val="24"/>
          <w:szCs w:val="24"/>
        </w:rPr>
      </w:pPr>
    </w:p>
    <w:p w14:paraId="308F0C44" w14:textId="432289FF" w:rsidR="00E83D52" w:rsidRPr="00581B55" w:rsidRDefault="00952F49" w:rsidP="00165B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January 19, 2023</w:t>
      </w:r>
    </w:p>
    <w:sectPr w:rsidR="00E83D52" w:rsidRPr="00581B55" w:rsidSect="009B191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FEF" w14:textId="77777777" w:rsidR="001021DC" w:rsidRDefault="001021DC" w:rsidP="00BE2750">
      <w:r>
        <w:separator/>
      </w:r>
    </w:p>
  </w:endnote>
  <w:endnote w:type="continuationSeparator" w:id="0">
    <w:p w14:paraId="07145428" w14:textId="77777777" w:rsidR="001021DC" w:rsidRDefault="001021DC" w:rsidP="00BE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90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4A29E" w14:textId="330EBB4E" w:rsidR="009B191C" w:rsidRDefault="009B19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356082" w14:textId="77777777" w:rsidR="009B191C" w:rsidRDefault="009B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774F" w14:textId="77777777" w:rsidR="001021DC" w:rsidRDefault="001021DC" w:rsidP="00BE2750">
      <w:r>
        <w:separator/>
      </w:r>
    </w:p>
  </w:footnote>
  <w:footnote w:type="continuationSeparator" w:id="0">
    <w:p w14:paraId="65D3B540" w14:textId="77777777" w:rsidR="001021DC" w:rsidRDefault="001021DC" w:rsidP="00BE2750">
      <w:r>
        <w:continuationSeparator/>
      </w:r>
    </w:p>
  </w:footnote>
  <w:footnote w:id="1">
    <w:p w14:paraId="497F92DD" w14:textId="73596CCA" w:rsidR="00EA27DF" w:rsidRDefault="00EA27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27DF">
        <w:rPr>
          <w:rFonts w:ascii="Georgia" w:hAnsi="Georgia"/>
          <w:sz w:val="18"/>
          <w:szCs w:val="18"/>
        </w:rPr>
        <w:t>At page 1 of the filing under Section 206 (EL23-19), and at page 2 of the Section 205 proceeding (ER23-729).</w:t>
      </w:r>
    </w:p>
  </w:footnote>
  <w:footnote w:id="2">
    <w:p w14:paraId="6FD798A3" w14:textId="2BAB288B" w:rsidR="00BE2750" w:rsidRDefault="00BE27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5B75" w:rsidRPr="00BC1914">
        <w:rPr>
          <w:rFonts w:ascii="Georgia" w:hAnsi="Georgia"/>
        </w:rPr>
        <w:t xml:space="preserve">June 6, </w:t>
      </w:r>
      <w:proofErr w:type="gramStart"/>
      <w:r w:rsidR="00AC5B75" w:rsidRPr="00BC1914">
        <w:rPr>
          <w:rFonts w:ascii="Georgia" w:hAnsi="Georgia"/>
        </w:rPr>
        <w:t>2007</w:t>
      </w:r>
      <w:proofErr w:type="gramEnd"/>
      <w:r w:rsidR="00AC5B75" w:rsidRPr="00BC1914">
        <w:rPr>
          <w:rFonts w:ascii="Georgia" w:hAnsi="Georgia"/>
        </w:rPr>
        <w:t xml:space="preserve"> </w:t>
      </w:r>
      <w:r w:rsidR="00AC5B75" w:rsidRPr="00BC1914">
        <w:rPr>
          <w:rFonts w:ascii="Georgia" w:hAnsi="Georgia"/>
          <w:i/>
          <w:iCs/>
        </w:rPr>
        <w:t>Order Accepting Market Rules</w:t>
      </w:r>
      <w:r w:rsidR="00AC5B75" w:rsidRPr="00BC1914">
        <w:rPr>
          <w:rFonts w:ascii="Georgia" w:hAnsi="Georgia"/>
        </w:rPr>
        <w:t>, Docket No. ER07-547, https://elibrary.ferc.gov/eLibrary/filedownload?fileid=01CFD702-66E2-5005-8110-C31FAFC91712</w:t>
      </w:r>
    </w:p>
  </w:footnote>
  <w:footnote w:id="3">
    <w:p w14:paraId="649188BE" w14:textId="6498EE7C" w:rsidR="00243F4D" w:rsidRDefault="00243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3F4D">
        <w:rPr>
          <w:rFonts w:ascii="Georgia" w:hAnsi="Georgia"/>
        </w:rPr>
        <w:t>www.iso-ne.com/regulatory/tariff/sect_3/mr1_sec_13-14.pdf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705"/>
    <w:multiLevelType w:val="hybridMultilevel"/>
    <w:tmpl w:val="923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5"/>
    <w:rsid w:val="0001390A"/>
    <w:rsid w:val="00015F27"/>
    <w:rsid w:val="000403D3"/>
    <w:rsid w:val="000445B6"/>
    <w:rsid w:val="00045199"/>
    <w:rsid w:val="000729D5"/>
    <w:rsid w:val="0009299F"/>
    <w:rsid w:val="000B2B93"/>
    <w:rsid w:val="000C4281"/>
    <w:rsid w:val="000D0055"/>
    <w:rsid w:val="000F4965"/>
    <w:rsid w:val="001021DC"/>
    <w:rsid w:val="00104D5D"/>
    <w:rsid w:val="00112907"/>
    <w:rsid w:val="001319B2"/>
    <w:rsid w:val="00135424"/>
    <w:rsid w:val="00147962"/>
    <w:rsid w:val="0016307D"/>
    <w:rsid w:val="00165B49"/>
    <w:rsid w:val="00173535"/>
    <w:rsid w:val="001866C9"/>
    <w:rsid w:val="00187B54"/>
    <w:rsid w:val="001A2495"/>
    <w:rsid w:val="001B21DA"/>
    <w:rsid w:val="001B2255"/>
    <w:rsid w:val="001D24F0"/>
    <w:rsid w:val="001D6003"/>
    <w:rsid w:val="001E0AA5"/>
    <w:rsid w:val="00243F4D"/>
    <w:rsid w:val="002A5DAD"/>
    <w:rsid w:val="002A6F3F"/>
    <w:rsid w:val="002B6614"/>
    <w:rsid w:val="002C326D"/>
    <w:rsid w:val="002D1E6C"/>
    <w:rsid w:val="002E23ED"/>
    <w:rsid w:val="003121D4"/>
    <w:rsid w:val="00327CF1"/>
    <w:rsid w:val="003306CE"/>
    <w:rsid w:val="00376C55"/>
    <w:rsid w:val="003817E0"/>
    <w:rsid w:val="00391631"/>
    <w:rsid w:val="003A1201"/>
    <w:rsid w:val="003B391B"/>
    <w:rsid w:val="003B597F"/>
    <w:rsid w:val="003C2D0F"/>
    <w:rsid w:val="003D3D46"/>
    <w:rsid w:val="00402706"/>
    <w:rsid w:val="00403215"/>
    <w:rsid w:val="00403CA3"/>
    <w:rsid w:val="004076F2"/>
    <w:rsid w:val="00421D3C"/>
    <w:rsid w:val="0044089C"/>
    <w:rsid w:val="00441660"/>
    <w:rsid w:val="0044489B"/>
    <w:rsid w:val="0044776D"/>
    <w:rsid w:val="00492655"/>
    <w:rsid w:val="004955FB"/>
    <w:rsid w:val="004C5524"/>
    <w:rsid w:val="004F360D"/>
    <w:rsid w:val="005050EC"/>
    <w:rsid w:val="00514565"/>
    <w:rsid w:val="00536EFC"/>
    <w:rsid w:val="00542B5B"/>
    <w:rsid w:val="00552A98"/>
    <w:rsid w:val="00560596"/>
    <w:rsid w:val="00572710"/>
    <w:rsid w:val="00572E07"/>
    <w:rsid w:val="00576585"/>
    <w:rsid w:val="00581B55"/>
    <w:rsid w:val="00584B21"/>
    <w:rsid w:val="0059474F"/>
    <w:rsid w:val="005B5601"/>
    <w:rsid w:val="005B5C14"/>
    <w:rsid w:val="005C19E8"/>
    <w:rsid w:val="005C4CEC"/>
    <w:rsid w:val="005D32F3"/>
    <w:rsid w:val="005D514A"/>
    <w:rsid w:val="005E4FCF"/>
    <w:rsid w:val="006178F3"/>
    <w:rsid w:val="006226AC"/>
    <w:rsid w:val="006230F1"/>
    <w:rsid w:val="00627D7C"/>
    <w:rsid w:val="0063536E"/>
    <w:rsid w:val="006443BB"/>
    <w:rsid w:val="006563BE"/>
    <w:rsid w:val="00664BDD"/>
    <w:rsid w:val="0066791E"/>
    <w:rsid w:val="00680558"/>
    <w:rsid w:val="00683BA3"/>
    <w:rsid w:val="0068748C"/>
    <w:rsid w:val="00697CC2"/>
    <w:rsid w:val="006D3527"/>
    <w:rsid w:val="006F3579"/>
    <w:rsid w:val="006F63EB"/>
    <w:rsid w:val="00703BF6"/>
    <w:rsid w:val="0070666E"/>
    <w:rsid w:val="00706C36"/>
    <w:rsid w:val="007253E9"/>
    <w:rsid w:val="00754733"/>
    <w:rsid w:val="00762352"/>
    <w:rsid w:val="00763558"/>
    <w:rsid w:val="00764E42"/>
    <w:rsid w:val="00780E08"/>
    <w:rsid w:val="0078477A"/>
    <w:rsid w:val="00796DBE"/>
    <w:rsid w:val="007A6A30"/>
    <w:rsid w:val="007E425F"/>
    <w:rsid w:val="007F32D0"/>
    <w:rsid w:val="00800789"/>
    <w:rsid w:val="00805AA8"/>
    <w:rsid w:val="00811344"/>
    <w:rsid w:val="00837286"/>
    <w:rsid w:val="00840634"/>
    <w:rsid w:val="00843FB7"/>
    <w:rsid w:val="008451E7"/>
    <w:rsid w:val="00856544"/>
    <w:rsid w:val="008A16F9"/>
    <w:rsid w:val="008D524A"/>
    <w:rsid w:val="008E0382"/>
    <w:rsid w:val="008E1504"/>
    <w:rsid w:val="0093264E"/>
    <w:rsid w:val="00952F49"/>
    <w:rsid w:val="0097032D"/>
    <w:rsid w:val="009732E5"/>
    <w:rsid w:val="00993713"/>
    <w:rsid w:val="009A1065"/>
    <w:rsid w:val="009A2C2E"/>
    <w:rsid w:val="009B07A3"/>
    <w:rsid w:val="009B191C"/>
    <w:rsid w:val="009C77A4"/>
    <w:rsid w:val="009E3E82"/>
    <w:rsid w:val="00A17245"/>
    <w:rsid w:val="00A24D91"/>
    <w:rsid w:val="00A37294"/>
    <w:rsid w:val="00A452D5"/>
    <w:rsid w:val="00A67384"/>
    <w:rsid w:val="00A7023C"/>
    <w:rsid w:val="00A705EB"/>
    <w:rsid w:val="00A7639F"/>
    <w:rsid w:val="00AB7592"/>
    <w:rsid w:val="00AC5B75"/>
    <w:rsid w:val="00AD0635"/>
    <w:rsid w:val="00B01478"/>
    <w:rsid w:val="00B23192"/>
    <w:rsid w:val="00B46630"/>
    <w:rsid w:val="00B63E00"/>
    <w:rsid w:val="00B65FC2"/>
    <w:rsid w:val="00B857A5"/>
    <w:rsid w:val="00B85F08"/>
    <w:rsid w:val="00B86FC1"/>
    <w:rsid w:val="00B87C9E"/>
    <w:rsid w:val="00B969E4"/>
    <w:rsid w:val="00BA5737"/>
    <w:rsid w:val="00BC1914"/>
    <w:rsid w:val="00BD246B"/>
    <w:rsid w:val="00BD56C5"/>
    <w:rsid w:val="00BE2750"/>
    <w:rsid w:val="00BF2786"/>
    <w:rsid w:val="00C3301C"/>
    <w:rsid w:val="00C33B0D"/>
    <w:rsid w:val="00C37DB2"/>
    <w:rsid w:val="00CA0FE5"/>
    <w:rsid w:val="00CA5249"/>
    <w:rsid w:val="00CA5C14"/>
    <w:rsid w:val="00CA5D62"/>
    <w:rsid w:val="00CC0DFC"/>
    <w:rsid w:val="00CC4458"/>
    <w:rsid w:val="00CE601B"/>
    <w:rsid w:val="00D42BEB"/>
    <w:rsid w:val="00D91C02"/>
    <w:rsid w:val="00DA57D0"/>
    <w:rsid w:val="00DD6A44"/>
    <w:rsid w:val="00DF270B"/>
    <w:rsid w:val="00DF32B7"/>
    <w:rsid w:val="00E03161"/>
    <w:rsid w:val="00E24C66"/>
    <w:rsid w:val="00E267EE"/>
    <w:rsid w:val="00E60A76"/>
    <w:rsid w:val="00E64E2E"/>
    <w:rsid w:val="00E701A8"/>
    <w:rsid w:val="00E7265C"/>
    <w:rsid w:val="00E821BA"/>
    <w:rsid w:val="00E83D52"/>
    <w:rsid w:val="00E953D5"/>
    <w:rsid w:val="00EA27DF"/>
    <w:rsid w:val="00EB0BC5"/>
    <w:rsid w:val="00EB33D4"/>
    <w:rsid w:val="00ED160F"/>
    <w:rsid w:val="00EF645B"/>
    <w:rsid w:val="00EF77C2"/>
    <w:rsid w:val="00F32E0F"/>
    <w:rsid w:val="00F5692B"/>
    <w:rsid w:val="00F70B4D"/>
    <w:rsid w:val="00F92F9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EAC8"/>
  <w15:chartTrackingRefBased/>
  <w15:docId w15:val="{2AD362C8-8996-44A5-83B4-6B309DF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4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7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1C"/>
  </w:style>
  <w:style w:type="paragraph" w:styleId="Footer">
    <w:name w:val="footer"/>
    <w:basedOn w:val="Normal"/>
    <w:link w:val="FooterChar"/>
    <w:uiPriority w:val="99"/>
    <w:unhideWhenUsed/>
    <w:rsid w:val="009B1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locum@citiz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7335-124F-446B-9D5D-0B8BE9E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184</cp:revision>
  <dcterms:created xsi:type="dcterms:W3CDTF">2023-01-18T00:13:00Z</dcterms:created>
  <dcterms:modified xsi:type="dcterms:W3CDTF">2023-01-19T12:07:00Z</dcterms:modified>
</cp:coreProperties>
</file>