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D63A9" w14:textId="77777777" w:rsidR="00E460CB" w:rsidRPr="008112F0" w:rsidRDefault="00E460CB" w:rsidP="00E460CB">
      <w:pPr>
        <w:jc w:val="center"/>
        <w:rPr>
          <w:rFonts w:ascii="Georgia" w:hAnsi="Georgia"/>
          <w:sz w:val="24"/>
          <w:szCs w:val="24"/>
        </w:rPr>
      </w:pPr>
      <w:r w:rsidRPr="008112F0">
        <w:rPr>
          <w:rFonts w:ascii="Georgia" w:hAnsi="Georgia"/>
          <w:sz w:val="24"/>
          <w:szCs w:val="24"/>
        </w:rPr>
        <w:t>UNITED STATES OF AMERICA</w:t>
      </w:r>
    </w:p>
    <w:p w14:paraId="0664FF99" w14:textId="77777777" w:rsidR="00E460CB" w:rsidRPr="008112F0" w:rsidRDefault="00E460CB" w:rsidP="00E460CB">
      <w:pPr>
        <w:jc w:val="center"/>
        <w:rPr>
          <w:rFonts w:ascii="Georgia" w:hAnsi="Georgia"/>
          <w:sz w:val="24"/>
          <w:szCs w:val="24"/>
        </w:rPr>
      </w:pPr>
      <w:r w:rsidRPr="008112F0">
        <w:rPr>
          <w:rFonts w:ascii="Georgia" w:hAnsi="Georgia"/>
          <w:sz w:val="24"/>
          <w:szCs w:val="24"/>
        </w:rPr>
        <w:t>BEFORE THE</w:t>
      </w:r>
    </w:p>
    <w:p w14:paraId="6BAE42B5" w14:textId="77777777" w:rsidR="00E460CB" w:rsidRDefault="00E460CB" w:rsidP="00E460CB">
      <w:pPr>
        <w:jc w:val="center"/>
        <w:rPr>
          <w:rFonts w:ascii="Georgia" w:hAnsi="Georgia"/>
          <w:sz w:val="24"/>
          <w:szCs w:val="24"/>
        </w:rPr>
      </w:pPr>
      <w:r w:rsidRPr="008112F0">
        <w:rPr>
          <w:rFonts w:ascii="Georgia" w:hAnsi="Georgia"/>
          <w:sz w:val="24"/>
          <w:szCs w:val="24"/>
        </w:rPr>
        <w:t>FEDERAL ENERGY REGULATORY COMMISSION</w:t>
      </w:r>
    </w:p>
    <w:p w14:paraId="5B249D9E" w14:textId="77777777" w:rsidR="00E460CB" w:rsidRPr="008112F0" w:rsidRDefault="00E460CB" w:rsidP="00E460CB">
      <w:pPr>
        <w:rPr>
          <w:rFonts w:ascii="Georgia" w:hAnsi="Georgia"/>
          <w:sz w:val="24"/>
          <w:szCs w:val="24"/>
        </w:rPr>
      </w:pPr>
    </w:p>
    <w:p w14:paraId="210CC34E" w14:textId="27261ACD" w:rsidR="00E460CB" w:rsidRPr="008112F0" w:rsidRDefault="00E460CB" w:rsidP="00E460CB">
      <w:pPr>
        <w:rPr>
          <w:rFonts w:ascii="Georgia" w:hAnsi="Georgia"/>
          <w:sz w:val="24"/>
          <w:szCs w:val="24"/>
        </w:rPr>
      </w:pPr>
      <w:proofErr w:type="spellStart"/>
      <w:r w:rsidRPr="008112F0">
        <w:rPr>
          <w:rFonts w:ascii="Georgia" w:hAnsi="Georgia"/>
          <w:sz w:val="24"/>
          <w:szCs w:val="24"/>
        </w:rPr>
        <w:t>Nopetro</w:t>
      </w:r>
      <w:proofErr w:type="spellEnd"/>
      <w:r w:rsidRPr="008112F0">
        <w:rPr>
          <w:rFonts w:ascii="Georgia" w:hAnsi="Georgia"/>
          <w:sz w:val="24"/>
          <w:szCs w:val="24"/>
        </w:rPr>
        <w:t xml:space="preserve"> LNG, LLC</w:t>
      </w:r>
      <w:r w:rsidRPr="008112F0">
        <w:rPr>
          <w:rFonts w:ascii="Georgia" w:hAnsi="Georgia"/>
          <w:sz w:val="24"/>
          <w:szCs w:val="24"/>
        </w:rPr>
        <w:tab/>
      </w:r>
      <w:r w:rsidRPr="008112F0">
        <w:rPr>
          <w:rFonts w:ascii="Georgia" w:hAnsi="Georgia"/>
          <w:sz w:val="24"/>
          <w:szCs w:val="24"/>
        </w:rPr>
        <w:tab/>
      </w:r>
      <w:r w:rsidRPr="008112F0">
        <w:rPr>
          <w:rFonts w:ascii="Georgia" w:hAnsi="Georgia"/>
          <w:sz w:val="24"/>
          <w:szCs w:val="24"/>
        </w:rPr>
        <w:tab/>
        <w:t xml:space="preserve">               </w:t>
      </w:r>
      <w:r w:rsidRPr="008112F0">
        <w:rPr>
          <w:rFonts w:ascii="Georgia" w:hAnsi="Georgia"/>
          <w:sz w:val="24"/>
          <w:szCs w:val="24"/>
        </w:rPr>
        <w:tab/>
        <w:t xml:space="preserve">                    </w:t>
      </w:r>
      <w:r>
        <w:rPr>
          <w:rFonts w:ascii="Georgia" w:hAnsi="Georgia"/>
          <w:sz w:val="24"/>
          <w:szCs w:val="24"/>
        </w:rPr>
        <w:tab/>
      </w:r>
      <w:r w:rsidRPr="008112F0">
        <w:rPr>
          <w:rFonts w:ascii="Georgia" w:hAnsi="Georgia"/>
          <w:sz w:val="24"/>
          <w:szCs w:val="24"/>
        </w:rPr>
        <w:t>Docket No. CP21-179</w:t>
      </w:r>
    </w:p>
    <w:p w14:paraId="01AD4694" w14:textId="77777777" w:rsidR="00E460CB" w:rsidRDefault="00E460CB" w:rsidP="00E460CB">
      <w:pPr>
        <w:jc w:val="center"/>
        <w:rPr>
          <w:rFonts w:ascii="Georgia" w:hAnsi="Georgia"/>
          <w:b/>
          <w:bCs/>
          <w:sz w:val="24"/>
          <w:szCs w:val="24"/>
        </w:rPr>
      </w:pPr>
    </w:p>
    <w:p w14:paraId="310931C3" w14:textId="2655F09B" w:rsidR="006443BB" w:rsidRDefault="008C56AD" w:rsidP="008C56AD">
      <w:pPr>
        <w:jc w:val="center"/>
        <w:rPr>
          <w:rFonts w:ascii="Georgia" w:hAnsi="Georgia"/>
          <w:b/>
          <w:bCs/>
          <w:sz w:val="24"/>
          <w:szCs w:val="24"/>
        </w:rPr>
      </w:pPr>
      <w:r w:rsidRPr="008C56AD">
        <w:rPr>
          <w:rFonts w:ascii="Georgia" w:hAnsi="Georgia"/>
          <w:b/>
          <w:bCs/>
          <w:sz w:val="24"/>
          <w:szCs w:val="24"/>
        </w:rPr>
        <w:t>Request for Rehearing of Public Citizen, Inc.</w:t>
      </w:r>
    </w:p>
    <w:p w14:paraId="49FC2D25" w14:textId="6A5CBF2D" w:rsidR="008C56AD" w:rsidRDefault="008C56AD" w:rsidP="008C56AD">
      <w:pPr>
        <w:jc w:val="center"/>
        <w:rPr>
          <w:rFonts w:ascii="Georgia" w:hAnsi="Georgia"/>
          <w:b/>
          <w:bCs/>
          <w:sz w:val="24"/>
          <w:szCs w:val="24"/>
        </w:rPr>
      </w:pPr>
    </w:p>
    <w:p w14:paraId="3A31E5E8" w14:textId="3D9B5879" w:rsidR="00A45DF4" w:rsidRDefault="00247621" w:rsidP="00AF67C4">
      <w:pPr>
        <w:spacing w:line="360" w:lineRule="auto"/>
        <w:ind w:firstLine="720"/>
        <w:rPr>
          <w:rFonts w:ascii="Georgia" w:hAnsi="Georgia"/>
          <w:sz w:val="24"/>
          <w:szCs w:val="24"/>
        </w:rPr>
      </w:pPr>
      <w:r w:rsidRPr="00247621">
        <w:rPr>
          <w:rFonts w:ascii="Georgia" w:hAnsi="Georgia"/>
          <w:sz w:val="24"/>
          <w:szCs w:val="24"/>
        </w:rPr>
        <w:t>Public Citizen, Inc.</w:t>
      </w:r>
      <w:r>
        <w:rPr>
          <w:rFonts w:ascii="Georgia" w:hAnsi="Georgia"/>
          <w:sz w:val="24"/>
          <w:szCs w:val="24"/>
        </w:rPr>
        <w:t xml:space="preserve"> </w:t>
      </w:r>
      <w:r w:rsidRPr="00247621">
        <w:rPr>
          <w:rFonts w:ascii="Georgia" w:hAnsi="Georgia"/>
          <w:sz w:val="24"/>
          <w:szCs w:val="24"/>
        </w:rPr>
        <w:t xml:space="preserve">requests rehearing of the Commission’s </w:t>
      </w:r>
      <w:r w:rsidR="00D714ED" w:rsidRPr="00D714ED">
        <w:rPr>
          <w:rFonts w:ascii="Georgia" w:hAnsi="Georgia"/>
          <w:sz w:val="24"/>
          <w:szCs w:val="24"/>
        </w:rPr>
        <w:t>March 25, 2022</w:t>
      </w:r>
      <w:r w:rsidRPr="00247621">
        <w:rPr>
          <w:rFonts w:ascii="Georgia" w:hAnsi="Georgia"/>
          <w:sz w:val="24"/>
          <w:szCs w:val="24"/>
        </w:rPr>
        <w:t xml:space="preserve"> Order </w:t>
      </w:r>
      <w:r w:rsidR="00F15174">
        <w:rPr>
          <w:rFonts w:ascii="Georgia" w:hAnsi="Georgia"/>
          <w:sz w:val="24"/>
          <w:szCs w:val="24"/>
        </w:rPr>
        <w:t xml:space="preserve">granting </w:t>
      </w:r>
      <w:proofErr w:type="spellStart"/>
      <w:r w:rsidR="00F15174">
        <w:rPr>
          <w:rFonts w:ascii="Georgia" w:hAnsi="Georgia"/>
          <w:sz w:val="24"/>
          <w:szCs w:val="24"/>
        </w:rPr>
        <w:t>Nopetro</w:t>
      </w:r>
      <w:proofErr w:type="spellEnd"/>
      <w:r w:rsidR="00F15174">
        <w:rPr>
          <w:rFonts w:ascii="Georgia" w:hAnsi="Georgia"/>
          <w:sz w:val="24"/>
          <w:szCs w:val="24"/>
        </w:rPr>
        <w:t xml:space="preserve"> LNG’s Petition for Declaratory Order</w:t>
      </w:r>
      <w:r w:rsidR="003C1899">
        <w:rPr>
          <w:rFonts w:ascii="Georgia" w:hAnsi="Georgia"/>
          <w:sz w:val="24"/>
          <w:szCs w:val="24"/>
        </w:rPr>
        <w:t xml:space="preserve"> that its proposed </w:t>
      </w:r>
      <w:r w:rsidR="00551646">
        <w:rPr>
          <w:rFonts w:ascii="Georgia" w:hAnsi="Georgia"/>
          <w:sz w:val="24"/>
          <w:szCs w:val="24"/>
        </w:rPr>
        <w:t>liquef</w:t>
      </w:r>
      <w:r w:rsidR="003C1899">
        <w:rPr>
          <w:rFonts w:ascii="Georgia" w:hAnsi="Georgia"/>
          <w:sz w:val="24"/>
          <w:szCs w:val="24"/>
        </w:rPr>
        <w:t>ied natural gas</w:t>
      </w:r>
      <w:r w:rsidR="003B58EB">
        <w:rPr>
          <w:rFonts w:ascii="Georgia" w:hAnsi="Georgia"/>
          <w:sz w:val="24"/>
          <w:szCs w:val="24"/>
        </w:rPr>
        <w:t xml:space="preserve"> export facility is not subject to the Commission’s jurisdiction.</w:t>
      </w:r>
      <w:r w:rsidR="009C7DDA">
        <w:rPr>
          <w:rFonts w:ascii="Georgia" w:hAnsi="Georgia"/>
          <w:sz w:val="24"/>
          <w:szCs w:val="24"/>
        </w:rPr>
        <w:t xml:space="preserve"> </w:t>
      </w:r>
      <w:r w:rsidR="003A08C9">
        <w:rPr>
          <w:rFonts w:ascii="Georgia" w:hAnsi="Georgia"/>
          <w:sz w:val="24"/>
          <w:szCs w:val="24"/>
        </w:rPr>
        <w:t>The Commission’s Order committed two errors. F</w:t>
      </w:r>
      <w:r w:rsidR="005504D3">
        <w:rPr>
          <w:rFonts w:ascii="Georgia" w:hAnsi="Georgia"/>
          <w:sz w:val="24"/>
          <w:szCs w:val="24"/>
        </w:rPr>
        <w:t>irst</w:t>
      </w:r>
      <w:r w:rsidR="003A08C9">
        <w:rPr>
          <w:rFonts w:ascii="Georgia" w:hAnsi="Georgia"/>
          <w:sz w:val="24"/>
          <w:szCs w:val="24"/>
        </w:rPr>
        <w:t>, t</w:t>
      </w:r>
      <w:r w:rsidR="00A354CD">
        <w:rPr>
          <w:rFonts w:ascii="Georgia" w:hAnsi="Georgia"/>
          <w:sz w:val="24"/>
          <w:szCs w:val="24"/>
        </w:rPr>
        <w:t>he plain language of the Natural Gas Act</w:t>
      </w:r>
      <w:r w:rsidR="00506FBA">
        <w:rPr>
          <w:rFonts w:ascii="Georgia" w:hAnsi="Georgia"/>
          <w:sz w:val="24"/>
          <w:szCs w:val="24"/>
        </w:rPr>
        <w:t xml:space="preserve">, </w:t>
      </w:r>
      <w:r w:rsidR="00A354CD">
        <w:rPr>
          <w:rFonts w:ascii="Georgia" w:hAnsi="Georgia"/>
          <w:sz w:val="24"/>
          <w:szCs w:val="24"/>
        </w:rPr>
        <w:t>its legislative history</w:t>
      </w:r>
      <w:r w:rsidR="00506FBA">
        <w:rPr>
          <w:rFonts w:ascii="Georgia" w:hAnsi="Georgia"/>
          <w:sz w:val="24"/>
          <w:szCs w:val="24"/>
        </w:rPr>
        <w:t xml:space="preserve"> and even the Commission’s </w:t>
      </w:r>
      <w:r w:rsidR="00761A7D">
        <w:rPr>
          <w:rFonts w:ascii="Georgia" w:hAnsi="Georgia"/>
          <w:sz w:val="24"/>
          <w:szCs w:val="24"/>
        </w:rPr>
        <w:t>three-pronged test</w:t>
      </w:r>
      <w:r w:rsidR="00A354CD">
        <w:rPr>
          <w:rFonts w:ascii="Georgia" w:hAnsi="Georgia"/>
          <w:sz w:val="24"/>
          <w:szCs w:val="24"/>
        </w:rPr>
        <w:t xml:space="preserve"> provide the Commission </w:t>
      </w:r>
      <w:r w:rsidR="001E6567">
        <w:rPr>
          <w:rFonts w:ascii="Georgia" w:hAnsi="Georgia"/>
          <w:sz w:val="24"/>
          <w:szCs w:val="24"/>
        </w:rPr>
        <w:t xml:space="preserve">no discretion </w:t>
      </w:r>
      <w:r w:rsidR="00A354CD">
        <w:rPr>
          <w:rFonts w:ascii="Georgia" w:hAnsi="Georgia"/>
          <w:sz w:val="24"/>
          <w:szCs w:val="24"/>
        </w:rPr>
        <w:t xml:space="preserve">to </w:t>
      </w:r>
      <w:r w:rsidR="00C931E3">
        <w:rPr>
          <w:rFonts w:ascii="Georgia" w:hAnsi="Georgia"/>
          <w:sz w:val="24"/>
          <w:szCs w:val="24"/>
        </w:rPr>
        <w:t xml:space="preserve">decline oversight of </w:t>
      </w:r>
      <w:proofErr w:type="spellStart"/>
      <w:r w:rsidR="00C931E3">
        <w:rPr>
          <w:rFonts w:ascii="Georgia" w:hAnsi="Georgia"/>
          <w:sz w:val="24"/>
          <w:szCs w:val="24"/>
        </w:rPr>
        <w:t>Nopetro’s</w:t>
      </w:r>
      <w:proofErr w:type="spellEnd"/>
      <w:r w:rsidR="00C931E3">
        <w:rPr>
          <w:rFonts w:ascii="Georgia" w:hAnsi="Georgia"/>
          <w:sz w:val="24"/>
          <w:szCs w:val="24"/>
        </w:rPr>
        <w:t xml:space="preserve"> proposed natural gas export facility.</w:t>
      </w:r>
      <w:r w:rsidR="00FB1413">
        <w:rPr>
          <w:rFonts w:ascii="Georgia" w:hAnsi="Georgia"/>
          <w:sz w:val="24"/>
          <w:szCs w:val="24"/>
        </w:rPr>
        <w:t xml:space="preserve"> </w:t>
      </w:r>
      <w:r w:rsidR="009F7046">
        <w:rPr>
          <w:rFonts w:ascii="Georgia" w:hAnsi="Georgia"/>
          <w:sz w:val="24"/>
          <w:szCs w:val="24"/>
        </w:rPr>
        <w:t xml:space="preserve">Congress </w:t>
      </w:r>
      <w:r w:rsidR="001E6567">
        <w:rPr>
          <w:rFonts w:ascii="Georgia" w:hAnsi="Georgia"/>
          <w:sz w:val="24"/>
          <w:szCs w:val="24"/>
        </w:rPr>
        <w:t xml:space="preserve">has </w:t>
      </w:r>
      <w:r w:rsidR="009F7046">
        <w:rPr>
          <w:rFonts w:ascii="Georgia" w:hAnsi="Georgia"/>
          <w:sz w:val="24"/>
          <w:szCs w:val="24"/>
        </w:rPr>
        <w:t>define</w:t>
      </w:r>
      <w:r w:rsidR="001E6567">
        <w:rPr>
          <w:rFonts w:ascii="Georgia" w:hAnsi="Georgia"/>
          <w:sz w:val="24"/>
          <w:szCs w:val="24"/>
        </w:rPr>
        <w:t>d</w:t>
      </w:r>
      <w:r w:rsidR="00161402">
        <w:rPr>
          <w:rFonts w:ascii="Georgia" w:hAnsi="Georgia"/>
          <w:sz w:val="24"/>
          <w:szCs w:val="24"/>
        </w:rPr>
        <w:t xml:space="preserve"> LNG terminals subject to the Commission’s exclusive authority </w:t>
      </w:r>
      <w:r w:rsidR="009F7046">
        <w:rPr>
          <w:rFonts w:ascii="Georgia" w:hAnsi="Georgia"/>
          <w:sz w:val="24"/>
          <w:szCs w:val="24"/>
        </w:rPr>
        <w:t>so expansively</w:t>
      </w:r>
      <w:r w:rsidR="00161402">
        <w:rPr>
          <w:rFonts w:ascii="Georgia" w:hAnsi="Georgia"/>
          <w:sz w:val="24"/>
          <w:szCs w:val="24"/>
        </w:rPr>
        <w:t xml:space="preserve"> the Commission</w:t>
      </w:r>
      <w:r w:rsidR="00680A49">
        <w:rPr>
          <w:rFonts w:ascii="Georgia" w:hAnsi="Georgia"/>
          <w:sz w:val="24"/>
          <w:szCs w:val="24"/>
        </w:rPr>
        <w:t xml:space="preserve"> has no choice but to</w:t>
      </w:r>
      <w:r w:rsidR="00161402">
        <w:rPr>
          <w:rFonts w:ascii="Georgia" w:hAnsi="Georgia"/>
          <w:sz w:val="24"/>
          <w:szCs w:val="24"/>
        </w:rPr>
        <w:t xml:space="preserve"> regulate any onshore facility</w:t>
      </w:r>
      <w:r w:rsidR="001E6567">
        <w:rPr>
          <w:rFonts w:ascii="Georgia" w:hAnsi="Georgia"/>
          <w:sz w:val="24"/>
          <w:szCs w:val="24"/>
        </w:rPr>
        <w:t xml:space="preserve"> (that is, one on land)</w:t>
      </w:r>
      <w:r w:rsidR="00161402">
        <w:rPr>
          <w:rFonts w:ascii="Georgia" w:hAnsi="Georgia"/>
          <w:sz w:val="24"/>
          <w:szCs w:val="24"/>
        </w:rPr>
        <w:t xml:space="preserve"> engaged in the export of natural gas</w:t>
      </w:r>
      <w:r w:rsidR="00680A49">
        <w:rPr>
          <w:rFonts w:ascii="Georgia" w:hAnsi="Georgia"/>
          <w:sz w:val="24"/>
          <w:szCs w:val="24"/>
        </w:rPr>
        <w:t>,</w:t>
      </w:r>
      <w:r w:rsidR="009F7046">
        <w:rPr>
          <w:rFonts w:ascii="Georgia" w:hAnsi="Georgia"/>
          <w:sz w:val="24"/>
          <w:szCs w:val="24"/>
        </w:rPr>
        <w:t xml:space="preserve"> regardless of whether it is </w:t>
      </w:r>
      <w:r w:rsidR="00551646">
        <w:rPr>
          <w:rFonts w:ascii="Georgia" w:hAnsi="Georgia"/>
          <w:sz w:val="24"/>
          <w:szCs w:val="24"/>
        </w:rPr>
        <w:t>liquef</w:t>
      </w:r>
      <w:r w:rsidR="009F7046">
        <w:rPr>
          <w:rFonts w:ascii="Georgia" w:hAnsi="Georgia"/>
          <w:sz w:val="24"/>
          <w:szCs w:val="24"/>
        </w:rPr>
        <w:t xml:space="preserve">ied, processed, or transported in boxes of Cracker Jack. </w:t>
      </w:r>
    </w:p>
    <w:p w14:paraId="6873E4D1" w14:textId="4CFFDB44" w:rsidR="00A63CF7" w:rsidRDefault="00CE47B0" w:rsidP="007951F1">
      <w:pPr>
        <w:spacing w:line="360" w:lineRule="auto"/>
        <w:ind w:firstLine="720"/>
        <w:rPr>
          <w:rFonts w:ascii="Georgia" w:hAnsi="Georgia"/>
          <w:sz w:val="24"/>
          <w:szCs w:val="24"/>
        </w:rPr>
      </w:pPr>
      <w:r>
        <w:rPr>
          <w:rFonts w:ascii="Georgia" w:hAnsi="Georgia"/>
          <w:sz w:val="24"/>
          <w:szCs w:val="24"/>
        </w:rPr>
        <w:t xml:space="preserve">Second, the Commission’s </w:t>
      </w:r>
      <w:r w:rsidR="001E6567">
        <w:rPr>
          <w:rFonts w:ascii="Georgia" w:hAnsi="Georgia"/>
          <w:sz w:val="24"/>
          <w:szCs w:val="24"/>
        </w:rPr>
        <w:t xml:space="preserve">ruling </w:t>
      </w:r>
      <w:r w:rsidR="009E401B">
        <w:rPr>
          <w:rFonts w:ascii="Georgia" w:hAnsi="Georgia"/>
          <w:sz w:val="24"/>
          <w:szCs w:val="24"/>
        </w:rPr>
        <w:t>that</w:t>
      </w:r>
      <w:r>
        <w:rPr>
          <w:rFonts w:ascii="Georgia" w:hAnsi="Georgia"/>
          <w:sz w:val="24"/>
          <w:szCs w:val="24"/>
        </w:rPr>
        <w:t xml:space="preserve"> “onshore”</w:t>
      </w:r>
      <w:r w:rsidR="009E401B">
        <w:rPr>
          <w:rFonts w:ascii="Georgia" w:hAnsi="Georgia"/>
          <w:sz w:val="24"/>
          <w:szCs w:val="24"/>
        </w:rPr>
        <w:t xml:space="preserve"> as </w:t>
      </w:r>
      <w:r w:rsidR="001E6567">
        <w:rPr>
          <w:rFonts w:ascii="Georgia" w:hAnsi="Georgia"/>
          <w:sz w:val="24"/>
          <w:szCs w:val="24"/>
        </w:rPr>
        <w:t xml:space="preserve">used </w:t>
      </w:r>
      <w:r w:rsidR="009E401B">
        <w:rPr>
          <w:rFonts w:ascii="Georgia" w:hAnsi="Georgia"/>
          <w:sz w:val="24"/>
          <w:szCs w:val="24"/>
        </w:rPr>
        <w:t>in the Natural Gas Act</w:t>
      </w:r>
      <w:r w:rsidR="00136663">
        <w:rPr>
          <w:rFonts w:ascii="Georgia" w:hAnsi="Georgia"/>
          <w:sz w:val="24"/>
          <w:szCs w:val="24"/>
        </w:rPr>
        <w:t xml:space="preserve"> is </w:t>
      </w:r>
      <w:r w:rsidR="003350B6">
        <w:rPr>
          <w:rFonts w:ascii="Georgia" w:hAnsi="Georgia"/>
          <w:sz w:val="24"/>
          <w:szCs w:val="24"/>
        </w:rPr>
        <w:t xml:space="preserve">limited to a facility physically on the </w:t>
      </w:r>
      <w:r w:rsidR="00066B6A">
        <w:rPr>
          <w:rFonts w:ascii="Georgia" w:hAnsi="Georgia"/>
          <w:sz w:val="24"/>
          <w:szCs w:val="24"/>
        </w:rPr>
        <w:t>shore</w:t>
      </w:r>
      <w:r w:rsidR="001E6567">
        <w:rPr>
          <w:rFonts w:ascii="Georgia" w:hAnsi="Georgia"/>
          <w:sz w:val="24"/>
          <w:szCs w:val="24"/>
        </w:rPr>
        <w:t>lin</w:t>
      </w:r>
      <w:r w:rsidR="000337C1">
        <w:rPr>
          <w:rFonts w:ascii="Georgia" w:hAnsi="Georgia"/>
          <w:sz w:val="24"/>
          <w:szCs w:val="24"/>
        </w:rPr>
        <w:t>e</w:t>
      </w:r>
      <w:r w:rsidR="00066B6A">
        <w:rPr>
          <w:rFonts w:ascii="Georgia" w:hAnsi="Georgia"/>
          <w:sz w:val="24"/>
          <w:szCs w:val="24"/>
        </w:rPr>
        <w:t xml:space="preserve"> is </w:t>
      </w:r>
      <w:r w:rsidR="001E6567">
        <w:rPr>
          <w:rFonts w:ascii="Georgia" w:hAnsi="Georgia"/>
          <w:sz w:val="24"/>
          <w:szCs w:val="24"/>
        </w:rPr>
        <w:t>contrary to the plain meaning of the statutory language, inconsistent with the statute’s structure and purpose, and patently unreasonable</w:t>
      </w:r>
      <w:r w:rsidR="00066B6A">
        <w:rPr>
          <w:rFonts w:ascii="Georgia" w:hAnsi="Georgia"/>
          <w:sz w:val="24"/>
          <w:szCs w:val="24"/>
        </w:rPr>
        <w:t xml:space="preserve">. Congress consistently </w:t>
      </w:r>
      <w:r w:rsidR="001E6567">
        <w:rPr>
          <w:rFonts w:ascii="Georgia" w:hAnsi="Georgia"/>
          <w:sz w:val="24"/>
          <w:szCs w:val="24"/>
        </w:rPr>
        <w:t>uses the term</w:t>
      </w:r>
      <w:r w:rsidR="00066B6A">
        <w:rPr>
          <w:rFonts w:ascii="Georgia" w:hAnsi="Georgia"/>
          <w:sz w:val="24"/>
          <w:szCs w:val="24"/>
        </w:rPr>
        <w:t xml:space="preserve"> “onshore</w:t>
      </w:r>
      <w:r w:rsidR="00C103F8">
        <w:rPr>
          <w:rFonts w:ascii="Georgia" w:hAnsi="Georgia"/>
          <w:sz w:val="24"/>
          <w:szCs w:val="24"/>
        </w:rPr>
        <w:t>,</w:t>
      </w:r>
      <w:r w:rsidR="00066B6A">
        <w:rPr>
          <w:rFonts w:ascii="Georgia" w:hAnsi="Georgia"/>
          <w:sz w:val="24"/>
          <w:szCs w:val="24"/>
        </w:rPr>
        <w:t>”</w:t>
      </w:r>
      <w:r w:rsidR="00C103F8">
        <w:rPr>
          <w:rFonts w:ascii="Georgia" w:hAnsi="Georgia"/>
          <w:sz w:val="24"/>
          <w:szCs w:val="24"/>
        </w:rPr>
        <w:t xml:space="preserve"> particularly in statutes concerning oil and gas production and facilities,</w:t>
      </w:r>
      <w:r w:rsidR="00066B6A">
        <w:rPr>
          <w:rFonts w:ascii="Georgia" w:hAnsi="Georgia"/>
          <w:sz w:val="24"/>
          <w:szCs w:val="24"/>
        </w:rPr>
        <w:t xml:space="preserve"> </w:t>
      </w:r>
      <w:r w:rsidR="001E6567">
        <w:rPr>
          <w:rFonts w:ascii="Georgia" w:hAnsi="Georgia"/>
          <w:sz w:val="24"/>
          <w:szCs w:val="24"/>
        </w:rPr>
        <w:t xml:space="preserve">to refer </w:t>
      </w:r>
      <w:r w:rsidR="00D52DFF">
        <w:rPr>
          <w:rFonts w:ascii="Georgia" w:hAnsi="Georgia"/>
          <w:sz w:val="24"/>
          <w:szCs w:val="24"/>
        </w:rPr>
        <w:t>“</w:t>
      </w:r>
      <w:r w:rsidR="00D52DFF" w:rsidRPr="00EC6FF5">
        <w:rPr>
          <w:rFonts w:ascii="Georgia" w:hAnsi="Georgia"/>
          <w:sz w:val="24"/>
          <w:szCs w:val="24"/>
        </w:rPr>
        <w:t>any land within the United States other than submerged land</w:t>
      </w:r>
      <w:r w:rsidR="00C103F8">
        <w:rPr>
          <w:rFonts w:ascii="Georgia" w:hAnsi="Georgia"/>
          <w:sz w:val="24"/>
          <w:szCs w:val="24"/>
        </w:rPr>
        <w:t>.</w:t>
      </w:r>
      <w:r w:rsidR="000D75CD">
        <w:rPr>
          <w:rFonts w:ascii="Georgia" w:hAnsi="Georgia"/>
          <w:sz w:val="24"/>
          <w:szCs w:val="24"/>
        </w:rPr>
        <w:t>”</w:t>
      </w:r>
      <w:r w:rsidR="00147596">
        <w:rPr>
          <w:rFonts w:ascii="Georgia" w:hAnsi="Georgia"/>
          <w:sz w:val="24"/>
          <w:szCs w:val="24"/>
        </w:rPr>
        <w:t xml:space="preserve"> </w:t>
      </w:r>
      <w:r w:rsidR="000D75CD">
        <w:rPr>
          <w:rFonts w:ascii="Georgia" w:hAnsi="Georgia"/>
          <w:sz w:val="24"/>
          <w:szCs w:val="24"/>
        </w:rPr>
        <w:t>So a</w:t>
      </w:r>
      <w:r w:rsidR="00E71089">
        <w:rPr>
          <w:rFonts w:ascii="Georgia" w:hAnsi="Georgia"/>
          <w:sz w:val="24"/>
          <w:szCs w:val="24"/>
        </w:rPr>
        <w:t xml:space="preserve"> facility located 50</w:t>
      </w:r>
      <w:r w:rsidR="000D75CD">
        <w:rPr>
          <w:rFonts w:ascii="Georgia" w:hAnsi="Georgia"/>
          <w:sz w:val="24"/>
          <w:szCs w:val="24"/>
        </w:rPr>
        <w:t xml:space="preserve"> </w:t>
      </w:r>
      <w:r w:rsidR="00E71089">
        <w:rPr>
          <w:rFonts w:ascii="Georgia" w:hAnsi="Georgia"/>
          <w:sz w:val="24"/>
          <w:szCs w:val="24"/>
        </w:rPr>
        <w:t>or 500</w:t>
      </w:r>
      <w:r w:rsidR="000D75CD">
        <w:rPr>
          <w:rFonts w:ascii="Georgia" w:hAnsi="Georgia"/>
          <w:sz w:val="24"/>
          <w:szCs w:val="24"/>
        </w:rPr>
        <w:t xml:space="preserve"> or 2,000</w:t>
      </w:r>
      <w:r w:rsidR="00E71089">
        <w:rPr>
          <w:rFonts w:ascii="Georgia" w:hAnsi="Georgia"/>
          <w:sz w:val="24"/>
          <w:szCs w:val="24"/>
        </w:rPr>
        <w:t xml:space="preserve"> miles from the shore</w:t>
      </w:r>
      <w:r w:rsidR="00C103F8">
        <w:rPr>
          <w:rFonts w:ascii="Georgia" w:hAnsi="Georgia"/>
          <w:sz w:val="24"/>
          <w:szCs w:val="24"/>
        </w:rPr>
        <w:t xml:space="preserve">line—let alone quarter mile, like the proposed </w:t>
      </w:r>
      <w:proofErr w:type="spellStart"/>
      <w:r w:rsidR="00C103F8">
        <w:rPr>
          <w:rFonts w:ascii="Georgia" w:hAnsi="Georgia"/>
          <w:sz w:val="24"/>
          <w:szCs w:val="24"/>
        </w:rPr>
        <w:t>Nopetro</w:t>
      </w:r>
      <w:proofErr w:type="spellEnd"/>
      <w:r w:rsidR="00C103F8">
        <w:rPr>
          <w:rFonts w:ascii="Georgia" w:hAnsi="Georgia"/>
          <w:sz w:val="24"/>
          <w:szCs w:val="24"/>
        </w:rPr>
        <w:t xml:space="preserve"> facility—and</w:t>
      </w:r>
      <w:r w:rsidR="00E71089">
        <w:rPr>
          <w:rFonts w:ascii="Georgia" w:hAnsi="Georgia"/>
          <w:sz w:val="24"/>
          <w:szCs w:val="24"/>
        </w:rPr>
        <w:t xml:space="preserve"> that is engaged in exporting natural gas is subject to the exclusive authority of th</w:t>
      </w:r>
      <w:r w:rsidR="00317A27">
        <w:rPr>
          <w:rFonts w:ascii="Georgia" w:hAnsi="Georgia"/>
          <w:sz w:val="24"/>
          <w:szCs w:val="24"/>
        </w:rPr>
        <w:t>e Commission.</w:t>
      </w:r>
    </w:p>
    <w:p w14:paraId="556DC868" w14:textId="52889703" w:rsidR="00692E47" w:rsidRDefault="00B91730" w:rsidP="00436EE2">
      <w:pPr>
        <w:spacing w:line="360" w:lineRule="auto"/>
        <w:ind w:firstLine="720"/>
        <w:rPr>
          <w:rFonts w:ascii="Georgia" w:hAnsi="Georgia"/>
          <w:sz w:val="24"/>
          <w:szCs w:val="24"/>
        </w:rPr>
      </w:pPr>
      <w:r>
        <w:rPr>
          <w:rFonts w:ascii="Georgia" w:hAnsi="Georgia"/>
          <w:sz w:val="24"/>
          <w:szCs w:val="24"/>
        </w:rPr>
        <w:t xml:space="preserve">Because the </w:t>
      </w:r>
      <w:proofErr w:type="spellStart"/>
      <w:r>
        <w:rPr>
          <w:rFonts w:ascii="Georgia" w:hAnsi="Georgia"/>
          <w:sz w:val="24"/>
          <w:szCs w:val="24"/>
        </w:rPr>
        <w:t>Nopetro</w:t>
      </w:r>
      <w:proofErr w:type="spellEnd"/>
      <w:r>
        <w:rPr>
          <w:rFonts w:ascii="Georgia" w:hAnsi="Georgia"/>
          <w:sz w:val="24"/>
          <w:szCs w:val="24"/>
        </w:rPr>
        <w:t xml:space="preserve"> LNG</w:t>
      </w:r>
      <w:r w:rsidR="0039391E">
        <w:rPr>
          <w:rFonts w:ascii="Georgia" w:hAnsi="Georgia"/>
          <w:sz w:val="24"/>
          <w:szCs w:val="24"/>
        </w:rPr>
        <w:t xml:space="preserve"> export</w:t>
      </w:r>
      <w:r>
        <w:rPr>
          <w:rFonts w:ascii="Georgia" w:hAnsi="Georgia"/>
          <w:sz w:val="24"/>
          <w:szCs w:val="24"/>
        </w:rPr>
        <w:t xml:space="preserve"> facility will perform </w:t>
      </w:r>
      <w:r w:rsidR="007F3A3D">
        <w:rPr>
          <w:rFonts w:ascii="Georgia" w:hAnsi="Georgia"/>
          <w:sz w:val="24"/>
          <w:szCs w:val="24"/>
        </w:rPr>
        <w:t xml:space="preserve">multiple </w:t>
      </w:r>
      <w:r w:rsidR="00743663">
        <w:rPr>
          <w:rFonts w:ascii="Georgia" w:hAnsi="Georgia"/>
          <w:sz w:val="24"/>
          <w:szCs w:val="24"/>
        </w:rPr>
        <w:t>functions</w:t>
      </w:r>
      <w:r w:rsidR="00C04068">
        <w:rPr>
          <w:rFonts w:ascii="Georgia" w:hAnsi="Georgia"/>
          <w:sz w:val="24"/>
          <w:szCs w:val="24"/>
        </w:rPr>
        <w:t xml:space="preserve"> </w:t>
      </w:r>
      <w:r w:rsidR="009A6A63">
        <w:rPr>
          <w:rFonts w:ascii="Georgia" w:hAnsi="Georgia"/>
          <w:sz w:val="24"/>
          <w:szCs w:val="24"/>
        </w:rPr>
        <w:t xml:space="preserve">that are </w:t>
      </w:r>
      <w:r w:rsidR="00C04068">
        <w:rPr>
          <w:rFonts w:ascii="Georgia" w:hAnsi="Georgia"/>
          <w:sz w:val="24"/>
          <w:szCs w:val="24"/>
        </w:rPr>
        <w:t>all listed</w:t>
      </w:r>
      <w:r w:rsidR="007F3A3D">
        <w:rPr>
          <w:rFonts w:ascii="Georgia" w:hAnsi="Georgia"/>
          <w:sz w:val="24"/>
          <w:szCs w:val="24"/>
        </w:rPr>
        <w:t xml:space="preserve"> in the Natural Gas Act</w:t>
      </w:r>
      <w:r w:rsidR="009A6A63">
        <w:rPr>
          <w:rFonts w:ascii="Georgia" w:hAnsi="Georgia"/>
          <w:sz w:val="24"/>
          <w:szCs w:val="24"/>
        </w:rPr>
        <w:t>’s definition of “LNG terminal”</w:t>
      </w:r>
      <w:r w:rsidR="00743663">
        <w:rPr>
          <w:rFonts w:ascii="Georgia" w:hAnsi="Georgia"/>
          <w:sz w:val="24"/>
          <w:szCs w:val="24"/>
        </w:rPr>
        <w:t xml:space="preserve"> </w:t>
      </w:r>
      <w:r w:rsidR="00DE1FF1">
        <w:rPr>
          <w:rFonts w:ascii="Georgia" w:hAnsi="Georgia"/>
          <w:sz w:val="24"/>
          <w:szCs w:val="24"/>
        </w:rPr>
        <w:t xml:space="preserve">(receive, load, transport and </w:t>
      </w:r>
      <w:r w:rsidR="00551646">
        <w:rPr>
          <w:rFonts w:ascii="Georgia" w:hAnsi="Georgia"/>
          <w:sz w:val="24"/>
          <w:szCs w:val="24"/>
        </w:rPr>
        <w:t>liquef</w:t>
      </w:r>
      <w:r w:rsidR="00DE1FF1">
        <w:rPr>
          <w:rFonts w:ascii="Georgia" w:hAnsi="Georgia"/>
          <w:sz w:val="24"/>
          <w:szCs w:val="24"/>
        </w:rPr>
        <w:t xml:space="preserve">y natural gas for export) </w:t>
      </w:r>
      <w:r w:rsidR="00C103F8">
        <w:rPr>
          <w:rFonts w:ascii="Georgia" w:hAnsi="Georgia"/>
          <w:sz w:val="24"/>
          <w:szCs w:val="24"/>
        </w:rPr>
        <w:t xml:space="preserve">and is located on land, </w:t>
      </w:r>
      <w:r w:rsidR="00C24060">
        <w:rPr>
          <w:rFonts w:ascii="Georgia" w:hAnsi="Georgia"/>
          <w:sz w:val="24"/>
          <w:szCs w:val="24"/>
        </w:rPr>
        <w:t>it</w:t>
      </w:r>
      <w:r w:rsidR="00C41305">
        <w:rPr>
          <w:rFonts w:ascii="Georgia" w:hAnsi="Georgia"/>
          <w:sz w:val="24"/>
          <w:szCs w:val="24"/>
        </w:rPr>
        <w:t xml:space="preserve"> is </w:t>
      </w:r>
      <w:r w:rsidR="00DE1FF1">
        <w:rPr>
          <w:rFonts w:ascii="Georgia" w:hAnsi="Georgia"/>
          <w:sz w:val="24"/>
          <w:szCs w:val="24"/>
        </w:rPr>
        <w:t>unambiguously</w:t>
      </w:r>
      <w:r w:rsidR="00003937">
        <w:rPr>
          <w:rFonts w:ascii="Georgia" w:hAnsi="Georgia"/>
          <w:sz w:val="24"/>
          <w:szCs w:val="24"/>
        </w:rPr>
        <w:t xml:space="preserve"> an</w:t>
      </w:r>
      <w:r w:rsidR="00C41305">
        <w:rPr>
          <w:rFonts w:ascii="Georgia" w:hAnsi="Georgia"/>
          <w:sz w:val="24"/>
          <w:szCs w:val="24"/>
        </w:rPr>
        <w:t xml:space="preserve"> </w:t>
      </w:r>
      <w:r w:rsidR="00C103F8">
        <w:rPr>
          <w:rFonts w:ascii="Georgia" w:hAnsi="Georgia"/>
          <w:sz w:val="24"/>
          <w:szCs w:val="24"/>
        </w:rPr>
        <w:t xml:space="preserve">onshore </w:t>
      </w:r>
      <w:r w:rsidR="00C41305">
        <w:rPr>
          <w:rFonts w:ascii="Georgia" w:hAnsi="Georgia"/>
          <w:sz w:val="24"/>
          <w:szCs w:val="24"/>
        </w:rPr>
        <w:t xml:space="preserve">LNG terminal subject to </w:t>
      </w:r>
      <w:r w:rsidR="00DE1FF1">
        <w:rPr>
          <w:rFonts w:ascii="Georgia" w:hAnsi="Georgia"/>
          <w:sz w:val="24"/>
          <w:szCs w:val="24"/>
        </w:rPr>
        <w:t xml:space="preserve">the </w:t>
      </w:r>
      <w:r w:rsidR="00C41305">
        <w:rPr>
          <w:rFonts w:ascii="Georgia" w:hAnsi="Georgia"/>
          <w:sz w:val="24"/>
          <w:szCs w:val="24"/>
        </w:rPr>
        <w:t>Commission</w:t>
      </w:r>
      <w:r w:rsidR="001720FE">
        <w:rPr>
          <w:rFonts w:ascii="Georgia" w:hAnsi="Georgia"/>
          <w:sz w:val="24"/>
          <w:szCs w:val="24"/>
        </w:rPr>
        <w:t>’s</w:t>
      </w:r>
      <w:r w:rsidR="00C41305">
        <w:rPr>
          <w:rFonts w:ascii="Georgia" w:hAnsi="Georgia"/>
          <w:sz w:val="24"/>
          <w:szCs w:val="24"/>
        </w:rPr>
        <w:t xml:space="preserve"> </w:t>
      </w:r>
      <w:r w:rsidR="00DE1FF1">
        <w:rPr>
          <w:rFonts w:ascii="Georgia" w:hAnsi="Georgia"/>
          <w:sz w:val="24"/>
          <w:szCs w:val="24"/>
        </w:rPr>
        <w:t xml:space="preserve">exclusive </w:t>
      </w:r>
      <w:r w:rsidR="00C41305">
        <w:rPr>
          <w:rFonts w:ascii="Georgia" w:hAnsi="Georgia"/>
          <w:sz w:val="24"/>
          <w:szCs w:val="24"/>
        </w:rPr>
        <w:t>jurisdiction.</w:t>
      </w:r>
    </w:p>
    <w:p w14:paraId="3CECA03E" w14:textId="77777777" w:rsidR="00692E47" w:rsidRDefault="00692E47" w:rsidP="0088719E">
      <w:pPr>
        <w:rPr>
          <w:rFonts w:ascii="Georgia" w:hAnsi="Georgia"/>
          <w:sz w:val="24"/>
          <w:szCs w:val="24"/>
        </w:rPr>
      </w:pPr>
    </w:p>
    <w:p w14:paraId="589BFEF1" w14:textId="77777777" w:rsidR="00AF67C4" w:rsidRPr="00AF67C4" w:rsidRDefault="00AF67C4" w:rsidP="00593B13">
      <w:pPr>
        <w:keepNext/>
        <w:jc w:val="center"/>
        <w:rPr>
          <w:rFonts w:ascii="Georgia" w:hAnsi="Georgia"/>
          <w:b/>
          <w:bCs/>
          <w:sz w:val="24"/>
          <w:szCs w:val="24"/>
        </w:rPr>
      </w:pPr>
      <w:r w:rsidRPr="00AF67C4">
        <w:rPr>
          <w:rFonts w:ascii="Georgia" w:hAnsi="Georgia"/>
          <w:b/>
          <w:bCs/>
          <w:sz w:val="24"/>
          <w:szCs w:val="24"/>
        </w:rPr>
        <w:t>Statement of Issues</w:t>
      </w:r>
    </w:p>
    <w:p w14:paraId="008FCB7F" w14:textId="77777777" w:rsidR="00AF67C4" w:rsidRDefault="00AF67C4" w:rsidP="00593B13">
      <w:pPr>
        <w:keepNext/>
        <w:rPr>
          <w:rFonts w:ascii="Georgia" w:hAnsi="Georgia"/>
          <w:sz w:val="24"/>
          <w:szCs w:val="24"/>
        </w:rPr>
      </w:pPr>
    </w:p>
    <w:p w14:paraId="17D0A9C8" w14:textId="30FDE7FC" w:rsidR="00B65745" w:rsidRDefault="00B65745"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Congress made significant changes to the Natural Gas Act as part of the 2005 Energy Policy Act, handing FERC sweeping and exclusive authority over facilities </w:t>
      </w:r>
      <w:r>
        <w:rPr>
          <w:rFonts w:ascii="Georgia" w:hAnsi="Georgia"/>
          <w:sz w:val="24"/>
          <w:szCs w:val="24"/>
        </w:rPr>
        <w:lastRenderedPageBreak/>
        <w:t xml:space="preserve">designed to import or export natural gas. </w:t>
      </w:r>
      <w:r w:rsidR="00A840E4">
        <w:rPr>
          <w:rFonts w:ascii="Georgia" w:hAnsi="Georgia"/>
          <w:sz w:val="24"/>
          <w:szCs w:val="24"/>
        </w:rPr>
        <w:t>T</w:t>
      </w:r>
      <w:r>
        <w:rPr>
          <w:rFonts w:ascii="Georgia" w:hAnsi="Georgia"/>
          <w:sz w:val="24"/>
          <w:szCs w:val="24"/>
        </w:rPr>
        <w:t xml:space="preserve">hese substantial Natural Gas Act reforms </w:t>
      </w:r>
      <w:r w:rsidR="00A840E4">
        <w:rPr>
          <w:rFonts w:ascii="Georgia" w:hAnsi="Georgia"/>
          <w:sz w:val="24"/>
          <w:szCs w:val="24"/>
        </w:rPr>
        <w:t xml:space="preserve">were enacted into law </w:t>
      </w:r>
      <w:r w:rsidR="00C727B2">
        <w:rPr>
          <w:rFonts w:ascii="Georgia" w:hAnsi="Georgia"/>
          <w:sz w:val="24"/>
          <w:szCs w:val="24"/>
        </w:rPr>
        <w:t>after</w:t>
      </w:r>
      <w:r>
        <w:rPr>
          <w:rFonts w:ascii="Georgia" w:hAnsi="Georgia"/>
          <w:sz w:val="24"/>
          <w:szCs w:val="24"/>
        </w:rPr>
        <w:t xml:space="preserve"> FERC</w:t>
      </w:r>
      <w:r w:rsidR="00C727B2">
        <w:rPr>
          <w:rFonts w:ascii="Georgia" w:hAnsi="Georgia"/>
          <w:sz w:val="24"/>
          <w:szCs w:val="24"/>
        </w:rPr>
        <w:t xml:space="preserve"> requested</w:t>
      </w:r>
      <w:r w:rsidR="00A840E4">
        <w:rPr>
          <w:rFonts w:ascii="Georgia" w:hAnsi="Georgia"/>
          <w:sz w:val="24"/>
          <w:szCs w:val="24"/>
        </w:rPr>
        <w:t xml:space="preserve"> Congress to do so</w:t>
      </w:r>
      <w:r>
        <w:rPr>
          <w:rFonts w:ascii="Georgia" w:hAnsi="Georgia"/>
          <w:sz w:val="24"/>
          <w:szCs w:val="24"/>
        </w:rPr>
        <w:t>.</w:t>
      </w:r>
    </w:p>
    <w:p w14:paraId="3B0E1541" w14:textId="77777777" w:rsidR="00B65745" w:rsidRPr="00825149" w:rsidRDefault="00B65745" w:rsidP="00B65745">
      <w:pPr>
        <w:pStyle w:val="ListParagraph"/>
        <w:rPr>
          <w:rFonts w:ascii="Georgia" w:hAnsi="Georgia"/>
          <w:sz w:val="24"/>
          <w:szCs w:val="24"/>
        </w:rPr>
      </w:pPr>
    </w:p>
    <w:p w14:paraId="26522FEA" w14:textId="77777777" w:rsidR="00B65745" w:rsidRPr="00DC524E" w:rsidRDefault="00B65745" w:rsidP="00B65745">
      <w:pPr>
        <w:pStyle w:val="ListParagraph"/>
        <w:numPr>
          <w:ilvl w:val="0"/>
          <w:numId w:val="1"/>
        </w:numPr>
        <w:spacing w:line="360" w:lineRule="auto"/>
        <w:ind w:left="778"/>
        <w:rPr>
          <w:rFonts w:ascii="Georgia" w:hAnsi="Georgia"/>
          <w:sz w:val="24"/>
          <w:szCs w:val="24"/>
        </w:rPr>
      </w:pPr>
      <w:r w:rsidRPr="00D06509">
        <w:rPr>
          <w:rFonts w:ascii="Georgia" w:hAnsi="Georgia"/>
          <w:sz w:val="24"/>
          <w:szCs w:val="24"/>
        </w:rPr>
        <w:t>Section 311(c)(2)(e)(1)</w:t>
      </w:r>
      <w:r>
        <w:rPr>
          <w:rFonts w:ascii="Georgia" w:hAnsi="Georgia"/>
          <w:sz w:val="24"/>
          <w:szCs w:val="24"/>
        </w:rPr>
        <w:t xml:space="preserve"> of the 2005 Energy Policy Act</w:t>
      </w:r>
      <w:r>
        <w:rPr>
          <w:rStyle w:val="FootnoteReference"/>
          <w:rFonts w:ascii="Georgia" w:hAnsi="Georgia"/>
          <w:sz w:val="24"/>
          <w:szCs w:val="24"/>
        </w:rPr>
        <w:footnoteReference w:id="1"/>
      </w:r>
      <w:r>
        <w:rPr>
          <w:rFonts w:ascii="Georgia" w:hAnsi="Georgia"/>
          <w:sz w:val="24"/>
          <w:szCs w:val="24"/>
        </w:rPr>
        <w:t xml:space="preserve"> amended Section 3 of the Natural Gas Act to declare that “</w:t>
      </w:r>
      <w:r w:rsidRPr="00EA0C92">
        <w:rPr>
          <w:rFonts w:ascii="Georgia" w:hAnsi="Georgia"/>
          <w:sz w:val="24"/>
          <w:szCs w:val="24"/>
        </w:rPr>
        <w:t>The Commission shall have the exclusive authority to approve or deny an application for the siting, construction, expansion, or operation of an LNG terminal.</w:t>
      </w:r>
      <w:r>
        <w:rPr>
          <w:rFonts w:ascii="Georgia" w:hAnsi="Georgia"/>
          <w:sz w:val="24"/>
          <w:szCs w:val="24"/>
        </w:rPr>
        <w:t>”</w:t>
      </w:r>
      <w:r>
        <w:rPr>
          <w:rStyle w:val="FootnoteReference"/>
          <w:rFonts w:ascii="Georgia" w:hAnsi="Georgia"/>
          <w:sz w:val="24"/>
          <w:szCs w:val="24"/>
        </w:rPr>
        <w:footnoteReference w:id="2"/>
      </w:r>
    </w:p>
    <w:p w14:paraId="3A04DA8E" w14:textId="77777777" w:rsidR="00B65745" w:rsidRDefault="00B65745" w:rsidP="00B65745">
      <w:pPr>
        <w:rPr>
          <w:rFonts w:ascii="Georgia" w:hAnsi="Georgia"/>
          <w:sz w:val="24"/>
          <w:szCs w:val="24"/>
        </w:rPr>
      </w:pPr>
    </w:p>
    <w:p w14:paraId="330B2956" w14:textId="19994564" w:rsidR="00B65745" w:rsidRPr="005A04C9" w:rsidRDefault="00B65745" w:rsidP="005A04C9">
      <w:pPr>
        <w:pStyle w:val="ListParagraph"/>
        <w:numPr>
          <w:ilvl w:val="0"/>
          <w:numId w:val="1"/>
        </w:numPr>
        <w:spacing w:line="360" w:lineRule="auto"/>
        <w:ind w:left="778"/>
        <w:rPr>
          <w:rFonts w:ascii="Georgia" w:hAnsi="Georgia"/>
          <w:sz w:val="24"/>
          <w:szCs w:val="24"/>
        </w:rPr>
      </w:pPr>
      <w:r w:rsidRPr="0012737A">
        <w:rPr>
          <w:rFonts w:ascii="Georgia" w:hAnsi="Georgia"/>
          <w:sz w:val="24"/>
          <w:szCs w:val="24"/>
        </w:rPr>
        <w:t>Section 311(b)</w:t>
      </w:r>
      <w:r>
        <w:rPr>
          <w:rFonts w:ascii="Georgia" w:hAnsi="Georgia"/>
          <w:sz w:val="24"/>
          <w:szCs w:val="24"/>
        </w:rPr>
        <w:t xml:space="preserve"> of the 2005 Energy Policy Act </w:t>
      </w:r>
      <w:r w:rsidR="00C13F1A">
        <w:rPr>
          <w:rFonts w:ascii="Georgia" w:hAnsi="Georgia"/>
          <w:sz w:val="24"/>
          <w:szCs w:val="24"/>
        </w:rPr>
        <w:t>incorporated</w:t>
      </w:r>
      <w:r>
        <w:rPr>
          <w:rFonts w:ascii="Georgia" w:hAnsi="Georgia"/>
          <w:sz w:val="24"/>
          <w:szCs w:val="24"/>
        </w:rPr>
        <w:t xml:space="preserve"> </w:t>
      </w:r>
      <w:r w:rsidRPr="00CF4970">
        <w:rPr>
          <w:rFonts w:ascii="Georgia" w:hAnsi="Georgia"/>
          <w:sz w:val="24"/>
          <w:szCs w:val="24"/>
          <w:u w:val="single"/>
        </w:rPr>
        <w:t>eight separate and distinct activities</w:t>
      </w:r>
      <w:r>
        <w:rPr>
          <w:rFonts w:ascii="Georgia" w:hAnsi="Georgia"/>
          <w:sz w:val="24"/>
          <w:szCs w:val="24"/>
        </w:rPr>
        <w:t xml:space="preserve"> in </w:t>
      </w:r>
      <w:r w:rsidR="00C13F1A">
        <w:rPr>
          <w:rFonts w:ascii="Georgia" w:hAnsi="Georgia"/>
          <w:sz w:val="24"/>
          <w:szCs w:val="24"/>
        </w:rPr>
        <w:t xml:space="preserve">its definition of </w:t>
      </w:r>
      <w:r>
        <w:rPr>
          <w:rFonts w:ascii="Georgia" w:hAnsi="Georgia"/>
          <w:sz w:val="24"/>
          <w:szCs w:val="24"/>
        </w:rPr>
        <w:t>“LNG terminal</w:t>
      </w:r>
      <w:r w:rsidR="00C13F1A">
        <w:rPr>
          <w:rFonts w:ascii="Georgia" w:hAnsi="Georgia"/>
          <w:sz w:val="24"/>
          <w:szCs w:val="24"/>
        </w:rPr>
        <w:t>,</w:t>
      </w:r>
      <w:r>
        <w:rPr>
          <w:rFonts w:ascii="Georgia" w:hAnsi="Georgia"/>
          <w:sz w:val="24"/>
          <w:szCs w:val="24"/>
        </w:rPr>
        <w:t xml:space="preserve">” </w:t>
      </w:r>
      <w:r w:rsidR="00C13F1A">
        <w:rPr>
          <w:rFonts w:ascii="Georgia" w:hAnsi="Georgia"/>
          <w:sz w:val="24"/>
          <w:szCs w:val="24"/>
        </w:rPr>
        <w:t>which covers</w:t>
      </w:r>
      <w:r w:rsidRPr="005C5678">
        <w:rPr>
          <w:rFonts w:ascii="Georgia" w:hAnsi="Georgia"/>
          <w:sz w:val="24"/>
          <w:szCs w:val="24"/>
        </w:rPr>
        <w:t xml:space="preserve"> </w:t>
      </w:r>
      <w:r>
        <w:rPr>
          <w:rFonts w:ascii="Georgia" w:hAnsi="Georgia"/>
          <w:sz w:val="24"/>
          <w:szCs w:val="24"/>
        </w:rPr>
        <w:t>“</w:t>
      </w:r>
      <w:r w:rsidRPr="00593B13">
        <w:rPr>
          <w:rFonts w:ascii="Georgia" w:hAnsi="Georgia"/>
          <w:sz w:val="24"/>
          <w:szCs w:val="24"/>
        </w:rPr>
        <w:t>all natural gas facilities located onshore or in State waters</w:t>
      </w:r>
      <w:r w:rsidRPr="000350F3">
        <w:rPr>
          <w:rFonts w:ascii="Georgia" w:hAnsi="Georgia"/>
          <w:sz w:val="24"/>
          <w:szCs w:val="24"/>
        </w:rPr>
        <w:t xml:space="preserve"> that are used to </w:t>
      </w:r>
      <w:r w:rsidRPr="00593B13">
        <w:rPr>
          <w:rFonts w:ascii="Georgia" w:hAnsi="Georgia"/>
          <w:i/>
          <w:iCs/>
          <w:sz w:val="24"/>
          <w:szCs w:val="24"/>
        </w:rPr>
        <w:t>receive, unload, load, store, transport, gasify, liquefy, or process</w:t>
      </w:r>
      <w:r w:rsidRPr="000350F3">
        <w:rPr>
          <w:rFonts w:ascii="Georgia" w:hAnsi="Georgia"/>
          <w:sz w:val="24"/>
          <w:szCs w:val="24"/>
        </w:rPr>
        <w:t xml:space="preserve"> natural gas that is imported to the United States from a foreign country, exported to a foreign country from the United States, or transported in interstate commerce by waterborne vessel, but does not include—(A) waterborne vessels used to deliver natural gas to or from any such facility</w:t>
      </w:r>
      <w:r>
        <w:rPr>
          <w:rFonts w:ascii="Georgia" w:hAnsi="Georgia"/>
          <w:sz w:val="24"/>
          <w:szCs w:val="24"/>
        </w:rPr>
        <w:t>” [emphasis added].</w:t>
      </w:r>
      <w:r>
        <w:rPr>
          <w:rStyle w:val="FootnoteReference"/>
          <w:rFonts w:ascii="Georgia" w:hAnsi="Georgia"/>
          <w:sz w:val="24"/>
          <w:szCs w:val="24"/>
        </w:rPr>
        <w:footnoteReference w:id="3"/>
      </w:r>
      <w:r w:rsidR="00126B8F">
        <w:rPr>
          <w:rFonts w:ascii="Georgia" w:hAnsi="Georgia"/>
          <w:sz w:val="24"/>
          <w:szCs w:val="24"/>
        </w:rPr>
        <w:t xml:space="preserve"> </w:t>
      </w:r>
      <w:r w:rsidR="00C13F1A">
        <w:rPr>
          <w:rFonts w:ascii="Georgia" w:hAnsi="Georgia"/>
          <w:sz w:val="24"/>
          <w:szCs w:val="24"/>
        </w:rPr>
        <w:t xml:space="preserve">Thus </w:t>
      </w:r>
      <w:r w:rsidRPr="005A04C9">
        <w:rPr>
          <w:rFonts w:ascii="Georgia" w:hAnsi="Georgia"/>
          <w:sz w:val="24"/>
          <w:szCs w:val="24"/>
        </w:rPr>
        <w:t xml:space="preserve">Congress defined export terminals </w:t>
      </w:r>
      <w:r w:rsidR="00EB6A5C">
        <w:rPr>
          <w:rFonts w:ascii="Georgia" w:hAnsi="Georgia"/>
          <w:sz w:val="24"/>
          <w:szCs w:val="24"/>
        </w:rPr>
        <w:t xml:space="preserve">to </w:t>
      </w:r>
      <w:r w:rsidRPr="005A04C9">
        <w:rPr>
          <w:rFonts w:ascii="Georgia" w:hAnsi="Georgia"/>
          <w:sz w:val="24"/>
          <w:szCs w:val="24"/>
        </w:rPr>
        <w:t xml:space="preserve">include activities beyond </w:t>
      </w:r>
      <w:r w:rsidR="00551646">
        <w:rPr>
          <w:rFonts w:ascii="Georgia" w:hAnsi="Georgia"/>
          <w:sz w:val="24"/>
          <w:szCs w:val="24"/>
        </w:rPr>
        <w:t>liquef</w:t>
      </w:r>
      <w:r w:rsidR="00551646" w:rsidRPr="005A04C9">
        <w:rPr>
          <w:rFonts w:ascii="Georgia" w:hAnsi="Georgia"/>
          <w:sz w:val="24"/>
          <w:szCs w:val="24"/>
        </w:rPr>
        <w:t>action</w:t>
      </w:r>
      <w:r w:rsidRPr="005A04C9">
        <w:rPr>
          <w:rFonts w:ascii="Georgia" w:hAnsi="Georgia"/>
          <w:sz w:val="24"/>
          <w:szCs w:val="24"/>
        </w:rPr>
        <w:t xml:space="preserve"> and LNG to encompass </w:t>
      </w:r>
      <w:r w:rsidRPr="005A04C9">
        <w:rPr>
          <w:rFonts w:ascii="Georgia" w:hAnsi="Georgia"/>
          <w:i/>
          <w:iCs/>
          <w:sz w:val="24"/>
          <w:szCs w:val="24"/>
        </w:rPr>
        <w:t>any</w:t>
      </w:r>
      <w:r w:rsidRPr="005A04C9">
        <w:rPr>
          <w:rFonts w:ascii="Georgia" w:hAnsi="Georgia"/>
          <w:sz w:val="24"/>
          <w:szCs w:val="24"/>
        </w:rPr>
        <w:t xml:space="preserve"> </w:t>
      </w:r>
      <w:r w:rsidR="00DF094D" w:rsidRPr="005A04C9">
        <w:rPr>
          <w:rFonts w:ascii="Georgia" w:hAnsi="Georgia"/>
          <w:sz w:val="24"/>
          <w:szCs w:val="24"/>
        </w:rPr>
        <w:t xml:space="preserve">onshore </w:t>
      </w:r>
      <w:r w:rsidRPr="005A04C9">
        <w:rPr>
          <w:rFonts w:ascii="Georgia" w:hAnsi="Georgia"/>
          <w:sz w:val="24"/>
          <w:szCs w:val="24"/>
        </w:rPr>
        <w:t>facility designed to export natural gas</w:t>
      </w:r>
      <w:r w:rsidR="005A04C9">
        <w:rPr>
          <w:rFonts w:ascii="Georgia" w:hAnsi="Georgia"/>
          <w:sz w:val="24"/>
          <w:szCs w:val="24"/>
        </w:rPr>
        <w:t>, because Congress understood that gas exports are a feature of foreign commerce requiring exclusive federal authority</w:t>
      </w:r>
      <w:r w:rsidRPr="005A04C9">
        <w:rPr>
          <w:rFonts w:ascii="Georgia" w:hAnsi="Georgia"/>
          <w:sz w:val="24"/>
          <w:szCs w:val="24"/>
        </w:rPr>
        <w:t>.</w:t>
      </w:r>
    </w:p>
    <w:p w14:paraId="4E3D9D0F" w14:textId="77777777" w:rsidR="00B65745" w:rsidRPr="00DC5618" w:rsidRDefault="00B65745" w:rsidP="00B65745">
      <w:pPr>
        <w:pStyle w:val="ListParagraph"/>
        <w:rPr>
          <w:rFonts w:ascii="Georgia" w:hAnsi="Georgia"/>
          <w:sz w:val="24"/>
          <w:szCs w:val="24"/>
        </w:rPr>
      </w:pPr>
    </w:p>
    <w:p w14:paraId="2CBF39F8" w14:textId="77777777" w:rsidR="00B65745" w:rsidRDefault="00B65745" w:rsidP="00B65745">
      <w:pPr>
        <w:pStyle w:val="ListParagraph"/>
        <w:numPr>
          <w:ilvl w:val="0"/>
          <w:numId w:val="1"/>
        </w:numPr>
        <w:spacing w:line="360" w:lineRule="auto"/>
        <w:ind w:left="778"/>
        <w:rPr>
          <w:rFonts w:ascii="Georgia" w:hAnsi="Georgia"/>
          <w:sz w:val="24"/>
          <w:szCs w:val="24"/>
        </w:rPr>
      </w:pPr>
      <w:r w:rsidRPr="00692E47">
        <w:rPr>
          <w:rFonts w:ascii="Georgia" w:hAnsi="Georgia"/>
          <w:sz w:val="24"/>
          <w:szCs w:val="24"/>
        </w:rPr>
        <w:t xml:space="preserve">On February 15, 2005, FERC </w:t>
      </w:r>
      <w:r>
        <w:rPr>
          <w:rFonts w:ascii="Georgia" w:hAnsi="Georgia"/>
          <w:sz w:val="24"/>
          <w:szCs w:val="24"/>
        </w:rPr>
        <w:t>testified before</w:t>
      </w:r>
      <w:r w:rsidRPr="00692E47">
        <w:rPr>
          <w:rFonts w:ascii="Georgia" w:hAnsi="Georgia"/>
          <w:sz w:val="24"/>
          <w:szCs w:val="24"/>
        </w:rPr>
        <w:t xml:space="preserve"> the United States Senate Committee on Energy and Natural Resources</w:t>
      </w:r>
      <w:r>
        <w:rPr>
          <w:rFonts w:ascii="Georgia" w:hAnsi="Georgia"/>
          <w:sz w:val="24"/>
          <w:szCs w:val="24"/>
        </w:rPr>
        <w:t>, elaborating on state threats to its perceived exclusive authority over onshore natural gas import/export facilities, and asked Congress to confirm that FERC has exclusive jurisdiction over “foreign commerce” inherent in facilities exporting natural gas:</w:t>
      </w:r>
    </w:p>
    <w:p w14:paraId="3F1F99B0" w14:textId="77777777" w:rsidR="00B65745" w:rsidRDefault="00B65745" w:rsidP="00B65745">
      <w:pPr>
        <w:pStyle w:val="ListParagraph"/>
        <w:ind w:left="780"/>
        <w:rPr>
          <w:rFonts w:ascii="Georgia" w:hAnsi="Georgia"/>
          <w:sz w:val="24"/>
          <w:szCs w:val="24"/>
        </w:rPr>
      </w:pPr>
    </w:p>
    <w:p w14:paraId="3A57D06D" w14:textId="77777777" w:rsidR="00B65745" w:rsidRPr="00593B13" w:rsidRDefault="00B65745" w:rsidP="00B65745">
      <w:pPr>
        <w:pStyle w:val="ListParagraph"/>
        <w:ind w:left="1440"/>
        <w:rPr>
          <w:rFonts w:ascii="Georgia" w:hAnsi="Georgia"/>
          <w:sz w:val="24"/>
          <w:szCs w:val="24"/>
        </w:rPr>
      </w:pPr>
      <w:r w:rsidRPr="00593B13">
        <w:rPr>
          <w:rFonts w:ascii="Georgia" w:hAnsi="Georgia"/>
          <w:sz w:val="24"/>
          <w:szCs w:val="24"/>
        </w:rPr>
        <w:t xml:space="preserve">the U.S. Court Appeals for the Ninth Circuit is currently considering a challenge by the California Public Utility Commission to the exclusivity of the Commission's authority. It would be extremely helpful if Congress were to confirm the exclusive nature of the Commission's jurisdiction, in order to forestall further debate and judicial review. This would not mean that other Federal and state agencies with permitting responsibilities (e.g., </w:t>
      </w:r>
      <w:r w:rsidRPr="00593B13">
        <w:rPr>
          <w:rFonts w:ascii="Georgia" w:hAnsi="Georgia"/>
          <w:sz w:val="24"/>
          <w:szCs w:val="24"/>
        </w:rPr>
        <w:lastRenderedPageBreak/>
        <w:t>states acting under CZMA, or Clean Water Act-Section 401) would lose authority, but rather would be a recognition of the Commission's paramount role in this area of foreign commerce”.</w:t>
      </w:r>
      <w:r w:rsidRPr="00593B13">
        <w:rPr>
          <w:rStyle w:val="FootnoteReference"/>
          <w:rFonts w:ascii="Georgia" w:hAnsi="Georgia"/>
          <w:sz w:val="24"/>
          <w:szCs w:val="24"/>
        </w:rPr>
        <w:footnoteReference w:id="4"/>
      </w:r>
    </w:p>
    <w:p w14:paraId="55E3B71E" w14:textId="77777777" w:rsidR="00B65745" w:rsidRDefault="00B65745" w:rsidP="00B65745">
      <w:pPr>
        <w:pStyle w:val="ListParagraph"/>
        <w:spacing w:line="360" w:lineRule="auto"/>
        <w:ind w:left="778"/>
        <w:rPr>
          <w:rFonts w:ascii="Georgia" w:hAnsi="Georgia"/>
          <w:sz w:val="24"/>
          <w:szCs w:val="24"/>
        </w:rPr>
      </w:pPr>
    </w:p>
    <w:p w14:paraId="1BF4EBB8" w14:textId="517A1681" w:rsidR="00B65745" w:rsidRDefault="00B65745"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Indeed, Congress had spoken before, inserting language into the </w:t>
      </w:r>
      <w:r w:rsidR="002D7D0C">
        <w:rPr>
          <w:rFonts w:ascii="Georgia" w:hAnsi="Georgia"/>
          <w:sz w:val="24"/>
          <w:szCs w:val="24"/>
        </w:rPr>
        <w:t>c</w:t>
      </w:r>
      <w:r>
        <w:rPr>
          <w:rFonts w:ascii="Georgia" w:hAnsi="Georgia"/>
          <w:sz w:val="24"/>
          <w:szCs w:val="24"/>
        </w:rPr>
        <w:t xml:space="preserve">onference </w:t>
      </w:r>
      <w:r w:rsidR="002D7D0C">
        <w:rPr>
          <w:rFonts w:ascii="Georgia" w:hAnsi="Georgia"/>
          <w:sz w:val="24"/>
          <w:szCs w:val="24"/>
        </w:rPr>
        <w:t>r</w:t>
      </w:r>
      <w:r>
        <w:rPr>
          <w:rFonts w:ascii="Georgia" w:hAnsi="Georgia"/>
          <w:sz w:val="24"/>
          <w:szCs w:val="24"/>
        </w:rPr>
        <w:t>eport of</w:t>
      </w:r>
      <w:r w:rsidR="002D7D0C">
        <w:rPr>
          <w:rFonts w:ascii="Georgia" w:hAnsi="Georgia"/>
          <w:sz w:val="24"/>
          <w:szCs w:val="24"/>
        </w:rPr>
        <w:t xml:space="preserve"> the Commission</w:t>
      </w:r>
      <w:r>
        <w:rPr>
          <w:rFonts w:ascii="Georgia" w:hAnsi="Georgia"/>
          <w:sz w:val="24"/>
          <w:szCs w:val="24"/>
        </w:rPr>
        <w:t>’s budget clarifying that FERC ha</w:t>
      </w:r>
      <w:r w:rsidR="00AC17E4">
        <w:rPr>
          <w:rFonts w:ascii="Georgia" w:hAnsi="Georgia"/>
          <w:sz w:val="24"/>
          <w:szCs w:val="24"/>
        </w:rPr>
        <w:t>d</w:t>
      </w:r>
      <w:r>
        <w:rPr>
          <w:rFonts w:ascii="Georgia" w:hAnsi="Georgia"/>
          <w:sz w:val="24"/>
          <w:szCs w:val="24"/>
        </w:rPr>
        <w:t xml:space="preserve"> exclusive authority over onshore LNG terminals, emphasizing the “foreign commerce” nature of any facility exporting natural gas:</w:t>
      </w:r>
    </w:p>
    <w:p w14:paraId="1E03A1F3" w14:textId="77777777" w:rsidR="00B65745" w:rsidRPr="00593B13" w:rsidRDefault="00B65745" w:rsidP="00B65745">
      <w:pPr>
        <w:pStyle w:val="ListParagraph"/>
        <w:ind w:left="1440"/>
        <w:rPr>
          <w:rFonts w:ascii="Georgia" w:hAnsi="Georgia"/>
          <w:sz w:val="24"/>
          <w:szCs w:val="24"/>
        </w:rPr>
      </w:pPr>
      <w:r w:rsidRPr="00593B13">
        <w:rPr>
          <w:rFonts w:ascii="Georgia" w:hAnsi="Georgia"/>
          <w:sz w:val="24"/>
          <w:szCs w:val="24"/>
        </w:rPr>
        <w:t xml:space="preserve">On March 24, 2004, FERC issued a declaratory order asserting exclusive jurisdiction over the approval and siting of liquefied natural gas (LNG) terminals. FERC concluded that LNG terminals are </w:t>
      </w:r>
      <w:r w:rsidRPr="00593B13">
        <w:rPr>
          <w:rFonts w:ascii="Georgia" w:hAnsi="Georgia"/>
          <w:i/>
          <w:iCs/>
          <w:sz w:val="24"/>
          <w:szCs w:val="24"/>
        </w:rPr>
        <w:t>engaged in foreign commerce</w:t>
      </w:r>
      <w:r w:rsidRPr="00593B13">
        <w:rPr>
          <w:rFonts w:ascii="Georgia" w:hAnsi="Georgia"/>
          <w:sz w:val="24"/>
          <w:szCs w:val="24"/>
        </w:rPr>
        <w:t xml:space="preserve"> and, as such, fall clearly within the authority granted to the FERC under Section 3 of the Natural Gas Act of 1938. The conferees agree on this point and disagree with the position of at least one State government agency that it should be the authority responsible for LNG terminal siting within its boundaries, rather than the FERC. </w:t>
      </w:r>
      <w:r w:rsidRPr="00593B13">
        <w:rPr>
          <w:rFonts w:ascii="Georgia" w:hAnsi="Georgia"/>
          <w:i/>
          <w:iCs/>
          <w:sz w:val="24"/>
          <w:szCs w:val="24"/>
        </w:rPr>
        <w:t>The Natural Gas Act clearly preempts States on matters of approving and siting natural gas infrastructure associated with interstate and foreign commerce</w:t>
      </w:r>
      <w:r w:rsidRPr="0061007B">
        <w:rPr>
          <w:rFonts w:ascii="Georgia" w:hAnsi="Georgia"/>
          <w:sz w:val="24"/>
          <w:szCs w:val="24"/>
        </w:rPr>
        <w:t>.</w:t>
      </w:r>
      <w:r w:rsidRPr="00593B13">
        <w:rPr>
          <w:rFonts w:ascii="Georgia" w:hAnsi="Georgia"/>
          <w:sz w:val="24"/>
          <w:szCs w:val="24"/>
        </w:rPr>
        <w:t xml:space="preserve"> These facilities need one clear process for review, approval, and siting decisions. </w:t>
      </w:r>
      <w:r w:rsidRPr="00593B13">
        <w:rPr>
          <w:rFonts w:ascii="Georgia" w:hAnsi="Georgia"/>
          <w:i/>
          <w:iCs/>
          <w:sz w:val="24"/>
          <w:szCs w:val="24"/>
        </w:rPr>
        <w:t>Because LNG terminals affect both interstate and foreign commerce, LNG facility development requires a process that also looks at the national public interest, and not just the interests of one State.</w:t>
      </w:r>
      <w:r w:rsidRPr="00593B13">
        <w:rPr>
          <w:rFonts w:ascii="Georgia" w:hAnsi="Georgia"/>
          <w:sz w:val="24"/>
          <w:szCs w:val="24"/>
        </w:rPr>
        <w:t xml:space="preserve"> [emphasis added]</w:t>
      </w:r>
      <w:r w:rsidRPr="00593B13">
        <w:rPr>
          <w:rStyle w:val="FootnoteReference"/>
          <w:rFonts w:ascii="Georgia" w:hAnsi="Georgia"/>
          <w:sz w:val="24"/>
          <w:szCs w:val="24"/>
        </w:rPr>
        <w:footnoteReference w:id="5"/>
      </w:r>
      <w:r w:rsidRPr="00593B13">
        <w:rPr>
          <w:rFonts w:ascii="Georgia" w:hAnsi="Georgia"/>
          <w:sz w:val="24"/>
          <w:szCs w:val="24"/>
          <w:u w:val="single"/>
        </w:rPr>
        <w:t xml:space="preserve"> </w:t>
      </w:r>
    </w:p>
    <w:p w14:paraId="0C68B249" w14:textId="77777777" w:rsidR="00B65745" w:rsidRPr="00C13F1A" w:rsidRDefault="00B65745" w:rsidP="00B65745">
      <w:pPr>
        <w:spacing w:line="360" w:lineRule="auto"/>
        <w:rPr>
          <w:rFonts w:ascii="Georgia" w:hAnsi="Georgia"/>
          <w:sz w:val="24"/>
          <w:szCs w:val="24"/>
        </w:rPr>
      </w:pPr>
    </w:p>
    <w:p w14:paraId="471FBCEF" w14:textId="27E394B2" w:rsidR="00050040" w:rsidRDefault="00B65745"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The Natural Gas Act definition of “natural gas”―</w:t>
      </w:r>
      <w:r w:rsidR="00C13F1A">
        <w:rPr>
          <w:rFonts w:ascii="Georgia" w:hAnsi="Georgia"/>
          <w:sz w:val="24"/>
          <w:szCs w:val="24"/>
        </w:rPr>
        <w:t xml:space="preserve">which </w:t>
      </w:r>
      <w:r w:rsidR="00E45696">
        <w:rPr>
          <w:rFonts w:ascii="Georgia" w:hAnsi="Georgia"/>
          <w:sz w:val="24"/>
          <w:szCs w:val="24"/>
        </w:rPr>
        <w:t xml:space="preserve">is </w:t>
      </w:r>
      <w:r w:rsidR="00297136">
        <w:rPr>
          <w:rFonts w:ascii="Georgia" w:hAnsi="Georgia"/>
          <w:sz w:val="24"/>
          <w:szCs w:val="24"/>
        </w:rPr>
        <w:t xml:space="preserve">fully applicable to </w:t>
      </w:r>
      <w:r w:rsidR="00E45696">
        <w:rPr>
          <w:rFonts w:ascii="Georgia" w:hAnsi="Georgia"/>
          <w:sz w:val="24"/>
          <w:szCs w:val="24"/>
        </w:rPr>
        <w:t>Section 3’s provisions conferring jurisdiction with respect to exports</w:t>
      </w:r>
      <w:r w:rsidR="00E45696" w:rsidDel="00E45696">
        <w:rPr>
          <w:rFonts w:ascii="Georgia" w:hAnsi="Georgia"/>
          <w:sz w:val="24"/>
          <w:szCs w:val="24"/>
        </w:rPr>
        <w:t xml:space="preserve"> </w:t>
      </w:r>
      <w:r>
        <w:rPr>
          <w:rFonts w:ascii="Georgia" w:hAnsi="Georgia"/>
          <w:sz w:val="24"/>
          <w:szCs w:val="24"/>
        </w:rPr>
        <w:t xml:space="preserve">―is equally broad, and not confined to whether or not the gas is </w:t>
      </w:r>
      <w:r w:rsidR="00551646">
        <w:rPr>
          <w:rFonts w:ascii="Georgia" w:hAnsi="Georgia"/>
          <w:sz w:val="24"/>
          <w:szCs w:val="24"/>
        </w:rPr>
        <w:t>liquef</w:t>
      </w:r>
      <w:r>
        <w:rPr>
          <w:rFonts w:ascii="Georgia" w:hAnsi="Georgia"/>
          <w:sz w:val="24"/>
          <w:szCs w:val="24"/>
        </w:rPr>
        <w:t xml:space="preserve">ied. The NGA defines </w:t>
      </w:r>
      <w:r w:rsidRPr="00596AC1">
        <w:rPr>
          <w:rFonts w:ascii="Georgia" w:hAnsi="Georgia"/>
          <w:sz w:val="24"/>
          <w:szCs w:val="24"/>
        </w:rPr>
        <w:t xml:space="preserve">“Natural gas” </w:t>
      </w:r>
      <w:r>
        <w:rPr>
          <w:rFonts w:ascii="Georgia" w:hAnsi="Georgia"/>
          <w:sz w:val="24"/>
          <w:szCs w:val="24"/>
        </w:rPr>
        <w:t>as “</w:t>
      </w:r>
      <w:r w:rsidRPr="00C1362B">
        <w:rPr>
          <w:rFonts w:ascii="Georgia" w:hAnsi="Georgia"/>
          <w:sz w:val="24"/>
          <w:szCs w:val="24"/>
        </w:rPr>
        <w:t>either natural gas unmixed, or any mixture of natural and artificial gas</w:t>
      </w:r>
      <w:r>
        <w:rPr>
          <w:rFonts w:ascii="Georgia" w:hAnsi="Georgia"/>
          <w:sz w:val="24"/>
          <w:szCs w:val="24"/>
        </w:rPr>
        <w:t>.”</w:t>
      </w:r>
      <w:r>
        <w:rPr>
          <w:rStyle w:val="FootnoteReference"/>
          <w:rFonts w:ascii="Georgia" w:hAnsi="Georgia"/>
          <w:sz w:val="24"/>
          <w:szCs w:val="24"/>
        </w:rPr>
        <w:footnoteReference w:id="6"/>
      </w:r>
    </w:p>
    <w:p w14:paraId="0BB49BA4" w14:textId="77777777" w:rsidR="00DA077F" w:rsidRDefault="00DA077F" w:rsidP="00DA077F">
      <w:pPr>
        <w:spacing w:line="360" w:lineRule="auto"/>
        <w:rPr>
          <w:rFonts w:ascii="Georgia" w:hAnsi="Georgia"/>
          <w:sz w:val="24"/>
          <w:szCs w:val="24"/>
        </w:rPr>
      </w:pPr>
    </w:p>
    <w:p w14:paraId="0F393C3E" w14:textId="60CC2676" w:rsidR="00DA077F" w:rsidRPr="00DA077F" w:rsidRDefault="00DA077F" w:rsidP="00DA077F">
      <w:pPr>
        <w:pStyle w:val="ListParagraph"/>
        <w:numPr>
          <w:ilvl w:val="0"/>
          <w:numId w:val="1"/>
        </w:numPr>
        <w:spacing w:line="360" w:lineRule="auto"/>
        <w:rPr>
          <w:rFonts w:ascii="Georgia" w:hAnsi="Georgia"/>
          <w:sz w:val="24"/>
          <w:szCs w:val="24"/>
        </w:rPr>
      </w:pPr>
      <w:r>
        <w:rPr>
          <w:rFonts w:ascii="Georgia" w:hAnsi="Georgia"/>
          <w:sz w:val="24"/>
          <w:szCs w:val="24"/>
        </w:rPr>
        <w:t xml:space="preserve">The Commission’s description of </w:t>
      </w:r>
      <w:proofErr w:type="spellStart"/>
      <w:r>
        <w:rPr>
          <w:rFonts w:ascii="Georgia" w:hAnsi="Georgia"/>
          <w:sz w:val="24"/>
          <w:szCs w:val="24"/>
        </w:rPr>
        <w:t>Nopetro’s</w:t>
      </w:r>
      <w:proofErr w:type="spellEnd"/>
      <w:r>
        <w:rPr>
          <w:rFonts w:ascii="Georgia" w:hAnsi="Georgia"/>
          <w:sz w:val="24"/>
          <w:szCs w:val="24"/>
        </w:rPr>
        <w:t xml:space="preserve"> natural gas export facility includes four of the specific defining terms of an “LNG terminal” subject to the Commission’s exclusive authority (</w:t>
      </w:r>
      <w:r w:rsidR="00551646">
        <w:rPr>
          <w:rFonts w:ascii="Georgia" w:hAnsi="Georgia"/>
          <w:sz w:val="24"/>
          <w:szCs w:val="24"/>
        </w:rPr>
        <w:t>liquef</w:t>
      </w:r>
      <w:r>
        <w:rPr>
          <w:rFonts w:ascii="Georgia" w:hAnsi="Georgia"/>
          <w:sz w:val="24"/>
          <w:szCs w:val="24"/>
        </w:rPr>
        <w:t>y, receive, transport and load).</w:t>
      </w:r>
    </w:p>
    <w:p w14:paraId="3FE8FC5E" w14:textId="77777777" w:rsidR="00050040" w:rsidRDefault="00050040" w:rsidP="00050040">
      <w:pPr>
        <w:pStyle w:val="ListParagraph"/>
        <w:spacing w:line="360" w:lineRule="auto"/>
        <w:ind w:left="778"/>
        <w:rPr>
          <w:rFonts w:ascii="Georgia" w:hAnsi="Georgia"/>
          <w:sz w:val="24"/>
          <w:szCs w:val="24"/>
        </w:rPr>
      </w:pPr>
    </w:p>
    <w:p w14:paraId="2D65C878" w14:textId="1947F143" w:rsidR="003B58EB" w:rsidRDefault="00CB32D7"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lastRenderedPageBreak/>
        <w:t xml:space="preserve">The Commission states that </w:t>
      </w:r>
      <w:proofErr w:type="spellStart"/>
      <w:r w:rsidRPr="00CB32D7">
        <w:rPr>
          <w:rFonts w:ascii="Georgia" w:hAnsi="Georgia"/>
          <w:sz w:val="24"/>
          <w:szCs w:val="24"/>
        </w:rPr>
        <w:t>Nopetro</w:t>
      </w:r>
      <w:proofErr w:type="spellEnd"/>
      <w:r w:rsidRPr="00CB32D7">
        <w:rPr>
          <w:rFonts w:ascii="Georgia" w:hAnsi="Georgia"/>
          <w:sz w:val="24"/>
          <w:szCs w:val="24"/>
        </w:rPr>
        <w:t xml:space="preserve"> plans to construct and operate a </w:t>
      </w:r>
      <w:r w:rsidR="00C04006">
        <w:rPr>
          <w:rFonts w:ascii="Georgia" w:hAnsi="Georgia"/>
          <w:sz w:val="24"/>
          <w:szCs w:val="24"/>
        </w:rPr>
        <w:t xml:space="preserve">natural gas </w:t>
      </w:r>
      <w:r w:rsidRPr="00361184">
        <w:rPr>
          <w:rFonts w:ascii="Georgia" w:hAnsi="Georgia"/>
          <w:sz w:val="24"/>
          <w:szCs w:val="24"/>
          <w:u w:val="single"/>
        </w:rPr>
        <w:t>liquefaction</w:t>
      </w:r>
      <w:r w:rsidRPr="00CB32D7">
        <w:rPr>
          <w:rFonts w:ascii="Georgia" w:hAnsi="Georgia"/>
          <w:sz w:val="24"/>
          <w:szCs w:val="24"/>
        </w:rPr>
        <w:t xml:space="preserve"> facility, consisting of up to three liquefaction trains, </w:t>
      </w:r>
      <w:r w:rsidR="00D760F4">
        <w:rPr>
          <w:rFonts w:ascii="Georgia" w:hAnsi="Georgia"/>
          <w:sz w:val="24"/>
          <w:szCs w:val="24"/>
        </w:rPr>
        <w:t xml:space="preserve">with the gas </w:t>
      </w:r>
      <w:r w:rsidR="00DC524E">
        <w:rPr>
          <w:rFonts w:ascii="Georgia" w:hAnsi="Georgia"/>
          <w:sz w:val="24"/>
          <w:szCs w:val="24"/>
        </w:rPr>
        <w:t>designated for</w:t>
      </w:r>
      <w:r w:rsidRPr="00DC524E">
        <w:rPr>
          <w:rFonts w:ascii="Georgia" w:hAnsi="Georgia"/>
          <w:sz w:val="24"/>
          <w:szCs w:val="24"/>
        </w:rPr>
        <w:t xml:space="preserve"> export</w:t>
      </w:r>
      <w:r w:rsidR="00DC524E">
        <w:rPr>
          <w:rFonts w:ascii="Georgia" w:hAnsi="Georgia"/>
          <w:sz w:val="24"/>
          <w:szCs w:val="24"/>
        </w:rPr>
        <w:t xml:space="preserve"> out of the United States.</w:t>
      </w:r>
      <w:r w:rsidR="003553F7">
        <w:rPr>
          <w:rStyle w:val="FootnoteReference"/>
          <w:rFonts w:ascii="Georgia" w:hAnsi="Georgia"/>
          <w:sz w:val="24"/>
          <w:szCs w:val="24"/>
        </w:rPr>
        <w:footnoteReference w:id="7"/>
      </w:r>
      <w:r w:rsidR="00E62596">
        <w:rPr>
          <w:rFonts w:ascii="Georgia" w:hAnsi="Georgia"/>
          <w:sz w:val="24"/>
          <w:szCs w:val="24"/>
        </w:rPr>
        <w:t xml:space="preserve"> The Commission states that </w:t>
      </w:r>
      <w:r w:rsidR="00551646">
        <w:rPr>
          <w:rFonts w:ascii="Georgia" w:hAnsi="Georgia"/>
          <w:sz w:val="24"/>
          <w:szCs w:val="24"/>
        </w:rPr>
        <w:t>liquef</w:t>
      </w:r>
      <w:r w:rsidR="00E62596" w:rsidRPr="00E62596">
        <w:rPr>
          <w:rFonts w:ascii="Georgia" w:hAnsi="Georgia"/>
          <w:sz w:val="24"/>
          <w:szCs w:val="24"/>
        </w:rPr>
        <w:t xml:space="preserve">ied natural gas (LNG) would </w:t>
      </w:r>
      <w:r w:rsidR="006C5EC3">
        <w:rPr>
          <w:rFonts w:ascii="Georgia" w:hAnsi="Georgia"/>
          <w:sz w:val="24"/>
          <w:szCs w:val="24"/>
        </w:rPr>
        <w:t xml:space="preserve">be </w:t>
      </w:r>
      <w:r w:rsidR="00E457F5" w:rsidRPr="00593B13">
        <w:rPr>
          <w:rFonts w:ascii="Georgia" w:hAnsi="Georgia"/>
          <w:i/>
          <w:iCs/>
          <w:sz w:val="24"/>
          <w:szCs w:val="24"/>
        </w:rPr>
        <w:t>received</w:t>
      </w:r>
      <w:r w:rsidR="000B041F" w:rsidRPr="00872640">
        <w:rPr>
          <w:rFonts w:ascii="Georgia" w:hAnsi="Georgia"/>
          <w:sz w:val="24"/>
          <w:szCs w:val="24"/>
        </w:rPr>
        <w:t xml:space="preserve"> by</w:t>
      </w:r>
      <w:r w:rsidR="004279B0" w:rsidRPr="004279B0">
        <w:rPr>
          <w:rFonts w:ascii="Georgia" w:hAnsi="Georgia"/>
          <w:sz w:val="24"/>
          <w:szCs w:val="24"/>
        </w:rPr>
        <w:t xml:space="preserve"> </w:t>
      </w:r>
      <w:proofErr w:type="spellStart"/>
      <w:r w:rsidR="00F94523">
        <w:rPr>
          <w:rFonts w:ascii="Georgia" w:hAnsi="Georgia"/>
          <w:sz w:val="24"/>
          <w:szCs w:val="24"/>
        </w:rPr>
        <w:t>Nopetro’s</w:t>
      </w:r>
      <w:proofErr w:type="spellEnd"/>
      <w:r w:rsidR="00E62596" w:rsidRPr="00E62596">
        <w:rPr>
          <w:rFonts w:ascii="Georgia" w:hAnsi="Georgia"/>
          <w:sz w:val="24"/>
          <w:szCs w:val="24"/>
        </w:rPr>
        <w:t xml:space="preserve"> </w:t>
      </w:r>
      <w:r w:rsidR="00551646">
        <w:rPr>
          <w:rFonts w:ascii="Georgia" w:hAnsi="Georgia"/>
          <w:sz w:val="24"/>
          <w:szCs w:val="24"/>
        </w:rPr>
        <w:t>liquefaction</w:t>
      </w:r>
      <w:r w:rsidR="008C0F67">
        <w:rPr>
          <w:rFonts w:ascii="Georgia" w:hAnsi="Georgia"/>
          <w:sz w:val="24"/>
          <w:szCs w:val="24"/>
        </w:rPr>
        <w:t xml:space="preserve"> </w:t>
      </w:r>
      <w:r w:rsidR="00E62596" w:rsidRPr="00E62596">
        <w:rPr>
          <w:rFonts w:ascii="Georgia" w:hAnsi="Georgia"/>
          <w:sz w:val="24"/>
          <w:szCs w:val="24"/>
        </w:rPr>
        <w:t xml:space="preserve">facility </w:t>
      </w:r>
      <w:r w:rsidR="000B041F">
        <w:rPr>
          <w:rFonts w:ascii="Georgia" w:hAnsi="Georgia"/>
          <w:sz w:val="24"/>
          <w:szCs w:val="24"/>
        </w:rPr>
        <w:t xml:space="preserve">from a local distribution company, </w:t>
      </w:r>
      <w:r w:rsidR="000B041F" w:rsidRPr="00593B13">
        <w:rPr>
          <w:rFonts w:ascii="Georgia" w:hAnsi="Georgia"/>
          <w:i/>
          <w:iCs/>
          <w:sz w:val="24"/>
          <w:szCs w:val="24"/>
        </w:rPr>
        <w:t>liquefied</w:t>
      </w:r>
      <w:r w:rsidR="000B041F">
        <w:rPr>
          <w:rFonts w:ascii="Georgia" w:hAnsi="Georgia"/>
          <w:sz w:val="24"/>
          <w:szCs w:val="24"/>
        </w:rPr>
        <w:t xml:space="preserve"> at the facility</w:t>
      </w:r>
      <w:r w:rsidR="00577B73">
        <w:rPr>
          <w:rFonts w:ascii="Georgia" w:hAnsi="Georgia"/>
          <w:sz w:val="24"/>
          <w:szCs w:val="24"/>
        </w:rPr>
        <w:t xml:space="preserve"> </w:t>
      </w:r>
      <w:r w:rsidR="000B041F">
        <w:rPr>
          <w:rFonts w:ascii="Georgia" w:hAnsi="Georgia"/>
          <w:sz w:val="24"/>
          <w:szCs w:val="24"/>
        </w:rPr>
        <w:t xml:space="preserve">itself, </w:t>
      </w:r>
      <w:r w:rsidR="000B041F" w:rsidRPr="00593B13">
        <w:rPr>
          <w:rFonts w:ascii="Georgia" w:hAnsi="Georgia"/>
          <w:i/>
          <w:iCs/>
          <w:sz w:val="24"/>
          <w:szCs w:val="24"/>
        </w:rPr>
        <w:t>loaded</w:t>
      </w:r>
      <w:r w:rsidR="000B041F">
        <w:rPr>
          <w:rFonts w:ascii="Georgia" w:hAnsi="Georgia"/>
          <w:sz w:val="24"/>
          <w:szCs w:val="24"/>
        </w:rPr>
        <w:t xml:space="preserve"> </w:t>
      </w:r>
      <w:r w:rsidR="00577B73">
        <w:rPr>
          <w:rFonts w:ascii="Georgia" w:hAnsi="Georgia"/>
          <w:sz w:val="24"/>
          <w:szCs w:val="24"/>
        </w:rPr>
        <w:t xml:space="preserve">at the facility onto trucks using </w:t>
      </w:r>
      <w:r w:rsidR="00E62596" w:rsidRPr="00E62596">
        <w:rPr>
          <w:rFonts w:ascii="Georgia" w:hAnsi="Georgia"/>
          <w:sz w:val="24"/>
          <w:szCs w:val="24"/>
        </w:rPr>
        <w:t>International Organization for Standardization (ISO) containers</w:t>
      </w:r>
      <w:r w:rsidR="000B041F">
        <w:rPr>
          <w:rFonts w:ascii="Georgia" w:hAnsi="Georgia"/>
          <w:sz w:val="24"/>
          <w:szCs w:val="24"/>
        </w:rPr>
        <w:t xml:space="preserve"> and </w:t>
      </w:r>
      <w:r w:rsidR="000B041F" w:rsidRPr="00593B13">
        <w:rPr>
          <w:rFonts w:ascii="Georgia" w:hAnsi="Georgia"/>
          <w:i/>
          <w:iCs/>
          <w:sz w:val="24"/>
          <w:szCs w:val="24"/>
        </w:rPr>
        <w:t>transported</w:t>
      </w:r>
      <w:r w:rsidR="00E62596" w:rsidRPr="00E62596">
        <w:rPr>
          <w:rFonts w:ascii="Georgia" w:hAnsi="Georgia"/>
          <w:sz w:val="24"/>
          <w:szCs w:val="24"/>
        </w:rPr>
        <w:t xml:space="preserve"> via third-party truck operators roughly a quarter of a mile to a dock owned and operated by the St. Joseph’s Port. At the dock, the ISO containers would </w:t>
      </w:r>
      <w:r w:rsidR="00577B73">
        <w:rPr>
          <w:rFonts w:ascii="Georgia" w:hAnsi="Georgia"/>
          <w:sz w:val="24"/>
          <w:szCs w:val="24"/>
        </w:rPr>
        <w:t xml:space="preserve">then </w:t>
      </w:r>
      <w:r w:rsidR="00E62596" w:rsidRPr="00E62596">
        <w:rPr>
          <w:rFonts w:ascii="Georgia" w:hAnsi="Georgia"/>
          <w:sz w:val="24"/>
          <w:szCs w:val="24"/>
        </w:rPr>
        <w:t xml:space="preserve">be </w:t>
      </w:r>
      <w:r w:rsidR="00E62596" w:rsidRPr="00593B13">
        <w:rPr>
          <w:rFonts w:ascii="Georgia" w:hAnsi="Georgia"/>
          <w:i/>
          <w:iCs/>
          <w:sz w:val="24"/>
          <w:szCs w:val="24"/>
        </w:rPr>
        <w:t>loaded</w:t>
      </w:r>
      <w:r w:rsidR="008C0F67">
        <w:rPr>
          <w:rFonts w:ascii="Georgia" w:hAnsi="Georgia"/>
          <w:sz w:val="24"/>
          <w:szCs w:val="24"/>
        </w:rPr>
        <w:t xml:space="preserve"> </w:t>
      </w:r>
      <w:r w:rsidR="00E62596" w:rsidRPr="00E62596">
        <w:rPr>
          <w:rFonts w:ascii="Georgia" w:hAnsi="Georgia"/>
          <w:sz w:val="24"/>
          <w:szCs w:val="24"/>
        </w:rPr>
        <w:t xml:space="preserve">onto </w:t>
      </w:r>
      <w:r w:rsidR="008C0F67">
        <w:rPr>
          <w:rFonts w:ascii="Georgia" w:hAnsi="Georgia"/>
          <w:sz w:val="24"/>
          <w:szCs w:val="24"/>
        </w:rPr>
        <w:t>marine</w:t>
      </w:r>
      <w:r w:rsidR="00E62596" w:rsidRPr="00E62596">
        <w:rPr>
          <w:rFonts w:ascii="Georgia" w:hAnsi="Georgia"/>
          <w:sz w:val="24"/>
          <w:szCs w:val="24"/>
        </w:rPr>
        <w:t xml:space="preserve"> vessels for export</w:t>
      </w:r>
      <w:r w:rsidR="008C0F67">
        <w:rPr>
          <w:rFonts w:ascii="Georgia" w:hAnsi="Georgia"/>
          <w:sz w:val="24"/>
          <w:szCs w:val="24"/>
        </w:rPr>
        <w:t xml:space="preserve"> out of the United States</w:t>
      </w:r>
      <w:r w:rsidR="001D43D5">
        <w:rPr>
          <w:rFonts w:ascii="Georgia" w:hAnsi="Georgia"/>
          <w:sz w:val="24"/>
          <w:szCs w:val="24"/>
        </w:rPr>
        <w:t xml:space="preserve"> via a crane owned by </w:t>
      </w:r>
      <w:proofErr w:type="spellStart"/>
      <w:r w:rsidR="001D43D5">
        <w:rPr>
          <w:rFonts w:ascii="Georgia" w:hAnsi="Georgia"/>
          <w:sz w:val="24"/>
          <w:szCs w:val="24"/>
        </w:rPr>
        <w:t>Nopetro</w:t>
      </w:r>
      <w:proofErr w:type="spellEnd"/>
      <w:r w:rsidR="008C0F67">
        <w:rPr>
          <w:rFonts w:ascii="Georgia" w:hAnsi="Georgia"/>
          <w:sz w:val="24"/>
          <w:szCs w:val="24"/>
        </w:rPr>
        <w:t>.</w:t>
      </w:r>
      <w:r w:rsidR="00316162">
        <w:rPr>
          <w:rFonts w:ascii="Georgia" w:hAnsi="Georgia"/>
          <w:sz w:val="24"/>
          <w:szCs w:val="24"/>
        </w:rPr>
        <w:t xml:space="preserve"> [emphasis added]</w:t>
      </w:r>
      <w:r w:rsidR="008C0F67">
        <w:rPr>
          <w:rStyle w:val="FootnoteReference"/>
          <w:rFonts w:ascii="Georgia" w:hAnsi="Georgia"/>
          <w:sz w:val="24"/>
          <w:szCs w:val="24"/>
        </w:rPr>
        <w:footnoteReference w:id="8"/>
      </w:r>
      <w:r w:rsidR="00411E5E">
        <w:rPr>
          <w:rFonts w:ascii="Georgia" w:hAnsi="Georgia"/>
          <w:sz w:val="24"/>
          <w:szCs w:val="24"/>
        </w:rPr>
        <w:t xml:space="preserve"> </w:t>
      </w:r>
    </w:p>
    <w:p w14:paraId="039BD4AF" w14:textId="77777777" w:rsidR="000565BF" w:rsidRDefault="000565BF" w:rsidP="000565BF">
      <w:pPr>
        <w:pStyle w:val="ListParagraph"/>
        <w:ind w:left="780"/>
        <w:rPr>
          <w:rFonts w:ascii="Georgia" w:hAnsi="Georgia"/>
          <w:sz w:val="24"/>
          <w:szCs w:val="24"/>
        </w:rPr>
      </w:pPr>
    </w:p>
    <w:p w14:paraId="76907FD2" w14:textId="77777777" w:rsidR="0080535F" w:rsidRDefault="00411E5E"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The Commission concludes “that</w:t>
      </w:r>
      <w:r w:rsidRPr="00411E5E">
        <w:rPr>
          <w:rFonts w:ascii="Georgia" w:hAnsi="Georgia"/>
          <w:sz w:val="24"/>
          <w:szCs w:val="24"/>
        </w:rPr>
        <w:t xml:space="preserve"> </w:t>
      </w:r>
      <w:proofErr w:type="spellStart"/>
      <w:r w:rsidRPr="00411E5E">
        <w:rPr>
          <w:rFonts w:ascii="Georgia" w:hAnsi="Georgia"/>
          <w:sz w:val="24"/>
          <w:szCs w:val="24"/>
        </w:rPr>
        <w:t>Nopetro’s</w:t>
      </w:r>
      <w:proofErr w:type="spellEnd"/>
      <w:r w:rsidRPr="00411E5E">
        <w:rPr>
          <w:rFonts w:ascii="Georgia" w:hAnsi="Georgia"/>
          <w:sz w:val="24"/>
          <w:szCs w:val="24"/>
        </w:rPr>
        <w:t xml:space="preserve"> construction and operation of the liquefaction and truck </w:t>
      </w:r>
      <w:r w:rsidRPr="00B33852">
        <w:rPr>
          <w:rFonts w:ascii="Georgia" w:hAnsi="Georgia"/>
          <w:sz w:val="24"/>
          <w:szCs w:val="24"/>
          <w:u w:val="single"/>
        </w:rPr>
        <w:t>loading</w:t>
      </w:r>
      <w:r w:rsidRPr="00411E5E">
        <w:rPr>
          <w:rFonts w:ascii="Georgia" w:hAnsi="Georgia"/>
          <w:sz w:val="24"/>
          <w:szCs w:val="24"/>
        </w:rPr>
        <w:t xml:space="preserve"> facility and proposed transloading operations</w:t>
      </w:r>
      <w:r w:rsidR="009D7D7F">
        <w:rPr>
          <w:rFonts w:ascii="Georgia" w:hAnsi="Georgia"/>
          <w:sz w:val="24"/>
          <w:szCs w:val="24"/>
        </w:rPr>
        <w:t xml:space="preserve"> . . .</w:t>
      </w:r>
      <w:r w:rsidRPr="00411E5E">
        <w:rPr>
          <w:rFonts w:ascii="Georgia" w:hAnsi="Georgia"/>
          <w:sz w:val="24"/>
          <w:szCs w:val="24"/>
        </w:rPr>
        <w:t xml:space="preserve"> would not be subject to the Commission’s jurisdiction under section 3 or section 7 of the </w:t>
      </w:r>
      <w:r w:rsidR="009D7D7F">
        <w:rPr>
          <w:rFonts w:ascii="Georgia" w:hAnsi="Georgia"/>
          <w:sz w:val="24"/>
          <w:szCs w:val="24"/>
        </w:rPr>
        <w:t xml:space="preserve">[Natural Gas Act] </w:t>
      </w:r>
      <w:r w:rsidRPr="00411E5E">
        <w:rPr>
          <w:rFonts w:ascii="Georgia" w:hAnsi="Georgia"/>
          <w:sz w:val="24"/>
          <w:szCs w:val="24"/>
        </w:rPr>
        <w:t>NGA</w:t>
      </w:r>
      <w:r w:rsidR="0023588C">
        <w:rPr>
          <w:rFonts w:ascii="Georgia" w:hAnsi="Georgia"/>
          <w:sz w:val="24"/>
          <w:szCs w:val="24"/>
        </w:rPr>
        <w:t>”</w:t>
      </w:r>
      <w:r w:rsidR="009A4C49">
        <w:rPr>
          <w:rFonts w:ascii="Georgia" w:hAnsi="Georgia"/>
          <w:sz w:val="24"/>
          <w:szCs w:val="24"/>
        </w:rPr>
        <w:t xml:space="preserve"> [emphasis added].</w:t>
      </w:r>
      <w:r w:rsidR="009D7D7F">
        <w:rPr>
          <w:rStyle w:val="FootnoteReference"/>
          <w:rFonts w:ascii="Georgia" w:hAnsi="Georgia"/>
          <w:sz w:val="24"/>
          <w:szCs w:val="24"/>
        </w:rPr>
        <w:footnoteReference w:id="9"/>
      </w:r>
      <w:r w:rsidR="0040776D">
        <w:rPr>
          <w:rFonts w:ascii="Georgia" w:hAnsi="Georgia"/>
          <w:sz w:val="24"/>
          <w:szCs w:val="24"/>
        </w:rPr>
        <w:t xml:space="preserve"> </w:t>
      </w:r>
    </w:p>
    <w:p w14:paraId="2084847E" w14:textId="77777777" w:rsidR="0080535F" w:rsidRPr="0080535F" w:rsidRDefault="0080535F" w:rsidP="0080535F">
      <w:pPr>
        <w:pStyle w:val="ListParagraph"/>
        <w:rPr>
          <w:rFonts w:ascii="Georgia" w:hAnsi="Georgia"/>
          <w:sz w:val="24"/>
          <w:szCs w:val="24"/>
        </w:rPr>
      </w:pPr>
    </w:p>
    <w:p w14:paraId="4F6292C3" w14:textId="6DF523B1" w:rsidR="00900D7A" w:rsidRDefault="006260CE"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In granting the Petition, the Commission</w:t>
      </w:r>
      <w:r w:rsidR="00577B73">
        <w:rPr>
          <w:rFonts w:ascii="Georgia" w:hAnsi="Georgia"/>
          <w:sz w:val="24"/>
          <w:szCs w:val="24"/>
        </w:rPr>
        <w:t xml:space="preserve"> purported to</w:t>
      </w:r>
      <w:r>
        <w:rPr>
          <w:rFonts w:ascii="Georgia" w:hAnsi="Georgia"/>
          <w:sz w:val="24"/>
          <w:szCs w:val="24"/>
        </w:rPr>
        <w:t xml:space="preserve"> </w:t>
      </w:r>
      <w:r w:rsidR="00577B73">
        <w:rPr>
          <w:rFonts w:ascii="Georgia" w:hAnsi="Georgia"/>
          <w:sz w:val="24"/>
          <w:szCs w:val="24"/>
        </w:rPr>
        <w:t xml:space="preserve">apply </w:t>
      </w:r>
      <w:r w:rsidR="006064A1">
        <w:rPr>
          <w:rFonts w:ascii="Georgia" w:hAnsi="Georgia"/>
          <w:sz w:val="24"/>
          <w:szCs w:val="24"/>
        </w:rPr>
        <w:t xml:space="preserve">a three part test to determine whether </w:t>
      </w:r>
      <w:proofErr w:type="spellStart"/>
      <w:r w:rsidR="006064A1">
        <w:rPr>
          <w:rFonts w:ascii="Georgia" w:hAnsi="Georgia"/>
          <w:sz w:val="24"/>
          <w:szCs w:val="24"/>
        </w:rPr>
        <w:t>Nopetro</w:t>
      </w:r>
      <w:proofErr w:type="spellEnd"/>
      <w:r w:rsidR="006064A1">
        <w:rPr>
          <w:rFonts w:ascii="Georgia" w:hAnsi="Georgia"/>
          <w:sz w:val="24"/>
          <w:szCs w:val="24"/>
        </w:rPr>
        <w:t xml:space="preserve"> was </w:t>
      </w:r>
      <w:r>
        <w:rPr>
          <w:rFonts w:ascii="Georgia" w:hAnsi="Georgia"/>
          <w:sz w:val="24"/>
          <w:szCs w:val="24"/>
        </w:rPr>
        <w:t>“</w:t>
      </w:r>
      <w:r w:rsidRPr="006260CE">
        <w:rPr>
          <w:rFonts w:ascii="Georgia" w:hAnsi="Georgia"/>
          <w:sz w:val="24"/>
          <w:szCs w:val="24"/>
        </w:rPr>
        <w:t xml:space="preserve">subject to the Commission’s jurisdiction: (1) whether an LNG terminal would include facilities dedicated to the import or export of LNG; (2) whether the facility would be located at or near the point of import or export; and (3) whether the facility would receive or </w:t>
      </w:r>
      <w:proofErr w:type="spellStart"/>
      <w:r w:rsidRPr="006260CE">
        <w:rPr>
          <w:rFonts w:ascii="Georgia" w:hAnsi="Georgia"/>
          <w:sz w:val="24"/>
          <w:szCs w:val="24"/>
        </w:rPr>
        <w:t>sendout</w:t>
      </w:r>
      <w:proofErr w:type="spellEnd"/>
      <w:r w:rsidRPr="006260CE">
        <w:rPr>
          <w:rFonts w:ascii="Georgia" w:hAnsi="Georgia"/>
          <w:sz w:val="24"/>
          <w:szCs w:val="24"/>
        </w:rPr>
        <w:t xml:space="preserve"> gas via a pipeline</w:t>
      </w:r>
      <w:r w:rsidR="00491CC7">
        <w:rPr>
          <w:rFonts w:ascii="Georgia" w:hAnsi="Georgia"/>
          <w:sz w:val="24"/>
          <w:szCs w:val="24"/>
        </w:rPr>
        <w:t>.”</w:t>
      </w:r>
      <w:r w:rsidR="00491CC7">
        <w:rPr>
          <w:rStyle w:val="FootnoteReference"/>
          <w:rFonts w:ascii="Georgia" w:hAnsi="Georgia"/>
          <w:sz w:val="24"/>
          <w:szCs w:val="24"/>
        </w:rPr>
        <w:footnoteReference w:id="10"/>
      </w:r>
      <w:r w:rsidR="00497B94">
        <w:rPr>
          <w:rFonts w:ascii="Georgia" w:hAnsi="Georgia"/>
          <w:sz w:val="24"/>
          <w:szCs w:val="24"/>
        </w:rPr>
        <w:t xml:space="preserve"> </w:t>
      </w:r>
      <w:r w:rsidR="00F51FFD">
        <w:rPr>
          <w:rFonts w:ascii="Georgia" w:hAnsi="Georgia"/>
          <w:sz w:val="24"/>
          <w:szCs w:val="24"/>
        </w:rPr>
        <w:t xml:space="preserve">Relying on these three tests, the Commission somehow concludes that </w:t>
      </w:r>
      <w:proofErr w:type="spellStart"/>
      <w:r w:rsidR="00F51FFD">
        <w:rPr>
          <w:rFonts w:ascii="Georgia" w:hAnsi="Georgia"/>
          <w:sz w:val="24"/>
          <w:szCs w:val="24"/>
        </w:rPr>
        <w:t>Nopetro</w:t>
      </w:r>
      <w:proofErr w:type="spellEnd"/>
      <w:r w:rsidR="00900D7A">
        <w:rPr>
          <w:rFonts w:ascii="Georgia" w:hAnsi="Georgia"/>
          <w:sz w:val="24"/>
          <w:szCs w:val="24"/>
        </w:rPr>
        <w:t xml:space="preserve"> is not an LNG terminal, despite the facility clearly meeting all three tests.</w:t>
      </w:r>
    </w:p>
    <w:p w14:paraId="13A5150A" w14:textId="77777777" w:rsidR="00900D7A" w:rsidRPr="00900D7A" w:rsidRDefault="00900D7A" w:rsidP="00900D7A">
      <w:pPr>
        <w:pStyle w:val="ListParagraph"/>
        <w:rPr>
          <w:rFonts w:ascii="Georgia" w:hAnsi="Georgia"/>
          <w:sz w:val="24"/>
          <w:szCs w:val="24"/>
        </w:rPr>
      </w:pPr>
    </w:p>
    <w:p w14:paraId="5D4CC18D" w14:textId="70672E24" w:rsidR="0080535F" w:rsidRDefault="00900D7A"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On test #1, </w:t>
      </w:r>
      <w:proofErr w:type="spellStart"/>
      <w:r>
        <w:rPr>
          <w:rFonts w:ascii="Georgia" w:hAnsi="Georgia"/>
          <w:sz w:val="24"/>
          <w:szCs w:val="24"/>
        </w:rPr>
        <w:t>Nopetro</w:t>
      </w:r>
      <w:proofErr w:type="spellEnd"/>
      <w:r>
        <w:rPr>
          <w:rFonts w:ascii="Georgia" w:hAnsi="Georgia"/>
          <w:sz w:val="24"/>
          <w:szCs w:val="24"/>
        </w:rPr>
        <w:t xml:space="preserve"> has proposed</w:t>
      </w:r>
      <w:r w:rsidR="004073C9">
        <w:rPr>
          <w:rFonts w:ascii="Georgia" w:hAnsi="Georgia"/>
          <w:sz w:val="24"/>
          <w:szCs w:val="24"/>
        </w:rPr>
        <w:t xml:space="preserve"> to construct a facility that, in FERC’s own characterization, utilizes four of the </w:t>
      </w:r>
      <w:r w:rsidR="006901E1">
        <w:rPr>
          <w:rFonts w:ascii="Georgia" w:hAnsi="Georgia"/>
          <w:sz w:val="24"/>
          <w:szCs w:val="24"/>
        </w:rPr>
        <w:t xml:space="preserve">actions included in the definition of “LNG terminal”: </w:t>
      </w:r>
      <w:r w:rsidR="00551646">
        <w:rPr>
          <w:rFonts w:ascii="Georgia" w:hAnsi="Georgia"/>
          <w:sz w:val="24"/>
          <w:szCs w:val="24"/>
        </w:rPr>
        <w:t>liquef</w:t>
      </w:r>
      <w:r w:rsidR="006901E1">
        <w:rPr>
          <w:rFonts w:ascii="Georgia" w:hAnsi="Georgia"/>
          <w:sz w:val="24"/>
          <w:szCs w:val="24"/>
        </w:rPr>
        <w:t xml:space="preserve">y, receive, transport and load. </w:t>
      </w:r>
      <w:r w:rsidR="00577B73">
        <w:rPr>
          <w:rFonts w:ascii="Georgia" w:hAnsi="Georgia"/>
          <w:sz w:val="24"/>
          <w:szCs w:val="24"/>
        </w:rPr>
        <w:t xml:space="preserve">Moreover, the Commission </w:t>
      </w:r>
      <w:r w:rsidR="00577B73">
        <w:rPr>
          <w:rFonts w:ascii="Georgia" w:hAnsi="Georgia"/>
          <w:sz w:val="24"/>
          <w:szCs w:val="24"/>
        </w:rPr>
        <w:lastRenderedPageBreak/>
        <w:t>explicitly and repeatedly states that the facility will liquefy natural gas “for export.”</w:t>
      </w:r>
      <w:r w:rsidR="00577B73">
        <w:rPr>
          <w:rStyle w:val="FootnoteReference"/>
          <w:rFonts w:ascii="Georgia" w:hAnsi="Georgia"/>
          <w:sz w:val="24"/>
          <w:szCs w:val="24"/>
        </w:rPr>
        <w:footnoteReference w:id="11"/>
      </w:r>
      <w:r w:rsidR="00577B73">
        <w:rPr>
          <w:rFonts w:ascii="Georgia" w:hAnsi="Georgia"/>
          <w:sz w:val="24"/>
          <w:szCs w:val="24"/>
        </w:rPr>
        <w:t xml:space="preserve"> </w:t>
      </w:r>
      <w:r w:rsidR="006901E1">
        <w:rPr>
          <w:rFonts w:ascii="Georgia" w:hAnsi="Georgia"/>
          <w:sz w:val="24"/>
          <w:szCs w:val="24"/>
        </w:rPr>
        <w:t xml:space="preserve">So the </w:t>
      </w:r>
      <w:proofErr w:type="spellStart"/>
      <w:r w:rsidR="006901E1">
        <w:rPr>
          <w:rFonts w:ascii="Georgia" w:hAnsi="Georgia"/>
          <w:sz w:val="24"/>
          <w:szCs w:val="24"/>
        </w:rPr>
        <w:t>Nopetro</w:t>
      </w:r>
      <w:proofErr w:type="spellEnd"/>
      <w:r w:rsidR="006901E1">
        <w:rPr>
          <w:rFonts w:ascii="Georgia" w:hAnsi="Georgia"/>
          <w:sz w:val="24"/>
          <w:szCs w:val="24"/>
        </w:rPr>
        <w:t xml:space="preserve"> LNG facility meets the Commission’s first prong.</w:t>
      </w:r>
    </w:p>
    <w:p w14:paraId="3BDAA620" w14:textId="77777777" w:rsidR="0008595B" w:rsidRPr="0008595B" w:rsidRDefault="0008595B" w:rsidP="0008595B">
      <w:pPr>
        <w:pStyle w:val="ListParagraph"/>
        <w:rPr>
          <w:rFonts w:ascii="Georgia" w:hAnsi="Georgia"/>
          <w:sz w:val="24"/>
          <w:szCs w:val="24"/>
        </w:rPr>
      </w:pPr>
    </w:p>
    <w:p w14:paraId="3A5A78D7" w14:textId="41620A32" w:rsidR="0008595B" w:rsidRDefault="0008595B"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On test #2, the </w:t>
      </w:r>
      <w:proofErr w:type="spellStart"/>
      <w:r>
        <w:rPr>
          <w:rFonts w:ascii="Georgia" w:hAnsi="Georgia"/>
          <w:sz w:val="24"/>
          <w:szCs w:val="24"/>
        </w:rPr>
        <w:t>Nopetro</w:t>
      </w:r>
      <w:proofErr w:type="spellEnd"/>
      <w:r>
        <w:rPr>
          <w:rFonts w:ascii="Georgia" w:hAnsi="Georgia"/>
          <w:sz w:val="24"/>
          <w:szCs w:val="24"/>
        </w:rPr>
        <w:t xml:space="preserve"> LNG export facility is located at</w:t>
      </w:r>
      <w:r w:rsidR="00F41748">
        <w:rPr>
          <w:rFonts w:ascii="Georgia" w:hAnsi="Georgia"/>
          <w:sz w:val="24"/>
          <w:szCs w:val="24"/>
        </w:rPr>
        <w:t xml:space="preserve"> or, at a minimum, near</w:t>
      </w:r>
      <w:r>
        <w:rPr>
          <w:rFonts w:ascii="Georgia" w:hAnsi="Georgia"/>
          <w:sz w:val="24"/>
          <w:szCs w:val="24"/>
        </w:rPr>
        <w:t xml:space="preserve"> the point of export: </w:t>
      </w:r>
      <w:r w:rsidR="003D5F9F">
        <w:rPr>
          <w:rFonts w:ascii="Georgia" w:hAnsi="Georgia"/>
          <w:sz w:val="24"/>
          <w:szCs w:val="24"/>
        </w:rPr>
        <w:t xml:space="preserve">the proposed facility encompasses a mere quarter mile between where </w:t>
      </w:r>
      <w:proofErr w:type="spellStart"/>
      <w:r w:rsidR="003D5F9F">
        <w:rPr>
          <w:rFonts w:ascii="Georgia" w:hAnsi="Georgia"/>
          <w:sz w:val="24"/>
          <w:szCs w:val="24"/>
        </w:rPr>
        <w:t>Nopetro</w:t>
      </w:r>
      <w:proofErr w:type="spellEnd"/>
      <w:r w:rsidR="003D5F9F">
        <w:rPr>
          <w:rFonts w:ascii="Georgia" w:hAnsi="Georgia"/>
          <w:sz w:val="24"/>
          <w:szCs w:val="24"/>
        </w:rPr>
        <w:t xml:space="preserve"> will </w:t>
      </w:r>
      <w:r w:rsidR="00C84D88" w:rsidRPr="00C84D88">
        <w:rPr>
          <w:rFonts w:ascii="Georgia" w:hAnsi="Georgia"/>
          <w:sz w:val="24"/>
          <w:szCs w:val="24"/>
          <w:u w:val="single"/>
        </w:rPr>
        <w:t>receive</w:t>
      </w:r>
      <w:r w:rsidR="00C84D88">
        <w:rPr>
          <w:rFonts w:ascii="Georgia" w:hAnsi="Georgia"/>
          <w:sz w:val="24"/>
          <w:szCs w:val="24"/>
        </w:rPr>
        <w:t xml:space="preserve"> natural gas from a pipeline; </w:t>
      </w:r>
      <w:r w:rsidR="00551646">
        <w:rPr>
          <w:rFonts w:ascii="Georgia" w:hAnsi="Georgia"/>
          <w:sz w:val="24"/>
          <w:szCs w:val="24"/>
          <w:u w:val="single"/>
        </w:rPr>
        <w:t>liquef</w:t>
      </w:r>
      <w:r w:rsidR="003D5F9F" w:rsidRPr="00C84D88">
        <w:rPr>
          <w:rFonts w:ascii="Georgia" w:hAnsi="Georgia"/>
          <w:sz w:val="24"/>
          <w:szCs w:val="24"/>
          <w:u w:val="single"/>
        </w:rPr>
        <w:t>y</w:t>
      </w:r>
      <w:r w:rsidR="003D5F9F">
        <w:rPr>
          <w:rFonts w:ascii="Georgia" w:hAnsi="Georgia"/>
          <w:sz w:val="24"/>
          <w:szCs w:val="24"/>
        </w:rPr>
        <w:t xml:space="preserve"> natural gas</w:t>
      </w:r>
      <w:r w:rsidR="003A5DC9">
        <w:rPr>
          <w:rFonts w:ascii="Georgia" w:hAnsi="Georgia"/>
          <w:sz w:val="24"/>
          <w:szCs w:val="24"/>
        </w:rPr>
        <w:t xml:space="preserve"> into LNG;</w:t>
      </w:r>
      <w:r w:rsidR="00C84D88">
        <w:rPr>
          <w:rFonts w:ascii="Georgia" w:hAnsi="Georgia"/>
          <w:sz w:val="24"/>
          <w:szCs w:val="24"/>
        </w:rPr>
        <w:t xml:space="preserve"> </w:t>
      </w:r>
      <w:r w:rsidR="00C84D88" w:rsidRPr="00C84D88">
        <w:rPr>
          <w:rFonts w:ascii="Georgia" w:hAnsi="Georgia"/>
          <w:sz w:val="24"/>
          <w:szCs w:val="24"/>
          <w:u w:val="single"/>
        </w:rPr>
        <w:t xml:space="preserve">transport </w:t>
      </w:r>
      <w:r w:rsidR="00C84D88">
        <w:rPr>
          <w:rFonts w:ascii="Georgia" w:hAnsi="Georgia"/>
          <w:sz w:val="24"/>
          <w:szCs w:val="24"/>
        </w:rPr>
        <w:t>that LNG via trucks to a dock</w:t>
      </w:r>
      <w:r w:rsidR="003A5DC9">
        <w:rPr>
          <w:rFonts w:ascii="Georgia" w:hAnsi="Georgia"/>
          <w:sz w:val="24"/>
          <w:szCs w:val="24"/>
        </w:rPr>
        <w:t>; and</w:t>
      </w:r>
      <w:r w:rsidR="00C84D88">
        <w:rPr>
          <w:rFonts w:ascii="Georgia" w:hAnsi="Georgia"/>
          <w:sz w:val="24"/>
          <w:szCs w:val="24"/>
        </w:rPr>
        <w:t xml:space="preserve"> </w:t>
      </w:r>
      <w:r w:rsidR="00C84D88" w:rsidRPr="003A5DC9">
        <w:rPr>
          <w:rFonts w:ascii="Georgia" w:hAnsi="Georgia"/>
          <w:sz w:val="24"/>
          <w:szCs w:val="24"/>
          <w:u w:val="single"/>
        </w:rPr>
        <w:t>load</w:t>
      </w:r>
      <w:r w:rsidR="00C84D88">
        <w:rPr>
          <w:rFonts w:ascii="Georgia" w:hAnsi="Georgia"/>
          <w:sz w:val="24"/>
          <w:szCs w:val="24"/>
        </w:rPr>
        <w:t xml:space="preserve"> the LNG onto marine </w:t>
      </w:r>
      <w:r w:rsidR="00A63085">
        <w:rPr>
          <w:rFonts w:ascii="Georgia" w:hAnsi="Georgia"/>
          <w:sz w:val="24"/>
          <w:szCs w:val="24"/>
        </w:rPr>
        <w:t>vessels</w:t>
      </w:r>
      <w:r w:rsidR="00C84D88">
        <w:rPr>
          <w:rFonts w:ascii="Georgia" w:hAnsi="Georgia"/>
          <w:sz w:val="24"/>
          <w:szCs w:val="24"/>
        </w:rPr>
        <w:t xml:space="preserve"> for export out of the United States.</w:t>
      </w:r>
      <w:r w:rsidR="00F41748">
        <w:rPr>
          <w:rFonts w:ascii="Georgia" w:hAnsi="Georgia"/>
          <w:sz w:val="24"/>
          <w:szCs w:val="24"/>
        </w:rPr>
        <w:t xml:space="preserve"> </w:t>
      </w:r>
    </w:p>
    <w:p w14:paraId="08F9C33D" w14:textId="77777777" w:rsidR="00ED73F1" w:rsidRPr="00ED73F1" w:rsidRDefault="00ED73F1" w:rsidP="00ED73F1">
      <w:pPr>
        <w:pStyle w:val="ListParagraph"/>
        <w:rPr>
          <w:rFonts w:ascii="Georgia" w:hAnsi="Georgia"/>
          <w:sz w:val="24"/>
          <w:szCs w:val="24"/>
        </w:rPr>
      </w:pPr>
    </w:p>
    <w:p w14:paraId="2AE40753" w14:textId="1E4DEF04" w:rsidR="00ED73F1" w:rsidRDefault="00C947EC"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The Commission claims that its</w:t>
      </w:r>
      <w:r w:rsidR="00B91EE1">
        <w:rPr>
          <w:rFonts w:ascii="Georgia" w:hAnsi="Georgia"/>
          <w:sz w:val="24"/>
          <w:szCs w:val="24"/>
        </w:rPr>
        <w:t xml:space="preserve"> 2015 </w:t>
      </w:r>
      <w:r w:rsidR="00AD2D01">
        <w:rPr>
          <w:rFonts w:ascii="Georgia" w:hAnsi="Georgia"/>
          <w:sz w:val="24"/>
          <w:szCs w:val="24"/>
        </w:rPr>
        <w:t>precedent</w:t>
      </w:r>
      <w:r w:rsidR="00B91EE1">
        <w:rPr>
          <w:rFonts w:ascii="Georgia" w:hAnsi="Georgia"/>
          <w:sz w:val="24"/>
          <w:szCs w:val="24"/>
        </w:rPr>
        <w:t xml:space="preserve"> in </w:t>
      </w:r>
      <w:r w:rsidR="00B91EE1" w:rsidRPr="00D033D3">
        <w:rPr>
          <w:rFonts w:ascii="Georgia" w:hAnsi="Georgia"/>
          <w:i/>
          <w:iCs/>
          <w:sz w:val="24"/>
          <w:szCs w:val="24"/>
        </w:rPr>
        <w:t>Pivotal LNG, Inc.</w:t>
      </w:r>
      <w:r w:rsidR="00D033D3">
        <w:rPr>
          <w:rFonts w:ascii="Georgia" w:hAnsi="Georgia"/>
          <w:sz w:val="24"/>
          <w:szCs w:val="24"/>
        </w:rPr>
        <w:t xml:space="preserve"> </w:t>
      </w:r>
      <w:r w:rsidR="00AD52FD">
        <w:rPr>
          <w:rFonts w:ascii="Georgia" w:hAnsi="Georgia"/>
          <w:sz w:val="24"/>
          <w:szCs w:val="24"/>
        </w:rPr>
        <w:t xml:space="preserve">determines that </w:t>
      </w:r>
      <w:proofErr w:type="spellStart"/>
      <w:r w:rsidR="00AD52FD">
        <w:rPr>
          <w:rFonts w:ascii="Georgia" w:hAnsi="Georgia"/>
          <w:sz w:val="24"/>
          <w:szCs w:val="24"/>
        </w:rPr>
        <w:t>Nopetro</w:t>
      </w:r>
      <w:proofErr w:type="spellEnd"/>
      <w:r w:rsidR="00AD52FD">
        <w:rPr>
          <w:rFonts w:ascii="Georgia" w:hAnsi="Georgia"/>
          <w:sz w:val="24"/>
          <w:szCs w:val="24"/>
        </w:rPr>
        <w:t xml:space="preserve"> LNG is not an “onshore” LNG terminal and therefore does not meet the second prong test.</w:t>
      </w:r>
      <w:r w:rsidR="00BD0F69">
        <w:rPr>
          <w:rFonts w:ascii="Georgia" w:hAnsi="Georgia"/>
          <w:sz w:val="24"/>
          <w:szCs w:val="24"/>
        </w:rPr>
        <w:t xml:space="preserve"> </w:t>
      </w:r>
      <w:r w:rsidR="00123C56">
        <w:rPr>
          <w:rFonts w:ascii="Georgia" w:hAnsi="Georgia"/>
          <w:sz w:val="24"/>
          <w:szCs w:val="24"/>
        </w:rPr>
        <w:t xml:space="preserve">The language that the Commission relies upon in </w:t>
      </w:r>
      <w:r w:rsidR="00123C56" w:rsidRPr="00391EE2">
        <w:rPr>
          <w:rFonts w:ascii="Georgia" w:hAnsi="Georgia"/>
          <w:i/>
          <w:iCs/>
          <w:sz w:val="24"/>
          <w:szCs w:val="24"/>
        </w:rPr>
        <w:t>Pivotal</w:t>
      </w:r>
      <w:r w:rsidR="00391EE2">
        <w:rPr>
          <w:rFonts w:ascii="Georgia" w:hAnsi="Georgia"/>
          <w:sz w:val="24"/>
          <w:szCs w:val="24"/>
        </w:rPr>
        <w:t xml:space="preserve">: “. . . </w:t>
      </w:r>
      <w:r w:rsidR="00391EE2" w:rsidRPr="00391EE2">
        <w:rPr>
          <w:rFonts w:ascii="Georgia" w:hAnsi="Georgia"/>
          <w:sz w:val="24"/>
          <w:szCs w:val="24"/>
        </w:rPr>
        <w:t>the LNG facilities owned by Pivotal and its affiliates are all located inland, and consequently are not capable of transferring LNG directly onto ocean-going, bulk-carrier LNG tankers.</w:t>
      </w:r>
      <w:r w:rsidR="00391EE2">
        <w:rPr>
          <w:rFonts w:ascii="Georgia" w:hAnsi="Georgia"/>
          <w:sz w:val="24"/>
          <w:szCs w:val="24"/>
        </w:rPr>
        <w:t>”</w:t>
      </w:r>
      <w:r w:rsidR="00391EE2">
        <w:rPr>
          <w:rStyle w:val="FootnoteReference"/>
          <w:rFonts w:ascii="Georgia" w:hAnsi="Georgia"/>
          <w:sz w:val="24"/>
          <w:szCs w:val="24"/>
        </w:rPr>
        <w:footnoteReference w:id="12"/>
      </w:r>
      <w:r w:rsidR="00AD52FD">
        <w:rPr>
          <w:rFonts w:ascii="Georgia" w:hAnsi="Georgia"/>
          <w:sz w:val="24"/>
          <w:szCs w:val="24"/>
        </w:rPr>
        <w:t xml:space="preserve"> </w:t>
      </w:r>
      <w:r w:rsidR="00F41748">
        <w:rPr>
          <w:rFonts w:ascii="Georgia" w:hAnsi="Georgia"/>
          <w:sz w:val="24"/>
          <w:szCs w:val="24"/>
        </w:rPr>
        <w:t>But the statute nowhere requires that an onshore facility be capable of transferring LNG directly onto oceangoing vessels, or that it be located exactly at</w:t>
      </w:r>
      <w:r w:rsidR="003C6793">
        <w:rPr>
          <w:rFonts w:ascii="Georgia" w:hAnsi="Georgia"/>
          <w:sz w:val="24"/>
          <w:szCs w:val="24"/>
        </w:rPr>
        <w:t xml:space="preserve"> (or even near)</w:t>
      </w:r>
      <w:r w:rsidR="00F41748">
        <w:rPr>
          <w:rFonts w:ascii="Georgia" w:hAnsi="Georgia"/>
          <w:sz w:val="24"/>
          <w:szCs w:val="24"/>
        </w:rPr>
        <w:t xml:space="preserve"> the point where such transfer occurs: It requires only that </w:t>
      </w:r>
      <w:r w:rsidR="003D025C">
        <w:rPr>
          <w:rFonts w:ascii="Georgia" w:hAnsi="Georgia"/>
          <w:sz w:val="24"/>
          <w:szCs w:val="24"/>
        </w:rPr>
        <w:t xml:space="preserve">that facility be onshore, and that it carry out the specified functions with respect to natural gas that is exported. The </w:t>
      </w:r>
      <w:proofErr w:type="spellStart"/>
      <w:r w:rsidR="003D025C">
        <w:rPr>
          <w:rFonts w:ascii="Georgia" w:hAnsi="Georgia"/>
          <w:sz w:val="24"/>
          <w:szCs w:val="24"/>
        </w:rPr>
        <w:t>Nopetro</w:t>
      </w:r>
      <w:proofErr w:type="spellEnd"/>
      <w:r w:rsidR="003D025C">
        <w:rPr>
          <w:rFonts w:ascii="Georgia" w:hAnsi="Georgia"/>
          <w:sz w:val="24"/>
          <w:szCs w:val="24"/>
        </w:rPr>
        <w:t xml:space="preserve"> LNG export terminal is intended exclusively for that purpose, and if the Commission’s precedents require a more “direct” capability of transferring LNG to oceangoing tankers for export than the quarter-mile long process envisioned in </w:t>
      </w:r>
      <w:proofErr w:type="spellStart"/>
      <w:r w:rsidR="003D025C">
        <w:rPr>
          <w:rFonts w:ascii="Georgia" w:hAnsi="Georgia"/>
          <w:sz w:val="24"/>
          <w:szCs w:val="24"/>
        </w:rPr>
        <w:t>Nopetro’s</w:t>
      </w:r>
      <w:proofErr w:type="spellEnd"/>
      <w:r w:rsidR="003D025C">
        <w:rPr>
          <w:rFonts w:ascii="Georgia" w:hAnsi="Georgia"/>
          <w:sz w:val="24"/>
          <w:szCs w:val="24"/>
        </w:rPr>
        <w:t xml:space="preserve"> petition, they are contrary to the plain language of the statute.</w:t>
      </w:r>
    </w:p>
    <w:p w14:paraId="001F0776" w14:textId="77777777" w:rsidR="003D20BA" w:rsidRPr="003D20BA" w:rsidRDefault="003D20BA" w:rsidP="003D20BA">
      <w:pPr>
        <w:pStyle w:val="ListParagraph"/>
        <w:rPr>
          <w:rFonts w:ascii="Georgia" w:hAnsi="Georgia"/>
          <w:sz w:val="24"/>
          <w:szCs w:val="24"/>
        </w:rPr>
      </w:pPr>
    </w:p>
    <w:p w14:paraId="1BD61CE4" w14:textId="4A866000" w:rsidR="003D20BA" w:rsidRDefault="003D025C"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T</w:t>
      </w:r>
      <w:r w:rsidR="003D20BA">
        <w:rPr>
          <w:rFonts w:ascii="Georgia" w:hAnsi="Georgia"/>
          <w:sz w:val="24"/>
          <w:szCs w:val="24"/>
        </w:rPr>
        <w:t xml:space="preserve">he Commission misses the most important takeaway from </w:t>
      </w:r>
      <w:r w:rsidR="00B10D46" w:rsidRPr="00D033D3">
        <w:rPr>
          <w:rFonts w:ascii="Georgia" w:hAnsi="Georgia"/>
          <w:i/>
          <w:iCs/>
          <w:sz w:val="24"/>
          <w:szCs w:val="24"/>
        </w:rPr>
        <w:t>Pivotal LNG, Inc.</w:t>
      </w:r>
      <w:r w:rsidR="00B10D46">
        <w:rPr>
          <w:rFonts w:ascii="Georgia" w:hAnsi="Georgia"/>
          <w:sz w:val="24"/>
          <w:szCs w:val="24"/>
        </w:rPr>
        <w:t>: Norman Bay’s outstanding dissent:</w:t>
      </w:r>
    </w:p>
    <w:p w14:paraId="36D997AE" w14:textId="77777777" w:rsidR="00B10D46" w:rsidRPr="00B10D46" w:rsidRDefault="00B10D46" w:rsidP="00B10D46">
      <w:pPr>
        <w:pStyle w:val="ListParagraph"/>
        <w:rPr>
          <w:rFonts w:ascii="Georgia" w:hAnsi="Georgia"/>
          <w:sz w:val="24"/>
          <w:szCs w:val="24"/>
        </w:rPr>
      </w:pPr>
    </w:p>
    <w:p w14:paraId="3A284B32" w14:textId="75E6F0E4" w:rsidR="00B10D46" w:rsidRPr="00593B13" w:rsidRDefault="00024140" w:rsidP="00853FE7">
      <w:pPr>
        <w:pStyle w:val="ListParagraph"/>
        <w:ind w:left="1440"/>
        <w:rPr>
          <w:rFonts w:ascii="Georgia" w:hAnsi="Georgia"/>
          <w:sz w:val="24"/>
          <w:szCs w:val="24"/>
        </w:rPr>
      </w:pPr>
      <w:r w:rsidRPr="00593B13">
        <w:rPr>
          <w:rFonts w:ascii="Georgia" w:hAnsi="Georgia"/>
          <w:sz w:val="24"/>
          <w:szCs w:val="24"/>
        </w:rPr>
        <w:t xml:space="preserve">One might well wonder how a natural gas facility that is used to export gas and that must obtain an export license from the Department of Energy is not, from FERC’s perspective, an “export” facility within the meaning of the Natural Gas Act and thus not subject to FERC’s jurisdiction. If this inconsistency seems puzzling, that’s because it is. Logic, not to mention the plain language of the Act, compels a different result. Nevertheless, in </w:t>
      </w:r>
      <w:r w:rsidRPr="00593B13">
        <w:rPr>
          <w:rFonts w:ascii="Georgia" w:hAnsi="Georgia"/>
          <w:i/>
          <w:iCs/>
          <w:sz w:val="24"/>
          <w:szCs w:val="24"/>
        </w:rPr>
        <w:lastRenderedPageBreak/>
        <w:t>Emera CNG, LLC</w:t>
      </w:r>
      <w:r w:rsidRPr="00593B13">
        <w:rPr>
          <w:rFonts w:ascii="Georgia" w:hAnsi="Georgia"/>
          <w:sz w:val="24"/>
          <w:szCs w:val="24"/>
        </w:rPr>
        <w:t>, over my dissent, the Commission held that a natural gas facility used</w:t>
      </w:r>
      <w:r w:rsidR="001F6E13" w:rsidRPr="00593B13">
        <w:rPr>
          <w:rFonts w:ascii="Georgia" w:hAnsi="Georgia"/>
          <w:sz w:val="24"/>
          <w:szCs w:val="24"/>
        </w:rPr>
        <w:t xml:space="preserve"> </w:t>
      </w:r>
      <w:r w:rsidRPr="00593B13">
        <w:rPr>
          <w:rFonts w:ascii="Georgia" w:hAnsi="Georgia"/>
          <w:sz w:val="24"/>
          <w:szCs w:val="24"/>
        </w:rPr>
        <w:t>to export gas to the Bahamas was not an “export” facility because the gas from the</w:t>
      </w:r>
      <w:r w:rsidR="001F6E13" w:rsidRPr="00593B13">
        <w:rPr>
          <w:rFonts w:ascii="Georgia" w:hAnsi="Georgia"/>
          <w:sz w:val="24"/>
          <w:szCs w:val="24"/>
        </w:rPr>
        <w:t xml:space="preserve"> </w:t>
      </w:r>
      <w:r w:rsidRPr="00593B13">
        <w:rPr>
          <w:rFonts w:ascii="Georgia" w:hAnsi="Georgia"/>
          <w:sz w:val="24"/>
          <w:szCs w:val="24"/>
        </w:rPr>
        <w:t xml:space="preserve">facility had to be trucked 440 yards to the docks. Relying on the reasoning of </w:t>
      </w:r>
      <w:r w:rsidRPr="00593B13">
        <w:rPr>
          <w:rFonts w:ascii="Georgia" w:hAnsi="Georgia"/>
          <w:i/>
          <w:iCs/>
          <w:sz w:val="24"/>
          <w:szCs w:val="24"/>
        </w:rPr>
        <w:t>Emera</w:t>
      </w:r>
      <w:r w:rsidRPr="00593B13">
        <w:rPr>
          <w:rFonts w:ascii="Georgia" w:hAnsi="Georgia"/>
          <w:sz w:val="24"/>
          <w:szCs w:val="24"/>
        </w:rPr>
        <w:t>,</w:t>
      </w:r>
      <w:r w:rsidR="001F6E13" w:rsidRPr="00593B13">
        <w:rPr>
          <w:rFonts w:ascii="Georgia" w:hAnsi="Georgia"/>
          <w:sz w:val="24"/>
          <w:szCs w:val="24"/>
        </w:rPr>
        <w:t xml:space="preserve"> </w:t>
      </w:r>
      <w:r w:rsidRPr="00593B13">
        <w:rPr>
          <w:rFonts w:ascii="Georgia" w:hAnsi="Georgia"/>
          <w:sz w:val="24"/>
          <w:szCs w:val="24"/>
        </w:rPr>
        <w:t>Pivotal, which operates five LNG facilities in three different states, seeks a similar</w:t>
      </w:r>
      <w:r w:rsidR="000F5AD7" w:rsidRPr="00593B13">
        <w:rPr>
          <w:rFonts w:ascii="Georgia" w:hAnsi="Georgia"/>
          <w:sz w:val="24"/>
          <w:szCs w:val="24"/>
        </w:rPr>
        <w:t xml:space="preserve"> </w:t>
      </w:r>
      <w:r w:rsidRPr="00593B13">
        <w:rPr>
          <w:rFonts w:ascii="Georgia" w:hAnsi="Georgia"/>
          <w:sz w:val="24"/>
          <w:szCs w:val="24"/>
        </w:rPr>
        <w:t xml:space="preserve">declaratory order. For the reasons I stated in Emera, I would deny </w:t>
      </w:r>
      <w:proofErr w:type="spellStart"/>
      <w:r w:rsidRPr="00593B13">
        <w:rPr>
          <w:rFonts w:ascii="Georgia" w:hAnsi="Georgia"/>
          <w:sz w:val="24"/>
          <w:szCs w:val="24"/>
        </w:rPr>
        <w:t>Pivotal’s</w:t>
      </w:r>
      <w:proofErr w:type="spellEnd"/>
      <w:r w:rsidRPr="00593B13">
        <w:rPr>
          <w:rFonts w:ascii="Georgia" w:hAnsi="Georgia"/>
          <w:sz w:val="24"/>
          <w:szCs w:val="24"/>
        </w:rPr>
        <w:t xml:space="preserve"> request as</w:t>
      </w:r>
      <w:r w:rsidR="001F6E13" w:rsidRPr="00593B13">
        <w:rPr>
          <w:rFonts w:ascii="Georgia" w:hAnsi="Georgia"/>
          <w:sz w:val="24"/>
          <w:szCs w:val="24"/>
        </w:rPr>
        <w:t xml:space="preserve"> </w:t>
      </w:r>
      <w:r w:rsidRPr="00593B13">
        <w:rPr>
          <w:rFonts w:ascii="Georgia" w:hAnsi="Georgia"/>
          <w:sz w:val="24"/>
          <w:szCs w:val="24"/>
        </w:rPr>
        <w:t>well. The central flaw in the majority’s reasoning is that it fails to address the plain language of</w:t>
      </w:r>
      <w:r w:rsidR="000F5AD7" w:rsidRPr="00593B13">
        <w:rPr>
          <w:rFonts w:ascii="Georgia" w:hAnsi="Georgia"/>
          <w:sz w:val="24"/>
          <w:szCs w:val="24"/>
        </w:rPr>
        <w:t xml:space="preserve"> </w:t>
      </w:r>
      <w:r w:rsidRPr="00593B13">
        <w:rPr>
          <w:rFonts w:ascii="Georgia" w:hAnsi="Georgia"/>
          <w:sz w:val="24"/>
          <w:szCs w:val="24"/>
        </w:rPr>
        <w:t>the Natural Gas Act. The Act makes clear Congress’s intent to regulate the import and</w:t>
      </w:r>
      <w:r w:rsidR="000F5AD7" w:rsidRPr="00593B13">
        <w:rPr>
          <w:rFonts w:ascii="Georgia" w:hAnsi="Georgia"/>
          <w:sz w:val="24"/>
          <w:szCs w:val="24"/>
        </w:rPr>
        <w:t xml:space="preserve"> </w:t>
      </w:r>
      <w:r w:rsidRPr="00593B13">
        <w:rPr>
          <w:rFonts w:ascii="Georgia" w:hAnsi="Georgia"/>
          <w:sz w:val="24"/>
          <w:szCs w:val="24"/>
        </w:rPr>
        <w:t>export of gas.</w:t>
      </w:r>
      <w:r w:rsidR="00F516BD" w:rsidRPr="00593B13">
        <w:rPr>
          <w:rStyle w:val="FootnoteReference"/>
          <w:rFonts w:ascii="Georgia" w:hAnsi="Georgia"/>
          <w:sz w:val="24"/>
          <w:szCs w:val="24"/>
        </w:rPr>
        <w:footnoteReference w:id="13"/>
      </w:r>
    </w:p>
    <w:p w14:paraId="7051B2A2" w14:textId="77777777" w:rsidR="00761EB3" w:rsidRPr="00761EB3" w:rsidRDefault="00761EB3" w:rsidP="00761EB3">
      <w:pPr>
        <w:pStyle w:val="ListParagraph"/>
        <w:rPr>
          <w:rFonts w:ascii="Georgia" w:hAnsi="Georgia"/>
          <w:sz w:val="24"/>
          <w:szCs w:val="24"/>
        </w:rPr>
      </w:pPr>
    </w:p>
    <w:p w14:paraId="18CC4A79" w14:textId="20ECC456" w:rsidR="00761EB3" w:rsidRDefault="003D025C"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The</w:t>
      </w:r>
      <w:r w:rsidR="00761EB3">
        <w:rPr>
          <w:rFonts w:ascii="Georgia" w:hAnsi="Georgia"/>
          <w:sz w:val="24"/>
          <w:szCs w:val="24"/>
        </w:rPr>
        <w:t xml:space="preserve"> Commission concedes that </w:t>
      </w:r>
      <w:r w:rsidR="00464B27">
        <w:rPr>
          <w:rFonts w:ascii="Georgia" w:hAnsi="Georgia"/>
          <w:sz w:val="24"/>
          <w:szCs w:val="24"/>
        </w:rPr>
        <w:t>the criteria for its</w:t>
      </w:r>
      <w:r w:rsidR="00761EB3">
        <w:rPr>
          <w:rFonts w:ascii="Georgia" w:hAnsi="Georgia"/>
          <w:sz w:val="24"/>
          <w:szCs w:val="24"/>
        </w:rPr>
        <w:t xml:space="preserve"> third test</w:t>
      </w:r>
      <w:r w:rsidR="00464B27">
        <w:rPr>
          <w:rFonts w:ascii="Georgia" w:hAnsi="Georgia"/>
          <w:sz w:val="24"/>
          <w:szCs w:val="24"/>
        </w:rPr>
        <w:t xml:space="preserve"> (“</w:t>
      </w:r>
      <w:r w:rsidR="00464B27" w:rsidRPr="00464B27">
        <w:rPr>
          <w:rFonts w:ascii="Georgia" w:hAnsi="Georgia"/>
          <w:sz w:val="24"/>
          <w:szCs w:val="24"/>
        </w:rPr>
        <w:t xml:space="preserve">whether the facility would receive or </w:t>
      </w:r>
      <w:proofErr w:type="spellStart"/>
      <w:r w:rsidR="00464B27" w:rsidRPr="00464B27">
        <w:rPr>
          <w:rFonts w:ascii="Georgia" w:hAnsi="Georgia"/>
          <w:sz w:val="24"/>
          <w:szCs w:val="24"/>
        </w:rPr>
        <w:t>sendout</w:t>
      </w:r>
      <w:proofErr w:type="spellEnd"/>
      <w:r w:rsidR="00464B27" w:rsidRPr="00464B27">
        <w:rPr>
          <w:rFonts w:ascii="Georgia" w:hAnsi="Georgia"/>
          <w:sz w:val="24"/>
          <w:szCs w:val="24"/>
        </w:rPr>
        <w:t xml:space="preserve"> gas via a pipeline</w:t>
      </w:r>
      <w:r w:rsidR="00464B27">
        <w:rPr>
          <w:rFonts w:ascii="Georgia" w:hAnsi="Georgia"/>
          <w:sz w:val="24"/>
          <w:szCs w:val="24"/>
        </w:rPr>
        <w:t>”) “is met</w:t>
      </w:r>
      <w:r w:rsidR="003C6793">
        <w:rPr>
          <w:rFonts w:ascii="Georgia" w:hAnsi="Georgia"/>
          <w:sz w:val="24"/>
          <w:szCs w:val="24"/>
        </w:rPr>
        <w:t>.</w:t>
      </w:r>
      <w:r w:rsidR="00464B27">
        <w:rPr>
          <w:rFonts w:ascii="Georgia" w:hAnsi="Georgia"/>
          <w:sz w:val="24"/>
          <w:szCs w:val="24"/>
        </w:rPr>
        <w:t>”</w:t>
      </w:r>
      <w:r w:rsidR="00464B27">
        <w:rPr>
          <w:rStyle w:val="FootnoteReference"/>
          <w:rFonts w:ascii="Georgia" w:hAnsi="Georgia"/>
          <w:sz w:val="24"/>
          <w:szCs w:val="24"/>
        </w:rPr>
        <w:footnoteReference w:id="14"/>
      </w:r>
      <w:r w:rsidR="009E3CEB">
        <w:rPr>
          <w:rFonts w:ascii="Georgia" w:hAnsi="Georgia"/>
          <w:sz w:val="24"/>
          <w:szCs w:val="24"/>
        </w:rPr>
        <w:t xml:space="preserve"> So </w:t>
      </w:r>
      <w:proofErr w:type="spellStart"/>
      <w:r w:rsidR="00BF1A3C">
        <w:rPr>
          <w:rFonts w:ascii="Georgia" w:hAnsi="Georgia"/>
          <w:sz w:val="24"/>
          <w:szCs w:val="24"/>
        </w:rPr>
        <w:t>Nopetro</w:t>
      </w:r>
      <w:proofErr w:type="spellEnd"/>
      <w:r w:rsidR="00BF1A3C">
        <w:rPr>
          <w:rFonts w:ascii="Georgia" w:hAnsi="Georgia"/>
          <w:sz w:val="24"/>
          <w:szCs w:val="24"/>
        </w:rPr>
        <w:t xml:space="preserve"> LNG’s proposed export facility clearly meets all three of the Commission’s </w:t>
      </w:r>
      <w:r w:rsidR="00DE5043">
        <w:rPr>
          <w:rFonts w:ascii="Georgia" w:hAnsi="Georgia"/>
          <w:sz w:val="24"/>
          <w:szCs w:val="24"/>
        </w:rPr>
        <w:t xml:space="preserve">tests to determine </w:t>
      </w:r>
      <w:r w:rsidR="0059327B">
        <w:rPr>
          <w:rFonts w:ascii="Georgia" w:hAnsi="Georgia"/>
          <w:sz w:val="24"/>
          <w:szCs w:val="24"/>
        </w:rPr>
        <w:t>jurisdiction.</w:t>
      </w:r>
    </w:p>
    <w:p w14:paraId="64AA221A" w14:textId="77777777" w:rsidR="0080535F" w:rsidRPr="0080535F" w:rsidRDefault="0080535F" w:rsidP="0080535F">
      <w:pPr>
        <w:pStyle w:val="ListParagraph"/>
        <w:rPr>
          <w:rFonts w:ascii="Georgia" w:hAnsi="Georgia"/>
          <w:sz w:val="24"/>
          <w:szCs w:val="24"/>
        </w:rPr>
      </w:pPr>
    </w:p>
    <w:p w14:paraId="6E871043" w14:textId="390CA470" w:rsidR="00C1362B" w:rsidRDefault="0040776D"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The Commission </w:t>
      </w:r>
      <w:r w:rsidR="0059327B">
        <w:rPr>
          <w:rFonts w:ascii="Georgia" w:hAnsi="Georgia"/>
          <w:sz w:val="24"/>
          <w:szCs w:val="24"/>
        </w:rPr>
        <w:t xml:space="preserve">also </w:t>
      </w:r>
      <w:r>
        <w:rPr>
          <w:rFonts w:ascii="Georgia" w:hAnsi="Georgia"/>
          <w:sz w:val="24"/>
          <w:szCs w:val="24"/>
        </w:rPr>
        <w:t>argues that “</w:t>
      </w:r>
      <w:proofErr w:type="spellStart"/>
      <w:r w:rsidRPr="0040776D">
        <w:rPr>
          <w:rFonts w:ascii="Georgia" w:hAnsi="Georgia"/>
          <w:sz w:val="24"/>
          <w:szCs w:val="24"/>
        </w:rPr>
        <w:t>Nopetro’s</w:t>
      </w:r>
      <w:proofErr w:type="spellEnd"/>
      <w:r w:rsidRPr="0040776D">
        <w:rPr>
          <w:rFonts w:ascii="Georgia" w:hAnsi="Georgia"/>
          <w:sz w:val="24"/>
          <w:szCs w:val="24"/>
        </w:rPr>
        <w:t xml:space="preserve"> liquefaction facility is not an LNG terminal subject to our jurisdiction under section 3 of the NGA because it is not located at the point of export such that LNG can be directly transferred to vessels for export</w:t>
      </w:r>
      <w:r>
        <w:rPr>
          <w:rFonts w:ascii="Georgia" w:hAnsi="Georgia"/>
          <w:sz w:val="24"/>
          <w:szCs w:val="24"/>
        </w:rPr>
        <w:t>.”</w:t>
      </w:r>
      <w:r>
        <w:rPr>
          <w:rStyle w:val="FootnoteReference"/>
          <w:rFonts w:ascii="Georgia" w:hAnsi="Georgia"/>
          <w:sz w:val="24"/>
          <w:szCs w:val="24"/>
        </w:rPr>
        <w:footnoteReference w:id="15"/>
      </w:r>
    </w:p>
    <w:p w14:paraId="6A89A282" w14:textId="77777777" w:rsidR="007D5A0F" w:rsidRPr="007D5A0F" w:rsidRDefault="007D5A0F" w:rsidP="007D5A0F">
      <w:pPr>
        <w:pStyle w:val="ListParagraph"/>
        <w:rPr>
          <w:rFonts w:ascii="Georgia" w:hAnsi="Georgia"/>
          <w:sz w:val="24"/>
          <w:szCs w:val="24"/>
        </w:rPr>
      </w:pPr>
    </w:p>
    <w:p w14:paraId="33FC20F8" w14:textId="3634D9A1" w:rsidR="007D5A0F" w:rsidRPr="00B65745" w:rsidRDefault="006A40FC" w:rsidP="00B65745">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In an effort to disavow jurisdiction over </w:t>
      </w:r>
      <w:proofErr w:type="spellStart"/>
      <w:r>
        <w:rPr>
          <w:rFonts w:ascii="Georgia" w:hAnsi="Georgia"/>
          <w:sz w:val="24"/>
          <w:szCs w:val="24"/>
        </w:rPr>
        <w:t>Nopetro</w:t>
      </w:r>
      <w:proofErr w:type="spellEnd"/>
      <w:r>
        <w:rPr>
          <w:rFonts w:ascii="Georgia" w:hAnsi="Georgia"/>
          <w:sz w:val="24"/>
          <w:szCs w:val="24"/>
        </w:rPr>
        <w:t xml:space="preserve"> LNG, t</w:t>
      </w:r>
      <w:r w:rsidR="007D5A0F">
        <w:rPr>
          <w:rFonts w:ascii="Georgia" w:hAnsi="Georgia"/>
          <w:sz w:val="24"/>
          <w:szCs w:val="24"/>
        </w:rPr>
        <w:t xml:space="preserve">he Commission’s Order </w:t>
      </w:r>
      <w:r>
        <w:rPr>
          <w:rFonts w:ascii="Georgia" w:hAnsi="Georgia"/>
          <w:sz w:val="24"/>
          <w:szCs w:val="24"/>
        </w:rPr>
        <w:t>offers</w:t>
      </w:r>
      <w:r w:rsidR="007D5A0F">
        <w:rPr>
          <w:rFonts w:ascii="Georgia" w:hAnsi="Georgia"/>
          <w:sz w:val="24"/>
          <w:szCs w:val="24"/>
        </w:rPr>
        <w:t xml:space="preserve"> an arbitrary and unsupported allegation that </w:t>
      </w:r>
      <w:r w:rsidR="00D52C54">
        <w:rPr>
          <w:rFonts w:ascii="Georgia" w:hAnsi="Georgia"/>
          <w:sz w:val="24"/>
          <w:szCs w:val="24"/>
        </w:rPr>
        <w:t xml:space="preserve">the word </w:t>
      </w:r>
      <w:r w:rsidR="007D5A0F">
        <w:rPr>
          <w:rFonts w:ascii="Georgia" w:hAnsi="Georgia"/>
          <w:sz w:val="24"/>
          <w:szCs w:val="24"/>
        </w:rPr>
        <w:t>“onshore</w:t>
      </w:r>
      <w:r w:rsidR="00D52C54">
        <w:rPr>
          <w:rFonts w:ascii="Georgia" w:hAnsi="Georgia"/>
          <w:sz w:val="24"/>
          <w:szCs w:val="24"/>
        </w:rPr>
        <w:t>” in the Natural Gas Act</w:t>
      </w:r>
      <w:r w:rsidR="007D5A0F">
        <w:rPr>
          <w:rFonts w:ascii="Georgia" w:hAnsi="Georgia"/>
          <w:sz w:val="24"/>
          <w:szCs w:val="24"/>
        </w:rPr>
        <w:t xml:space="preserve"> </w:t>
      </w:r>
      <w:r>
        <w:rPr>
          <w:rFonts w:ascii="Georgia" w:hAnsi="Georgia"/>
          <w:sz w:val="24"/>
          <w:szCs w:val="24"/>
        </w:rPr>
        <w:t xml:space="preserve">only </w:t>
      </w:r>
      <w:r w:rsidR="00D52C54">
        <w:rPr>
          <w:rFonts w:ascii="Georgia" w:hAnsi="Georgia"/>
          <w:sz w:val="24"/>
          <w:szCs w:val="24"/>
        </w:rPr>
        <w:t>“</w:t>
      </w:r>
      <w:r w:rsidR="007D5A0F" w:rsidRPr="00147971">
        <w:rPr>
          <w:rFonts w:ascii="Georgia" w:hAnsi="Georgia"/>
          <w:sz w:val="24"/>
          <w:szCs w:val="24"/>
        </w:rPr>
        <w:t>applies to facilities that are located on or near the water or the coast</w:t>
      </w:r>
      <w:r w:rsidR="003C6793">
        <w:rPr>
          <w:rFonts w:ascii="Georgia" w:hAnsi="Georgia"/>
          <w:sz w:val="24"/>
          <w:szCs w:val="24"/>
        </w:rPr>
        <w:t>.</w:t>
      </w:r>
      <w:r w:rsidR="007D5A0F">
        <w:rPr>
          <w:rFonts w:ascii="Georgia" w:hAnsi="Georgia"/>
          <w:sz w:val="24"/>
          <w:szCs w:val="24"/>
        </w:rPr>
        <w:t>”</w:t>
      </w:r>
      <w:r w:rsidR="007D5A0F">
        <w:rPr>
          <w:rStyle w:val="FootnoteReference"/>
          <w:rFonts w:ascii="Georgia" w:hAnsi="Georgia"/>
          <w:sz w:val="24"/>
          <w:szCs w:val="24"/>
        </w:rPr>
        <w:footnoteReference w:id="16"/>
      </w:r>
      <w:r w:rsidR="003C6793">
        <w:rPr>
          <w:rFonts w:ascii="Georgia" w:hAnsi="Georgia"/>
          <w:sz w:val="24"/>
          <w:szCs w:val="24"/>
        </w:rPr>
        <w:t xml:space="preserve"> That interpretation is contrary to the plain statutory language and the structure and evident purpose of the Natural Gas Act, and is wholly unreasonable.</w:t>
      </w:r>
    </w:p>
    <w:p w14:paraId="42A9E2C0" w14:textId="77777777" w:rsidR="005E21B0" w:rsidRPr="00F71B79" w:rsidRDefault="005E21B0" w:rsidP="00F71B79">
      <w:pPr>
        <w:rPr>
          <w:rFonts w:ascii="Georgia" w:hAnsi="Georgia"/>
          <w:sz w:val="24"/>
          <w:szCs w:val="24"/>
        </w:rPr>
      </w:pPr>
    </w:p>
    <w:p w14:paraId="641382E3" w14:textId="248DCCC8" w:rsidR="0093029E" w:rsidRPr="0093029E" w:rsidRDefault="005E21B0" w:rsidP="0093029E">
      <w:pPr>
        <w:pStyle w:val="ListParagraph"/>
        <w:numPr>
          <w:ilvl w:val="0"/>
          <w:numId w:val="1"/>
        </w:numPr>
        <w:spacing w:line="360" w:lineRule="auto"/>
        <w:ind w:left="778"/>
        <w:rPr>
          <w:rFonts w:ascii="Georgia" w:hAnsi="Georgia"/>
          <w:sz w:val="24"/>
          <w:szCs w:val="24"/>
        </w:rPr>
      </w:pPr>
      <w:r>
        <w:rPr>
          <w:rFonts w:ascii="Georgia" w:hAnsi="Georgia"/>
          <w:sz w:val="24"/>
          <w:szCs w:val="24"/>
        </w:rPr>
        <w:t>Congress’</w:t>
      </w:r>
      <w:r w:rsidR="005D4A16">
        <w:rPr>
          <w:rFonts w:ascii="Georgia" w:hAnsi="Georgia"/>
          <w:sz w:val="24"/>
          <w:szCs w:val="24"/>
        </w:rPr>
        <w:t xml:space="preserve"> use of the term “onshore” to qualify natural gas facilities subject to FERC’s “exclusive” jurisdiction</w:t>
      </w:r>
      <w:r w:rsidR="003A5D77">
        <w:rPr>
          <w:rFonts w:ascii="Georgia" w:hAnsi="Georgia"/>
          <w:sz w:val="24"/>
          <w:szCs w:val="24"/>
        </w:rPr>
        <w:t xml:space="preserve"> </w:t>
      </w:r>
      <w:r w:rsidR="004208EE">
        <w:rPr>
          <w:rFonts w:ascii="Georgia" w:hAnsi="Georgia"/>
          <w:sz w:val="24"/>
          <w:szCs w:val="24"/>
        </w:rPr>
        <w:t xml:space="preserve">simply </w:t>
      </w:r>
      <w:r w:rsidR="003A5D77">
        <w:rPr>
          <w:rFonts w:ascii="Georgia" w:hAnsi="Georgia"/>
          <w:sz w:val="24"/>
          <w:szCs w:val="24"/>
        </w:rPr>
        <w:t>differentiate</w:t>
      </w:r>
      <w:r w:rsidR="00ED03EC">
        <w:rPr>
          <w:rFonts w:ascii="Georgia" w:hAnsi="Georgia"/>
          <w:sz w:val="24"/>
          <w:szCs w:val="24"/>
        </w:rPr>
        <w:t>s</w:t>
      </w:r>
      <w:r w:rsidR="00722FF3">
        <w:rPr>
          <w:rFonts w:ascii="Georgia" w:hAnsi="Georgia"/>
          <w:sz w:val="24"/>
          <w:szCs w:val="24"/>
        </w:rPr>
        <w:t xml:space="preserve"> </w:t>
      </w:r>
      <w:r w:rsidR="00AB0EE6">
        <w:rPr>
          <w:rFonts w:ascii="Georgia" w:hAnsi="Georgia"/>
          <w:sz w:val="24"/>
          <w:szCs w:val="24"/>
        </w:rPr>
        <w:t>FERC’s</w:t>
      </w:r>
      <w:r w:rsidR="003A5D77">
        <w:rPr>
          <w:rFonts w:ascii="Georgia" w:hAnsi="Georgia"/>
          <w:sz w:val="24"/>
          <w:szCs w:val="24"/>
        </w:rPr>
        <w:t xml:space="preserve"> jurisdiction from </w:t>
      </w:r>
      <w:r w:rsidR="00722FF3">
        <w:rPr>
          <w:rFonts w:ascii="Georgia" w:hAnsi="Georgia"/>
          <w:sz w:val="24"/>
          <w:szCs w:val="24"/>
        </w:rPr>
        <w:t xml:space="preserve">that of </w:t>
      </w:r>
      <w:r w:rsidR="003A5D77">
        <w:rPr>
          <w:rFonts w:ascii="Georgia" w:hAnsi="Georgia"/>
          <w:sz w:val="24"/>
          <w:szCs w:val="24"/>
        </w:rPr>
        <w:t xml:space="preserve">the U.S. Coast Guard’s exclusive jurisdiction of </w:t>
      </w:r>
      <w:r w:rsidR="000307C3">
        <w:rPr>
          <w:rFonts w:ascii="Georgia" w:hAnsi="Georgia"/>
          <w:sz w:val="24"/>
          <w:szCs w:val="24"/>
        </w:rPr>
        <w:t xml:space="preserve">natural gas exports from </w:t>
      </w:r>
      <w:r w:rsidR="003A5D77" w:rsidRPr="008E14D4">
        <w:rPr>
          <w:rFonts w:ascii="Georgia" w:hAnsi="Georgia"/>
          <w:i/>
          <w:iCs/>
          <w:sz w:val="24"/>
          <w:szCs w:val="24"/>
        </w:rPr>
        <w:t>offshore</w:t>
      </w:r>
      <w:r w:rsidR="003A5D77">
        <w:rPr>
          <w:rFonts w:ascii="Georgia" w:hAnsi="Georgia"/>
          <w:sz w:val="24"/>
          <w:szCs w:val="24"/>
        </w:rPr>
        <w:t xml:space="preserve"> </w:t>
      </w:r>
      <w:proofErr w:type="spellStart"/>
      <w:r w:rsidR="00AB0EE6">
        <w:rPr>
          <w:rFonts w:ascii="Georgia" w:hAnsi="Georgia"/>
          <w:sz w:val="24"/>
          <w:szCs w:val="24"/>
        </w:rPr>
        <w:t>deepwater</w:t>
      </w:r>
      <w:proofErr w:type="spellEnd"/>
      <w:r w:rsidR="00AB0EE6">
        <w:rPr>
          <w:rFonts w:ascii="Georgia" w:hAnsi="Georgia"/>
          <w:sz w:val="24"/>
          <w:szCs w:val="24"/>
        </w:rPr>
        <w:t xml:space="preserve"> ports</w:t>
      </w:r>
      <w:r w:rsidR="003A5D77">
        <w:rPr>
          <w:rFonts w:ascii="Georgia" w:hAnsi="Georgia"/>
          <w:sz w:val="24"/>
          <w:szCs w:val="24"/>
        </w:rPr>
        <w:t>.</w:t>
      </w:r>
      <w:r w:rsidR="0093029E">
        <w:rPr>
          <w:rFonts w:ascii="Georgia" w:hAnsi="Georgia"/>
          <w:sz w:val="24"/>
          <w:szCs w:val="24"/>
        </w:rPr>
        <w:t xml:space="preserve"> Indeed, t</w:t>
      </w:r>
      <w:r w:rsidR="0093029E" w:rsidRPr="0093029E">
        <w:rPr>
          <w:rFonts w:ascii="Georgia" w:hAnsi="Georgia"/>
          <w:sz w:val="24"/>
          <w:szCs w:val="24"/>
        </w:rPr>
        <w:t xml:space="preserve">his is bolstered by FERC’s 2005 congressional testimony, which included a section </w:t>
      </w:r>
      <w:r w:rsidR="0093029E" w:rsidRPr="0093029E">
        <w:rPr>
          <w:rFonts w:ascii="Georgia" w:hAnsi="Georgia"/>
          <w:i/>
          <w:iCs/>
          <w:sz w:val="24"/>
          <w:szCs w:val="24"/>
        </w:rPr>
        <w:t xml:space="preserve">Recommended Legislative </w:t>
      </w:r>
      <w:r w:rsidR="0093029E" w:rsidRPr="0093029E">
        <w:rPr>
          <w:rFonts w:ascii="Georgia" w:hAnsi="Georgia"/>
          <w:i/>
          <w:iCs/>
          <w:sz w:val="24"/>
          <w:szCs w:val="24"/>
        </w:rPr>
        <w:lastRenderedPageBreak/>
        <w:t>Changes</w:t>
      </w:r>
      <w:r w:rsidR="0093029E" w:rsidRPr="0093029E">
        <w:rPr>
          <w:rFonts w:ascii="Georgia" w:hAnsi="Georgia"/>
          <w:sz w:val="24"/>
          <w:szCs w:val="24"/>
        </w:rPr>
        <w:t xml:space="preserve">, providing the Commission’s view on its jurisdictional outlook over </w:t>
      </w:r>
      <w:r w:rsidR="0093029E" w:rsidRPr="0093029E">
        <w:rPr>
          <w:rFonts w:ascii="Georgia" w:hAnsi="Georgia"/>
          <w:sz w:val="24"/>
          <w:szCs w:val="24"/>
          <w:u w:val="single"/>
        </w:rPr>
        <w:t>onshore</w:t>
      </w:r>
      <w:r w:rsidR="0093029E" w:rsidRPr="0093029E">
        <w:rPr>
          <w:rFonts w:ascii="Georgia" w:hAnsi="Georgia"/>
          <w:sz w:val="24"/>
          <w:szCs w:val="24"/>
        </w:rPr>
        <w:t xml:space="preserve"> natural gas terminals:</w:t>
      </w:r>
    </w:p>
    <w:p w14:paraId="5B912544" w14:textId="77777777" w:rsidR="0093029E" w:rsidRPr="00407FFB" w:rsidRDefault="0093029E" w:rsidP="0093029E">
      <w:pPr>
        <w:pStyle w:val="ListParagraph"/>
        <w:rPr>
          <w:rFonts w:ascii="Georgia" w:hAnsi="Georgia"/>
          <w:sz w:val="24"/>
          <w:szCs w:val="24"/>
        </w:rPr>
      </w:pPr>
    </w:p>
    <w:p w14:paraId="44D7B298" w14:textId="429A4E58" w:rsidR="0093029E" w:rsidRPr="003C6793" w:rsidRDefault="0093029E" w:rsidP="00EE0381">
      <w:pPr>
        <w:pStyle w:val="ListParagraph"/>
        <w:ind w:left="1440"/>
        <w:rPr>
          <w:rFonts w:ascii="Georgia" w:hAnsi="Georgia"/>
          <w:sz w:val="24"/>
          <w:szCs w:val="24"/>
        </w:rPr>
      </w:pPr>
      <w:r w:rsidRPr="00593B13">
        <w:rPr>
          <w:rFonts w:ascii="Georgia" w:hAnsi="Georgia"/>
          <w:sz w:val="24"/>
          <w:szCs w:val="24"/>
        </w:rPr>
        <w:t xml:space="preserve">The Commission has interpreted section 3 of the Natural Gas Act as conferring exclusive jurisdiction on the Commission with respect to the siting, construction, operation, and safety of LNG facilities </w:t>
      </w:r>
      <w:r w:rsidRPr="00593B13">
        <w:rPr>
          <w:rFonts w:ascii="Georgia" w:hAnsi="Georgia"/>
          <w:sz w:val="24"/>
          <w:szCs w:val="24"/>
          <w:u w:val="single"/>
        </w:rPr>
        <w:t>onshore</w:t>
      </w:r>
      <w:r w:rsidRPr="00593B13">
        <w:rPr>
          <w:rFonts w:ascii="Georgia" w:hAnsi="Georgia"/>
          <w:sz w:val="24"/>
          <w:szCs w:val="24"/>
        </w:rPr>
        <w:t xml:space="preserve"> and in state water </w:t>
      </w:r>
      <w:r w:rsidRPr="00593B13">
        <w:rPr>
          <w:rFonts w:ascii="Georgia" w:hAnsi="Georgia"/>
          <w:i/>
          <w:iCs/>
          <w:sz w:val="24"/>
          <w:szCs w:val="24"/>
        </w:rPr>
        <w:t>(as distinguished from those offshore facilities that are within the Coast Guard’s jurisdiction)</w:t>
      </w:r>
      <w:r w:rsidR="003C6793">
        <w:rPr>
          <w:rFonts w:ascii="Georgia" w:hAnsi="Georgia"/>
          <w:sz w:val="24"/>
          <w:szCs w:val="24"/>
        </w:rPr>
        <w:t>.</w:t>
      </w:r>
      <w:r w:rsidRPr="00593B13">
        <w:rPr>
          <w:rFonts w:ascii="Georgia" w:hAnsi="Georgia"/>
          <w:sz w:val="24"/>
          <w:szCs w:val="24"/>
        </w:rPr>
        <w:t xml:space="preserve"> [emphasis added]</w:t>
      </w:r>
      <w:r w:rsidRPr="00593B13">
        <w:rPr>
          <w:rStyle w:val="FootnoteReference"/>
          <w:rFonts w:ascii="Georgia" w:hAnsi="Georgia"/>
          <w:sz w:val="24"/>
          <w:szCs w:val="24"/>
        </w:rPr>
        <w:footnoteReference w:id="17"/>
      </w:r>
    </w:p>
    <w:p w14:paraId="1AC7DF1F" w14:textId="77777777" w:rsidR="00B81B27" w:rsidRPr="00B81B27" w:rsidRDefault="00B81B27" w:rsidP="00B81B27">
      <w:pPr>
        <w:pStyle w:val="ListParagraph"/>
        <w:rPr>
          <w:rFonts w:ascii="Georgia" w:hAnsi="Georgia"/>
          <w:sz w:val="24"/>
          <w:szCs w:val="24"/>
        </w:rPr>
      </w:pPr>
    </w:p>
    <w:p w14:paraId="1614C8E7" w14:textId="3905416C" w:rsidR="007C0818" w:rsidRPr="00680E4E" w:rsidRDefault="00D05ABD" w:rsidP="0037712C">
      <w:pPr>
        <w:pStyle w:val="ListParagraph"/>
        <w:numPr>
          <w:ilvl w:val="0"/>
          <w:numId w:val="1"/>
        </w:numPr>
        <w:spacing w:line="360" w:lineRule="auto"/>
        <w:ind w:left="778"/>
        <w:rPr>
          <w:rFonts w:ascii="Georgia" w:hAnsi="Georgia"/>
          <w:sz w:val="24"/>
          <w:szCs w:val="24"/>
        </w:rPr>
      </w:pPr>
      <w:r>
        <w:rPr>
          <w:rFonts w:ascii="Georgia" w:hAnsi="Georgia"/>
          <w:sz w:val="24"/>
          <w:szCs w:val="24"/>
        </w:rPr>
        <w:t>J</w:t>
      </w:r>
      <w:r w:rsidR="0073627B">
        <w:rPr>
          <w:rFonts w:ascii="Georgia" w:hAnsi="Georgia"/>
          <w:sz w:val="24"/>
          <w:szCs w:val="24"/>
        </w:rPr>
        <w:t xml:space="preserve">ust three years before granting FERC exclusive </w:t>
      </w:r>
      <w:r w:rsidR="00DF74DF">
        <w:rPr>
          <w:rFonts w:ascii="Georgia" w:hAnsi="Georgia"/>
          <w:sz w:val="24"/>
          <w:szCs w:val="24"/>
        </w:rPr>
        <w:t>jurisdiction</w:t>
      </w:r>
      <w:r w:rsidR="0073627B">
        <w:rPr>
          <w:rFonts w:ascii="Georgia" w:hAnsi="Georgia"/>
          <w:sz w:val="24"/>
          <w:szCs w:val="24"/>
        </w:rPr>
        <w:t xml:space="preserve"> over onshore natural gas exports and imports, </w:t>
      </w:r>
      <w:r w:rsidR="00B81B27" w:rsidRPr="00680E4E">
        <w:rPr>
          <w:rFonts w:ascii="Georgia" w:hAnsi="Georgia"/>
          <w:sz w:val="24"/>
          <w:szCs w:val="24"/>
        </w:rPr>
        <w:t>Congress passed the Maritime Transportation Security Act of 2002,</w:t>
      </w:r>
      <w:r w:rsidR="008C4C7A" w:rsidRPr="00680E4E">
        <w:rPr>
          <w:rFonts w:ascii="Georgia" w:hAnsi="Georgia"/>
          <w:sz w:val="24"/>
          <w:szCs w:val="24"/>
        </w:rPr>
        <w:t xml:space="preserve"> extending </w:t>
      </w:r>
      <w:r w:rsidR="00680E4E" w:rsidRPr="00680E4E">
        <w:rPr>
          <w:rFonts w:ascii="Georgia" w:hAnsi="Georgia"/>
          <w:sz w:val="24"/>
          <w:szCs w:val="24"/>
        </w:rPr>
        <w:t>the Deepwater Port Act of 1974</w:t>
      </w:r>
      <w:r w:rsidR="003C6793">
        <w:rPr>
          <w:rFonts w:ascii="Georgia" w:hAnsi="Georgia"/>
          <w:sz w:val="24"/>
          <w:szCs w:val="24"/>
        </w:rPr>
        <w:t xml:space="preserve"> to “natural gas</w:t>
      </w:r>
      <w:r w:rsidR="00DF74DF">
        <w:rPr>
          <w:rFonts w:ascii="Georgia" w:hAnsi="Georgia"/>
          <w:sz w:val="24"/>
          <w:szCs w:val="24"/>
        </w:rPr>
        <w:t>,</w:t>
      </w:r>
      <w:r w:rsidR="003C6793">
        <w:rPr>
          <w:rFonts w:ascii="Georgia" w:hAnsi="Georgia"/>
          <w:sz w:val="24"/>
          <w:szCs w:val="24"/>
        </w:rPr>
        <w:t>”</w:t>
      </w:r>
      <w:r w:rsidR="00DF74DF">
        <w:rPr>
          <w:rFonts w:ascii="Georgia" w:hAnsi="Georgia"/>
          <w:sz w:val="24"/>
          <w:szCs w:val="24"/>
        </w:rPr>
        <w:t xml:space="preserve"> thereby clarifying Coast Guard </w:t>
      </w:r>
      <w:r w:rsidR="00AE3D02">
        <w:rPr>
          <w:rFonts w:ascii="Georgia" w:hAnsi="Georgia"/>
          <w:sz w:val="24"/>
          <w:szCs w:val="24"/>
        </w:rPr>
        <w:t xml:space="preserve">exclusive </w:t>
      </w:r>
      <w:r w:rsidR="00DF74DF">
        <w:rPr>
          <w:rFonts w:ascii="Georgia" w:hAnsi="Georgia"/>
          <w:sz w:val="24"/>
          <w:szCs w:val="24"/>
        </w:rPr>
        <w:t xml:space="preserve">jurisdiction over such offshore </w:t>
      </w:r>
      <w:proofErr w:type="spellStart"/>
      <w:r w:rsidR="007B5E77">
        <w:rPr>
          <w:rFonts w:ascii="Georgia" w:hAnsi="Georgia"/>
          <w:sz w:val="24"/>
          <w:szCs w:val="24"/>
        </w:rPr>
        <w:t>deepwater</w:t>
      </w:r>
      <w:proofErr w:type="spellEnd"/>
      <w:r w:rsidR="007B5E77">
        <w:rPr>
          <w:rFonts w:ascii="Georgia" w:hAnsi="Georgia"/>
          <w:sz w:val="24"/>
          <w:szCs w:val="24"/>
        </w:rPr>
        <w:t xml:space="preserve"> ports</w:t>
      </w:r>
      <w:r w:rsidR="003A4A88">
        <w:rPr>
          <w:rFonts w:ascii="Georgia" w:hAnsi="Georgia"/>
          <w:sz w:val="24"/>
          <w:szCs w:val="24"/>
        </w:rPr>
        <w:t xml:space="preserve"> that involved the export or import of natural gas</w:t>
      </w:r>
      <w:r w:rsidR="00DF74DF">
        <w:rPr>
          <w:rFonts w:ascii="Georgia" w:hAnsi="Georgia"/>
          <w:sz w:val="24"/>
          <w:szCs w:val="24"/>
        </w:rPr>
        <w:t>.</w:t>
      </w:r>
      <w:r w:rsidR="00680E4E">
        <w:rPr>
          <w:rStyle w:val="FootnoteReference"/>
          <w:rFonts w:ascii="Georgia" w:hAnsi="Georgia"/>
          <w:sz w:val="24"/>
          <w:szCs w:val="24"/>
        </w:rPr>
        <w:footnoteReference w:id="18"/>
      </w:r>
    </w:p>
    <w:p w14:paraId="18051574" w14:textId="77777777" w:rsidR="007C0818" w:rsidRDefault="007C0818" w:rsidP="007C0818">
      <w:pPr>
        <w:rPr>
          <w:rFonts w:ascii="Georgia" w:hAnsi="Georgia"/>
          <w:sz w:val="24"/>
          <w:szCs w:val="24"/>
        </w:rPr>
      </w:pPr>
    </w:p>
    <w:p w14:paraId="681EB463" w14:textId="753F70CA" w:rsidR="00EC5DEF" w:rsidRDefault="0037712C" w:rsidP="004866D9">
      <w:pPr>
        <w:pStyle w:val="ListParagraph"/>
        <w:numPr>
          <w:ilvl w:val="0"/>
          <w:numId w:val="1"/>
        </w:numPr>
        <w:spacing w:line="360" w:lineRule="auto"/>
        <w:ind w:left="778"/>
        <w:rPr>
          <w:rFonts w:ascii="Georgia" w:hAnsi="Georgia"/>
          <w:sz w:val="24"/>
          <w:szCs w:val="24"/>
        </w:rPr>
      </w:pPr>
      <w:r>
        <w:rPr>
          <w:rFonts w:ascii="Georgia" w:hAnsi="Georgia"/>
          <w:sz w:val="24"/>
          <w:szCs w:val="24"/>
        </w:rPr>
        <w:t>T</w:t>
      </w:r>
      <w:r w:rsidR="00EC5DEF">
        <w:rPr>
          <w:rFonts w:ascii="Georgia" w:hAnsi="Georgia"/>
          <w:sz w:val="24"/>
          <w:szCs w:val="24"/>
        </w:rPr>
        <w:t xml:space="preserve">he </w:t>
      </w:r>
      <w:r w:rsidR="004866D9">
        <w:rPr>
          <w:rFonts w:ascii="Georgia" w:hAnsi="Georgia"/>
          <w:sz w:val="24"/>
          <w:szCs w:val="24"/>
        </w:rPr>
        <w:t>inclusion</w:t>
      </w:r>
      <w:r w:rsidR="00EC5DEF">
        <w:rPr>
          <w:rFonts w:ascii="Georgia" w:hAnsi="Georgia"/>
          <w:sz w:val="24"/>
          <w:szCs w:val="24"/>
        </w:rPr>
        <w:t xml:space="preserve"> of the term “onshore” in the definition of “LNG terminal”</w:t>
      </w:r>
      <w:r w:rsidR="007B45C6">
        <w:rPr>
          <w:rFonts w:ascii="Georgia" w:hAnsi="Georgia"/>
          <w:sz w:val="24"/>
          <w:szCs w:val="24"/>
        </w:rPr>
        <w:t xml:space="preserve"> </w:t>
      </w:r>
      <w:r w:rsidR="003B42F1">
        <w:rPr>
          <w:rFonts w:ascii="Georgia" w:hAnsi="Georgia"/>
          <w:sz w:val="24"/>
          <w:szCs w:val="24"/>
        </w:rPr>
        <w:t>simply complimented</w:t>
      </w:r>
      <w:r w:rsidR="007B45C6">
        <w:rPr>
          <w:rFonts w:ascii="Georgia" w:hAnsi="Georgia"/>
          <w:sz w:val="24"/>
          <w:szCs w:val="24"/>
        </w:rPr>
        <w:t xml:space="preserve"> earlier amendments adding “natural gas” to offshore </w:t>
      </w:r>
      <w:proofErr w:type="spellStart"/>
      <w:r w:rsidR="007B45C6">
        <w:rPr>
          <w:rFonts w:ascii="Georgia" w:hAnsi="Georgia"/>
          <w:sz w:val="24"/>
          <w:szCs w:val="24"/>
        </w:rPr>
        <w:t>deepwater</w:t>
      </w:r>
      <w:proofErr w:type="spellEnd"/>
      <w:r w:rsidR="007B45C6">
        <w:rPr>
          <w:rFonts w:ascii="Georgia" w:hAnsi="Georgia"/>
          <w:sz w:val="24"/>
          <w:szCs w:val="24"/>
        </w:rPr>
        <w:t xml:space="preserve"> ports to ensure comprehensive and exclusive jurisdiction for the federal government over natural gas exports and imports</w:t>
      </w:r>
      <w:r w:rsidR="00010230">
        <w:rPr>
          <w:rFonts w:ascii="Georgia" w:hAnsi="Georgia"/>
          <w:sz w:val="24"/>
          <w:szCs w:val="24"/>
        </w:rPr>
        <w:t xml:space="preserve"> from both onshore and offshore facilities.</w:t>
      </w:r>
      <w:r w:rsidR="00F43133">
        <w:rPr>
          <w:rFonts w:ascii="Georgia" w:hAnsi="Georgia"/>
          <w:sz w:val="24"/>
          <w:szCs w:val="24"/>
        </w:rPr>
        <w:t xml:space="preserve"> </w:t>
      </w:r>
    </w:p>
    <w:p w14:paraId="2B995324" w14:textId="77777777" w:rsidR="00F27BCD" w:rsidRPr="00F27BCD" w:rsidRDefault="00F27BCD" w:rsidP="00F27BCD">
      <w:pPr>
        <w:pStyle w:val="ListParagraph"/>
        <w:rPr>
          <w:rFonts w:ascii="Georgia" w:hAnsi="Georgia"/>
          <w:sz w:val="24"/>
          <w:szCs w:val="24"/>
        </w:rPr>
      </w:pPr>
    </w:p>
    <w:p w14:paraId="3D060923" w14:textId="05C8BD8B" w:rsidR="00F27BCD" w:rsidRDefault="003C6793" w:rsidP="004866D9">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The plain meaning of the term “onshore” with reference to facilities or activities is that they exist or occur on land. </w:t>
      </w:r>
      <w:r w:rsidR="00495C3D">
        <w:rPr>
          <w:rFonts w:ascii="Georgia" w:hAnsi="Georgia"/>
          <w:sz w:val="24"/>
          <w:szCs w:val="24"/>
        </w:rPr>
        <w:t>Congress uses the term “onshore” in a wide variety of statutes</w:t>
      </w:r>
      <w:r w:rsidR="00077C0F">
        <w:rPr>
          <w:rFonts w:ascii="Georgia" w:hAnsi="Georgia"/>
          <w:sz w:val="24"/>
          <w:szCs w:val="24"/>
        </w:rPr>
        <w:t xml:space="preserve"> </w:t>
      </w:r>
      <w:r w:rsidR="00C172AF">
        <w:rPr>
          <w:rFonts w:ascii="Georgia" w:hAnsi="Georgia"/>
          <w:sz w:val="24"/>
          <w:szCs w:val="24"/>
        </w:rPr>
        <w:t xml:space="preserve">and </w:t>
      </w:r>
      <w:r w:rsidR="00077C0F">
        <w:rPr>
          <w:rFonts w:ascii="Georgia" w:hAnsi="Georgia"/>
          <w:sz w:val="24"/>
          <w:szCs w:val="24"/>
        </w:rPr>
        <w:t>uses</w:t>
      </w:r>
      <w:r w:rsidR="00F934F2">
        <w:rPr>
          <w:rFonts w:ascii="Georgia" w:hAnsi="Georgia"/>
          <w:sz w:val="24"/>
          <w:szCs w:val="24"/>
        </w:rPr>
        <w:t xml:space="preserve"> it broad</w:t>
      </w:r>
      <w:r w:rsidR="00077C0F">
        <w:rPr>
          <w:rFonts w:ascii="Georgia" w:hAnsi="Georgia"/>
          <w:sz w:val="24"/>
          <w:szCs w:val="24"/>
        </w:rPr>
        <w:t>ly to apply to lands that are not submerged, regardless of how far they may be from the coastline, in contradistinction to “offshore,” which refers to activities and facilities on or under water.</w:t>
      </w:r>
      <w:r w:rsidR="00F934F2">
        <w:rPr>
          <w:rFonts w:ascii="Georgia" w:hAnsi="Georgia"/>
          <w:sz w:val="24"/>
          <w:szCs w:val="24"/>
        </w:rPr>
        <w:t xml:space="preserve"> For example, </w:t>
      </w:r>
      <w:r w:rsidR="00E556F8">
        <w:rPr>
          <w:rFonts w:ascii="Georgia" w:hAnsi="Georgia"/>
          <w:sz w:val="24"/>
          <w:szCs w:val="24"/>
        </w:rPr>
        <w:t xml:space="preserve">the Oil Pollution Act </w:t>
      </w:r>
      <w:r w:rsidR="00EC6FF5">
        <w:rPr>
          <w:rFonts w:ascii="Georgia" w:hAnsi="Georgia"/>
          <w:sz w:val="24"/>
          <w:szCs w:val="24"/>
        </w:rPr>
        <w:t xml:space="preserve">defines </w:t>
      </w:r>
      <w:r w:rsidR="00EC6FF5" w:rsidRPr="00EC6FF5">
        <w:rPr>
          <w:rFonts w:ascii="Georgia" w:hAnsi="Georgia"/>
          <w:sz w:val="24"/>
          <w:szCs w:val="24"/>
        </w:rPr>
        <w:t>“onshore facility”</w:t>
      </w:r>
      <w:r w:rsidR="00EC6FF5">
        <w:rPr>
          <w:rFonts w:ascii="Georgia" w:hAnsi="Georgia"/>
          <w:sz w:val="24"/>
          <w:szCs w:val="24"/>
        </w:rPr>
        <w:t xml:space="preserve"> as</w:t>
      </w:r>
      <w:r w:rsidR="00EC6FF5" w:rsidRPr="00EC6FF5">
        <w:rPr>
          <w:rFonts w:ascii="Georgia" w:hAnsi="Georgia"/>
          <w:sz w:val="24"/>
          <w:szCs w:val="24"/>
        </w:rPr>
        <w:t xml:space="preserve"> </w:t>
      </w:r>
      <w:r w:rsidR="00EC6FF5">
        <w:rPr>
          <w:rFonts w:ascii="Georgia" w:hAnsi="Georgia"/>
          <w:sz w:val="24"/>
          <w:szCs w:val="24"/>
        </w:rPr>
        <w:t>“</w:t>
      </w:r>
      <w:r w:rsidR="00EC6FF5" w:rsidRPr="00EC6FF5">
        <w:rPr>
          <w:rFonts w:ascii="Georgia" w:hAnsi="Georgia"/>
          <w:sz w:val="24"/>
          <w:szCs w:val="24"/>
        </w:rPr>
        <w:t>any facility (including, but not limited to, motor vehicles and rolling stock) of any kind located in, on, or under, any land within the United States other than submerged land</w:t>
      </w:r>
      <w:r w:rsidR="00EC6FF5">
        <w:rPr>
          <w:rFonts w:ascii="Georgia" w:hAnsi="Georgia"/>
          <w:sz w:val="24"/>
          <w:szCs w:val="24"/>
        </w:rPr>
        <w:t>.”</w:t>
      </w:r>
      <w:r w:rsidR="009210FD">
        <w:rPr>
          <w:rStyle w:val="FootnoteReference"/>
          <w:rFonts w:ascii="Georgia" w:hAnsi="Georgia"/>
          <w:sz w:val="24"/>
          <w:szCs w:val="24"/>
        </w:rPr>
        <w:footnoteReference w:id="19"/>
      </w:r>
    </w:p>
    <w:p w14:paraId="58DF1DE8" w14:textId="77777777" w:rsidR="00F43133" w:rsidRPr="00F43133" w:rsidRDefault="00F43133" w:rsidP="00F43133">
      <w:pPr>
        <w:pStyle w:val="ListParagraph"/>
        <w:rPr>
          <w:rFonts w:ascii="Georgia" w:hAnsi="Georgia"/>
          <w:sz w:val="24"/>
          <w:szCs w:val="24"/>
        </w:rPr>
      </w:pPr>
    </w:p>
    <w:p w14:paraId="0C289FB2" w14:textId="388E1B5C" w:rsidR="00BD6AE3" w:rsidRPr="00524D6A" w:rsidRDefault="00F43717" w:rsidP="00524D6A">
      <w:pPr>
        <w:pStyle w:val="ListParagraph"/>
        <w:numPr>
          <w:ilvl w:val="0"/>
          <w:numId w:val="1"/>
        </w:numPr>
        <w:spacing w:line="360" w:lineRule="auto"/>
        <w:ind w:left="778"/>
        <w:rPr>
          <w:rFonts w:ascii="Georgia" w:hAnsi="Georgia"/>
          <w:sz w:val="24"/>
          <w:szCs w:val="24"/>
        </w:rPr>
      </w:pPr>
      <w:r>
        <w:rPr>
          <w:rFonts w:ascii="Georgia" w:hAnsi="Georgia"/>
          <w:sz w:val="24"/>
          <w:szCs w:val="24"/>
        </w:rPr>
        <w:lastRenderedPageBreak/>
        <w:t xml:space="preserve">Congress clearly </w:t>
      </w:r>
      <w:r w:rsidR="00E457F5">
        <w:rPr>
          <w:rFonts w:ascii="Georgia" w:hAnsi="Georgia"/>
          <w:sz w:val="24"/>
          <w:szCs w:val="24"/>
        </w:rPr>
        <w:t>intended</w:t>
      </w:r>
      <w:r>
        <w:rPr>
          <w:rFonts w:ascii="Georgia" w:hAnsi="Georgia"/>
          <w:sz w:val="24"/>
          <w:szCs w:val="24"/>
        </w:rPr>
        <w:t xml:space="preserve"> FERC to have vast authority over</w:t>
      </w:r>
      <w:r w:rsidR="00214815">
        <w:rPr>
          <w:rFonts w:ascii="Georgia" w:hAnsi="Georgia"/>
          <w:sz w:val="24"/>
          <w:szCs w:val="24"/>
        </w:rPr>
        <w:t xml:space="preserve"> </w:t>
      </w:r>
      <w:r w:rsidR="00214815" w:rsidRPr="00FB6E68">
        <w:rPr>
          <w:rFonts w:ascii="Georgia" w:hAnsi="Georgia"/>
          <w:i/>
          <w:iCs/>
          <w:sz w:val="24"/>
          <w:szCs w:val="24"/>
        </w:rPr>
        <w:t>any</w:t>
      </w:r>
      <w:r w:rsidR="00214815">
        <w:rPr>
          <w:rFonts w:ascii="Georgia" w:hAnsi="Georgia"/>
          <w:sz w:val="24"/>
          <w:szCs w:val="24"/>
        </w:rPr>
        <w:t xml:space="preserve"> facility engaged in exporting natural gas located onshore</w:t>
      </w:r>
      <w:r w:rsidR="00077C0F">
        <w:rPr>
          <w:rFonts w:ascii="Georgia" w:hAnsi="Georgia"/>
          <w:sz w:val="24"/>
          <w:szCs w:val="24"/>
        </w:rPr>
        <w:t xml:space="preserve"> (and in state-regulated waters)</w:t>
      </w:r>
      <w:r w:rsidR="00214815">
        <w:rPr>
          <w:rFonts w:ascii="Georgia" w:hAnsi="Georgia"/>
          <w:sz w:val="24"/>
          <w:szCs w:val="24"/>
        </w:rPr>
        <w:t xml:space="preserve">, and provided the U.S. Coast Guard similar authority over offshore facilities. This </w:t>
      </w:r>
      <w:r w:rsidR="00077C0F">
        <w:rPr>
          <w:rFonts w:ascii="Georgia" w:hAnsi="Georgia"/>
          <w:sz w:val="24"/>
          <w:szCs w:val="24"/>
        </w:rPr>
        <w:t xml:space="preserve">distinction </w:t>
      </w:r>
      <w:r w:rsidR="00214815">
        <w:rPr>
          <w:rFonts w:ascii="Georgia" w:hAnsi="Georgia"/>
          <w:sz w:val="24"/>
          <w:szCs w:val="24"/>
        </w:rPr>
        <w:t xml:space="preserve">is also supported by language in </w:t>
      </w:r>
      <w:r w:rsidR="00247CBE">
        <w:rPr>
          <w:rFonts w:ascii="Georgia" w:hAnsi="Georgia"/>
          <w:sz w:val="24"/>
          <w:szCs w:val="24"/>
        </w:rPr>
        <w:t xml:space="preserve">Section 311(b) of the Energy Policy Act of 2005 that excludes </w:t>
      </w:r>
      <w:r w:rsidR="00BD6AE3">
        <w:rPr>
          <w:rFonts w:ascii="Georgia" w:hAnsi="Georgia"/>
          <w:sz w:val="24"/>
          <w:szCs w:val="24"/>
        </w:rPr>
        <w:t>“</w:t>
      </w:r>
      <w:r w:rsidR="00BD6AE3" w:rsidRPr="000350F3">
        <w:rPr>
          <w:rFonts w:ascii="Georgia" w:hAnsi="Georgia"/>
          <w:sz w:val="24"/>
          <w:szCs w:val="24"/>
        </w:rPr>
        <w:t>waterborne vessels used to deliver natural gas to or from any such facility</w:t>
      </w:r>
      <w:r w:rsidR="00BD6AE3">
        <w:rPr>
          <w:rFonts w:ascii="Georgia" w:hAnsi="Georgia"/>
          <w:sz w:val="24"/>
          <w:szCs w:val="24"/>
        </w:rPr>
        <w:t xml:space="preserve">” </w:t>
      </w:r>
      <w:r w:rsidR="00247CBE">
        <w:rPr>
          <w:rFonts w:ascii="Georgia" w:hAnsi="Georgia"/>
          <w:sz w:val="24"/>
          <w:szCs w:val="24"/>
        </w:rPr>
        <w:t xml:space="preserve">from FERC’s jurisdiction, as </w:t>
      </w:r>
      <w:r w:rsidR="00BD6AE3">
        <w:rPr>
          <w:rFonts w:ascii="Georgia" w:hAnsi="Georgia"/>
          <w:sz w:val="24"/>
          <w:szCs w:val="24"/>
        </w:rPr>
        <w:t>Congress</w:t>
      </w:r>
      <w:r w:rsidR="00247CBE">
        <w:rPr>
          <w:rFonts w:ascii="Georgia" w:hAnsi="Georgia"/>
          <w:sz w:val="24"/>
          <w:szCs w:val="24"/>
        </w:rPr>
        <w:t xml:space="preserve"> had already granted the Coast Guard that responsibility.</w:t>
      </w:r>
    </w:p>
    <w:p w14:paraId="307B1C8C" w14:textId="77777777" w:rsidR="003568CD" w:rsidRDefault="003568CD" w:rsidP="00407FFB">
      <w:pPr>
        <w:ind w:left="780"/>
        <w:rPr>
          <w:rFonts w:ascii="Georgia" w:hAnsi="Georgia"/>
          <w:sz w:val="24"/>
          <w:szCs w:val="24"/>
        </w:rPr>
      </w:pPr>
    </w:p>
    <w:p w14:paraId="7E8FD76F" w14:textId="6E455843" w:rsidR="00C0176C" w:rsidRDefault="00077C0F" w:rsidP="00DF2947">
      <w:pPr>
        <w:pStyle w:val="ListParagraph"/>
        <w:numPr>
          <w:ilvl w:val="0"/>
          <w:numId w:val="1"/>
        </w:numPr>
        <w:spacing w:line="360" w:lineRule="auto"/>
        <w:ind w:left="778"/>
        <w:rPr>
          <w:rFonts w:ascii="Georgia" w:hAnsi="Georgia"/>
          <w:sz w:val="24"/>
          <w:szCs w:val="24"/>
        </w:rPr>
      </w:pPr>
      <w:r>
        <w:rPr>
          <w:rFonts w:ascii="Georgia" w:hAnsi="Georgia"/>
          <w:sz w:val="24"/>
          <w:szCs w:val="24"/>
        </w:rPr>
        <w:t>Similarly</w:t>
      </w:r>
      <w:r w:rsidR="00273866" w:rsidRPr="00C15565">
        <w:rPr>
          <w:rFonts w:ascii="Georgia" w:hAnsi="Georgia"/>
          <w:sz w:val="24"/>
          <w:szCs w:val="24"/>
        </w:rPr>
        <w:t xml:space="preserve">, Congress </w:t>
      </w:r>
      <w:r>
        <w:rPr>
          <w:rFonts w:ascii="Georgia" w:hAnsi="Georgia"/>
          <w:sz w:val="24"/>
          <w:szCs w:val="24"/>
        </w:rPr>
        <w:t xml:space="preserve">has long </w:t>
      </w:r>
      <w:r w:rsidR="00273866" w:rsidRPr="00C15565">
        <w:rPr>
          <w:rFonts w:ascii="Georgia" w:hAnsi="Georgia"/>
          <w:sz w:val="24"/>
          <w:szCs w:val="24"/>
        </w:rPr>
        <w:t>delineat</w:t>
      </w:r>
      <w:r w:rsidR="00713838" w:rsidRPr="00C15565">
        <w:rPr>
          <w:rFonts w:ascii="Georgia" w:hAnsi="Georgia"/>
          <w:sz w:val="24"/>
          <w:szCs w:val="24"/>
        </w:rPr>
        <w:t>e</w:t>
      </w:r>
      <w:r>
        <w:rPr>
          <w:rFonts w:ascii="Georgia" w:hAnsi="Georgia"/>
          <w:sz w:val="24"/>
          <w:szCs w:val="24"/>
        </w:rPr>
        <w:t>d</w:t>
      </w:r>
      <w:r w:rsidR="00273866" w:rsidRPr="00C15565">
        <w:rPr>
          <w:rFonts w:ascii="Georgia" w:hAnsi="Georgia"/>
          <w:sz w:val="24"/>
          <w:szCs w:val="24"/>
        </w:rPr>
        <w:t xml:space="preserve"> </w:t>
      </w:r>
      <w:r w:rsidR="00831042" w:rsidRPr="00C15565">
        <w:rPr>
          <w:rFonts w:ascii="Georgia" w:hAnsi="Georgia"/>
          <w:sz w:val="24"/>
          <w:szCs w:val="24"/>
        </w:rPr>
        <w:t xml:space="preserve">regulatory oversight of oil and gas extraction on public lands </w:t>
      </w:r>
      <w:r w:rsidR="00273866" w:rsidRPr="00C15565">
        <w:rPr>
          <w:rFonts w:ascii="Georgia" w:hAnsi="Georgia"/>
          <w:sz w:val="24"/>
          <w:szCs w:val="24"/>
        </w:rPr>
        <w:t>between onshore and offshore</w:t>
      </w:r>
      <w:r w:rsidR="0064708E" w:rsidRPr="00C15565">
        <w:rPr>
          <w:rFonts w:ascii="Georgia" w:hAnsi="Georgia"/>
          <w:sz w:val="24"/>
          <w:szCs w:val="24"/>
        </w:rPr>
        <w:t xml:space="preserve">, with </w:t>
      </w:r>
      <w:r w:rsidR="00573F22" w:rsidRPr="00C15565">
        <w:rPr>
          <w:rFonts w:ascii="Georgia" w:hAnsi="Georgia"/>
          <w:sz w:val="24"/>
          <w:szCs w:val="24"/>
        </w:rPr>
        <w:t xml:space="preserve">onshore </w:t>
      </w:r>
      <w:r w:rsidR="00831042" w:rsidRPr="00C15565">
        <w:rPr>
          <w:rFonts w:ascii="Georgia" w:hAnsi="Georgia"/>
          <w:sz w:val="24"/>
          <w:szCs w:val="24"/>
        </w:rPr>
        <w:t xml:space="preserve">activities covered by the </w:t>
      </w:r>
      <w:r w:rsidR="002C3F86" w:rsidRPr="00C15565">
        <w:rPr>
          <w:rFonts w:ascii="Georgia" w:hAnsi="Georgia"/>
          <w:sz w:val="24"/>
          <w:szCs w:val="24"/>
        </w:rPr>
        <w:t>Mineral Leasing Act of 1920</w:t>
      </w:r>
      <w:r w:rsidR="000B7907">
        <w:rPr>
          <w:rFonts w:ascii="Georgia" w:hAnsi="Georgia"/>
          <w:sz w:val="24"/>
          <w:szCs w:val="24"/>
        </w:rPr>
        <w:t>, and</w:t>
      </w:r>
      <w:r w:rsidR="002C3F86" w:rsidRPr="00C15565">
        <w:rPr>
          <w:rFonts w:ascii="Georgia" w:hAnsi="Georgia"/>
          <w:sz w:val="24"/>
          <w:szCs w:val="24"/>
        </w:rPr>
        <w:t xml:space="preserve"> offshore by the</w:t>
      </w:r>
      <w:r w:rsidR="00F80A33" w:rsidRPr="00C15565">
        <w:rPr>
          <w:rFonts w:ascii="Georgia" w:hAnsi="Georgia"/>
          <w:sz w:val="24"/>
          <w:szCs w:val="24"/>
        </w:rPr>
        <w:t xml:space="preserve"> Outer Continental Shelf Lands Act. Just as with natural gas exports, onshore covers all lands onshore, not just</w:t>
      </w:r>
      <w:r w:rsidR="0044372C" w:rsidRPr="00C15565">
        <w:rPr>
          <w:rFonts w:ascii="Georgia" w:hAnsi="Georgia"/>
          <w:sz w:val="24"/>
          <w:szCs w:val="24"/>
        </w:rPr>
        <w:t xml:space="preserve"> extractive activities occurring near the shore</w:t>
      </w:r>
      <w:r>
        <w:rPr>
          <w:rFonts w:ascii="Georgia" w:hAnsi="Georgia"/>
          <w:sz w:val="24"/>
          <w:szCs w:val="24"/>
        </w:rPr>
        <w:t>line</w:t>
      </w:r>
      <w:r w:rsidR="0044372C" w:rsidRPr="00C15565">
        <w:rPr>
          <w:rFonts w:ascii="Georgia" w:hAnsi="Georgia"/>
          <w:sz w:val="24"/>
          <w:szCs w:val="24"/>
        </w:rPr>
        <w:t xml:space="preserve">. In the case of natural gas exports, it </w:t>
      </w:r>
      <w:r>
        <w:rPr>
          <w:rFonts w:ascii="Georgia" w:hAnsi="Georgia"/>
          <w:sz w:val="24"/>
          <w:szCs w:val="24"/>
        </w:rPr>
        <w:t>may be</w:t>
      </w:r>
      <w:r w:rsidR="0044372C" w:rsidRPr="00C15565">
        <w:rPr>
          <w:rFonts w:ascii="Georgia" w:hAnsi="Georgia"/>
          <w:sz w:val="24"/>
          <w:szCs w:val="24"/>
        </w:rPr>
        <w:t xml:space="preserve"> more likely for export</w:t>
      </w:r>
      <w:r>
        <w:rPr>
          <w:rFonts w:ascii="Georgia" w:hAnsi="Georgia"/>
          <w:sz w:val="24"/>
          <w:szCs w:val="24"/>
        </w:rPr>
        <w:t xml:space="preserve"> facilities to </w:t>
      </w:r>
      <w:r w:rsidR="00551646">
        <w:rPr>
          <w:rFonts w:ascii="Georgia" w:hAnsi="Georgia"/>
          <w:sz w:val="24"/>
          <w:szCs w:val="24"/>
        </w:rPr>
        <w:t>liquef</w:t>
      </w:r>
      <w:r w:rsidR="0044372C" w:rsidRPr="00C15565">
        <w:rPr>
          <w:rFonts w:ascii="Georgia" w:hAnsi="Georgia"/>
          <w:sz w:val="24"/>
          <w:szCs w:val="24"/>
        </w:rPr>
        <w:t xml:space="preserve">ied or compressed natural gas to </w:t>
      </w:r>
      <w:r>
        <w:rPr>
          <w:rFonts w:ascii="Georgia" w:hAnsi="Georgia"/>
          <w:sz w:val="24"/>
          <w:szCs w:val="24"/>
        </w:rPr>
        <w:t xml:space="preserve">be sited </w:t>
      </w:r>
      <w:r w:rsidR="0044372C" w:rsidRPr="00C15565">
        <w:rPr>
          <w:rFonts w:ascii="Georgia" w:hAnsi="Georgia"/>
          <w:sz w:val="24"/>
          <w:szCs w:val="24"/>
        </w:rPr>
        <w:t>near the shore</w:t>
      </w:r>
      <w:r>
        <w:rPr>
          <w:rFonts w:ascii="Georgia" w:hAnsi="Georgia"/>
          <w:sz w:val="24"/>
          <w:szCs w:val="24"/>
        </w:rPr>
        <w:t>line</w:t>
      </w:r>
      <w:r w:rsidR="0044372C" w:rsidRPr="00C15565">
        <w:rPr>
          <w:rFonts w:ascii="Georgia" w:hAnsi="Georgia"/>
          <w:sz w:val="24"/>
          <w:szCs w:val="24"/>
        </w:rPr>
        <w:t xml:space="preserve">, </w:t>
      </w:r>
      <w:r w:rsidR="00C15565" w:rsidRPr="00C15565">
        <w:rPr>
          <w:rFonts w:ascii="Georgia" w:hAnsi="Georgia"/>
          <w:sz w:val="24"/>
          <w:szCs w:val="24"/>
        </w:rPr>
        <w:t xml:space="preserve">but being physically located </w:t>
      </w:r>
      <w:r>
        <w:rPr>
          <w:rFonts w:ascii="Georgia" w:hAnsi="Georgia"/>
          <w:sz w:val="24"/>
          <w:szCs w:val="24"/>
        </w:rPr>
        <w:t>at</w:t>
      </w:r>
      <w:r w:rsidR="00C15565" w:rsidRPr="00C15565">
        <w:rPr>
          <w:rFonts w:ascii="Georgia" w:hAnsi="Georgia"/>
          <w:sz w:val="24"/>
          <w:szCs w:val="24"/>
        </w:rPr>
        <w:t xml:space="preserve"> the shore</w:t>
      </w:r>
      <w:r>
        <w:rPr>
          <w:rFonts w:ascii="Georgia" w:hAnsi="Georgia"/>
          <w:sz w:val="24"/>
          <w:szCs w:val="24"/>
        </w:rPr>
        <w:t>line</w:t>
      </w:r>
      <w:r w:rsidR="00C15565" w:rsidRPr="00C15565">
        <w:rPr>
          <w:rFonts w:ascii="Georgia" w:hAnsi="Georgia"/>
          <w:sz w:val="24"/>
          <w:szCs w:val="24"/>
        </w:rPr>
        <w:t xml:space="preserve"> is not required for purposes of jurisdiction of the Natural Gas Act.</w:t>
      </w:r>
      <w:r w:rsidR="00B944C2">
        <w:rPr>
          <w:rFonts w:ascii="Georgia" w:hAnsi="Georgia"/>
          <w:sz w:val="24"/>
          <w:szCs w:val="24"/>
        </w:rPr>
        <w:t xml:space="preserve"> Congress was not interested where exactly onshore an export terminal was located, but rather in its purpose: if it is a facility used to export natural gas, than FERC has exclusive jur</w:t>
      </w:r>
      <w:r w:rsidR="0062502A">
        <w:rPr>
          <w:rFonts w:ascii="Georgia" w:hAnsi="Georgia"/>
          <w:sz w:val="24"/>
          <w:szCs w:val="24"/>
        </w:rPr>
        <w:t>isdiction.</w:t>
      </w:r>
    </w:p>
    <w:p w14:paraId="5A55B513" w14:textId="77777777" w:rsidR="00A70C11" w:rsidRPr="00A70C11" w:rsidRDefault="00A70C11" w:rsidP="00A70C11">
      <w:pPr>
        <w:pStyle w:val="ListParagraph"/>
        <w:rPr>
          <w:rFonts w:ascii="Georgia" w:hAnsi="Georgia"/>
          <w:sz w:val="24"/>
          <w:szCs w:val="24"/>
        </w:rPr>
      </w:pPr>
    </w:p>
    <w:p w14:paraId="5FAF1216" w14:textId="64892641" w:rsidR="00A70C11" w:rsidRDefault="00CA0A90" w:rsidP="00C0176C">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Indeed, </w:t>
      </w:r>
      <w:r w:rsidR="00E2521D">
        <w:rPr>
          <w:rFonts w:ascii="Georgia" w:hAnsi="Georgia"/>
          <w:sz w:val="24"/>
          <w:szCs w:val="24"/>
        </w:rPr>
        <w:t xml:space="preserve">the </w:t>
      </w:r>
      <w:r w:rsidR="00077C0F">
        <w:rPr>
          <w:rFonts w:ascii="Georgia" w:hAnsi="Georgia"/>
          <w:sz w:val="24"/>
          <w:szCs w:val="24"/>
        </w:rPr>
        <w:t>use</w:t>
      </w:r>
      <w:r w:rsidR="00E2521D">
        <w:rPr>
          <w:rFonts w:ascii="Georgia" w:hAnsi="Georgia"/>
          <w:sz w:val="24"/>
          <w:szCs w:val="24"/>
        </w:rPr>
        <w:t xml:space="preserve"> of the word “onshore” in the Natural Gas Act amendments </w:t>
      </w:r>
      <w:r w:rsidR="00077C0F">
        <w:rPr>
          <w:rFonts w:ascii="Georgia" w:hAnsi="Georgia"/>
          <w:sz w:val="24"/>
          <w:szCs w:val="24"/>
        </w:rPr>
        <w:t xml:space="preserve">concerning LNG terminals </w:t>
      </w:r>
      <w:r w:rsidR="00E2521D">
        <w:rPr>
          <w:rFonts w:ascii="Georgia" w:hAnsi="Georgia"/>
          <w:sz w:val="24"/>
          <w:szCs w:val="24"/>
        </w:rPr>
        <w:t xml:space="preserve">in the 2005 Energy Policy Act </w:t>
      </w:r>
      <w:r w:rsidR="00424049">
        <w:rPr>
          <w:rFonts w:ascii="Georgia" w:hAnsi="Georgia"/>
          <w:sz w:val="24"/>
          <w:szCs w:val="24"/>
        </w:rPr>
        <w:t>is</w:t>
      </w:r>
      <w:r w:rsidR="00BB79A8">
        <w:rPr>
          <w:rFonts w:ascii="Georgia" w:hAnsi="Georgia"/>
          <w:sz w:val="24"/>
          <w:szCs w:val="24"/>
        </w:rPr>
        <w:t xml:space="preserve"> but one of </w:t>
      </w:r>
      <w:r w:rsidR="009D5F16">
        <w:rPr>
          <w:rFonts w:ascii="Georgia" w:hAnsi="Georgia"/>
          <w:sz w:val="24"/>
          <w:szCs w:val="24"/>
        </w:rPr>
        <w:t xml:space="preserve">more than 20 </w:t>
      </w:r>
      <w:r w:rsidR="00424049">
        <w:rPr>
          <w:rFonts w:ascii="Georgia" w:hAnsi="Georgia"/>
          <w:sz w:val="24"/>
          <w:szCs w:val="24"/>
        </w:rPr>
        <w:t xml:space="preserve">uses of </w:t>
      </w:r>
      <w:r w:rsidR="00F36FF5">
        <w:rPr>
          <w:rFonts w:ascii="Georgia" w:hAnsi="Georgia"/>
          <w:sz w:val="24"/>
          <w:szCs w:val="24"/>
        </w:rPr>
        <w:t xml:space="preserve">“onshore” </w:t>
      </w:r>
      <w:r w:rsidR="00424049">
        <w:rPr>
          <w:rFonts w:ascii="Georgia" w:hAnsi="Georgia"/>
          <w:sz w:val="24"/>
          <w:szCs w:val="24"/>
        </w:rPr>
        <w:t xml:space="preserve">in that Act </w:t>
      </w:r>
      <w:r w:rsidR="00F36FF5">
        <w:rPr>
          <w:rFonts w:ascii="Georgia" w:hAnsi="Georgia"/>
          <w:sz w:val="24"/>
          <w:szCs w:val="24"/>
        </w:rPr>
        <w:t>for a variety of different statutory authorities, all of which refer to facilities on</w:t>
      </w:r>
      <w:r w:rsidR="007D031C">
        <w:rPr>
          <w:rFonts w:ascii="Georgia" w:hAnsi="Georgia"/>
          <w:sz w:val="24"/>
          <w:szCs w:val="24"/>
        </w:rPr>
        <w:t xml:space="preserve"> land within the United States that are not submerged under water.</w:t>
      </w:r>
      <w:r w:rsidR="00F7273E">
        <w:rPr>
          <w:rStyle w:val="FootnoteReference"/>
          <w:rFonts w:ascii="Georgia" w:hAnsi="Georgia"/>
          <w:sz w:val="24"/>
          <w:szCs w:val="24"/>
        </w:rPr>
        <w:footnoteReference w:id="20"/>
      </w:r>
      <w:r w:rsidR="00424049">
        <w:rPr>
          <w:rFonts w:ascii="Georgia" w:hAnsi="Georgia"/>
          <w:sz w:val="24"/>
          <w:szCs w:val="24"/>
        </w:rPr>
        <w:t xml:space="preserve"> There is no suggestion in the statutory text that Congress intended a specialized, limited meaning of “onshore” in the Natural Gas Act’s definition of “LNG terminal” that is different from the ordinary meaning of the word as used in the many other parts of the same Energy Policy Act that employ it to describe facilities and activities on land.</w:t>
      </w:r>
    </w:p>
    <w:p w14:paraId="09FBB962" w14:textId="77777777" w:rsidR="001C6FE8" w:rsidRPr="001C6FE8" w:rsidRDefault="001C6FE8" w:rsidP="001C6FE8">
      <w:pPr>
        <w:ind w:left="418"/>
        <w:rPr>
          <w:rFonts w:ascii="Georgia" w:hAnsi="Georgia"/>
          <w:sz w:val="24"/>
          <w:szCs w:val="24"/>
        </w:rPr>
      </w:pPr>
    </w:p>
    <w:p w14:paraId="2C1743E3" w14:textId="210713A2" w:rsidR="00DF2947" w:rsidRDefault="00217F33" w:rsidP="00C0176C">
      <w:pPr>
        <w:pStyle w:val="ListParagraph"/>
        <w:numPr>
          <w:ilvl w:val="0"/>
          <w:numId w:val="1"/>
        </w:numPr>
        <w:spacing w:line="360" w:lineRule="auto"/>
        <w:ind w:left="778"/>
        <w:rPr>
          <w:rFonts w:ascii="Georgia" w:hAnsi="Georgia"/>
          <w:sz w:val="24"/>
          <w:szCs w:val="24"/>
        </w:rPr>
      </w:pPr>
      <w:r>
        <w:rPr>
          <w:rFonts w:ascii="Georgia" w:hAnsi="Georgia"/>
          <w:sz w:val="24"/>
          <w:szCs w:val="24"/>
        </w:rPr>
        <w:lastRenderedPageBreak/>
        <w:t xml:space="preserve">The use of the term “onshore” to refer to facilities or activities on land throughout the 2005 Act, including in its amendments to the Natural Gas Act, is consistent with the general usage of that term not only in other statutes, but also to its construction by the federal courts, which regularly apply it to distinguish things that occur on land from those that occur offshore. </w:t>
      </w:r>
      <w:r w:rsidRPr="00593B13">
        <w:rPr>
          <w:rFonts w:ascii="Georgia" w:hAnsi="Georgia"/>
          <w:i/>
          <w:iCs/>
          <w:sz w:val="24"/>
          <w:szCs w:val="24"/>
        </w:rPr>
        <w:t>See</w:t>
      </w:r>
      <w:r>
        <w:rPr>
          <w:rFonts w:ascii="Georgia" w:hAnsi="Georgia"/>
          <w:sz w:val="24"/>
          <w:szCs w:val="24"/>
        </w:rPr>
        <w:t xml:space="preserve">, </w:t>
      </w:r>
      <w:r w:rsidRPr="00593B13">
        <w:rPr>
          <w:rFonts w:ascii="Georgia" w:hAnsi="Georgia"/>
          <w:i/>
          <w:iCs/>
          <w:sz w:val="24"/>
          <w:szCs w:val="24"/>
        </w:rPr>
        <w:t>e.g.</w:t>
      </w:r>
      <w:r>
        <w:rPr>
          <w:rFonts w:ascii="Georgia" w:hAnsi="Georgia"/>
          <w:sz w:val="24"/>
          <w:szCs w:val="24"/>
        </w:rPr>
        <w:t xml:space="preserve">, </w:t>
      </w:r>
      <w:r w:rsidRPr="00593B13">
        <w:rPr>
          <w:rFonts w:ascii="Georgia" w:hAnsi="Georgia"/>
          <w:i/>
          <w:iCs/>
          <w:sz w:val="24"/>
          <w:szCs w:val="24"/>
        </w:rPr>
        <w:t>Pacific</w:t>
      </w:r>
      <w:r>
        <w:rPr>
          <w:rFonts w:ascii="Georgia" w:hAnsi="Georgia"/>
          <w:i/>
          <w:iCs/>
          <w:sz w:val="24"/>
          <w:szCs w:val="24"/>
        </w:rPr>
        <w:t xml:space="preserve"> Operators Offshore, LLP v. Valladolid</w:t>
      </w:r>
      <w:r>
        <w:rPr>
          <w:rFonts w:ascii="Georgia" w:hAnsi="Georgia"/>
          <w:sz w:val="24"/>
          <w:szCs w:val="24"/>
        </w:rPr>
        <w:t xml:space="preserve">, 565 U.S. 207 (2012) (addressing the circumstances in which an injury occurring “onshore”—that is, on </w:t>
      </w:r>
      <w:r w:rsidR="00F960AB">
        <w:rPr>
          <w:rFonts w:ascii="Georgia" w:hAnsi="Georgia"/>
          <w:sz w:val="24"/>
          <w:szCs w:val="24"/>
        </w:rPr>
        <w:t xml:space="preserve">dry </w:t>
      </w:r>
      <w:r>
        <w:rPr>
          <w:rFonts w:ascii="Georgia" w:hAnsi="Georgia"/>
          <w:sz w:val="24"/>
          <w:szCs w:val="24"/>
        </w:rPr>
        <w:t>land—</w:t>
      </w:r>
      <w:r w:rsidR="00F960AB">
        <w:rPr>
          <w:rFonts w:ascii="Georgia" w:hAnsi="Georgia"/>
          <w:sz w:val="24"/>
          <w:szCs w:val="24"/>
        </w:rPr>
        <w:t xml:space="preserve">are the “result” of offshore activities for purposes of the Outer Continental Shelf Lands Act); United States v. Ward, 448 U.S. 242 (1980) (referring to an oil drilling facility in Enid, Oklahoma, hundreds of miles from any coastline, as “onshore”); </w:t>
      </w:r>
      <w:r w:rsidR="00F960AB" w:rsidRPr="00593B13">
        <w:rPr>
          <w:rFonts w:ascii="Georgia" w:hAnsi="Georgia"/>
          <w:i/>
          <w:iCs/>
          <w:sz w:val="24"/>
          <w:szCs w:val="24"/>
        </w:rPr>
        <w:t>ExxonMobil Gas Mktg. Co. v. FERC</w:t>
      </w:r>
      <w:r w:rsidR="00F960AB">
        <w:rPr>
          <w:rFonts w:ascii="Georgia" w:hAnsi="Georgia"/>
          <w:sz w:val="24"/>
          <w:szCs w:val="24"/>
        </w:rPr>
        <w:t>,  297 F.3d 1071 (D.C. Cir. 2002) (referring to</w:t>
      </w:r>
      <w:r w:rsidR="001C6FE8">
        <w:rPr>
          <w:rFonts w:ascii="Georgia" w:hAnsi="Georgia"/>
          <w:sz w:val="24"/>
          <w:szCs w:val="24"/>
        </w:rPr>
        <w:t xml:space="preserve"> inland oil-processing plants located in Erath, Louisiana as “onshore”). Indeed, the Commission itself, in exercising authority over pipelines, appears to use the terms “offshore” and “onshore” to distinguish between parts of a pipeline system located underwater from those found on land, not to use “onshore” to refer to proximity to the shoreline. See, e.g., </w:t>
      </w:r>
      <w:r w:rsidR="00E135C7" w:rsidRPr="00593B13">
        <w:rPr>
          <w:rFonts w:ascii="Georgia" w:hAnsi="Georgia"/>
          <w:i/>
          <w:iCs/>
          <w:sz w:val="24"/>
          <w:szCs w:val="24"/>
        </w:rPr>
        <w:t>Transcontinental</w:t>
      </w:r>
      <w:r w:rsidR="001C6FE8" w:rsidRPr="00593B13">
        <w:rPr>
          <w:rFonts w:ascii="Georgia" w:hAnsi="Georgia"/>
          <w:i/>
          <w:iCs/>
          <w:sz w:val="24"/>
          <w:szCs w:val="24"/>
        </w:rPr>
        <w:t xml:space="preserve"> Gas Pipe Line Corp.</w:t>
      </w:r>
      <w:r w:rsidR="001C6FE8">
        <w:rPr>
          <w:rFonts w:ascii="Georgia" w:hAnsi="Georgia"/>
          <w:sz w:val="24"/>
          <w:szCs w:val="24"/>
        </w:rPr>
        <w:t>, 96 FERC ¶ 61118 (2001).</w:t>
      </w:r>
    </w:p>
    <w:p w14:paraId="2388EB18" w14:textId="77777777" w:rsidR="001C6FE8" w:rsidRPr="001C6FE8" w:rsidRDefault="001C6FE8" w:rsidP="001C6FE8">
      <w:pPr>
        <w:ind w:left="418"/>
        <w:rPr>
          <w:rFonts w:ascii="Georgia" w:hAnsi="Georgia"/>
          <w:sz w:val="24"/>
          <w:szCs w:val="24"/>
        </w:rPr>
      </w:pPr>
    </w:p>
    <w:p w14:paraId="5BBEA327" w14:textId="66ADF6BD" w:rsidR="00DF2947" w:rsidRDefault="00DF2947" w:rsidP="00C0176C">
      <w:pPr>
        <w:pStyle w:val="ListParagraph"/>
        <w:numPr>
          <w:ilvl w:val="0"/>
          <w:numId w:val="1"/>
        </w:numPr>
        <w:spacing w:line="360" w:lineRule="auto"/>
        <w:ind w:left="778"/>
        <w:rPr>
          <w:rFonts w:ascii="Georgia" w:hAnsi="Georgia"/>
          <w:sz w:val="24"/>
          <w:szCs w:val="24"/>
        </w:rPr>
      </w:pPr>
      <w:r>
        <w:rPr>
          <w:rFonts w:ascii="Georgia" w:hAnsi="Georgia"/>
          <w:sz w:val="24"/>
          <w:szCs w:val="24"/>
        </w:rPr>
        <w:t xml:space="preserve"> The Commission has offered no explanation of why Congress would have used the term in a more restrictive manner in the Natural Gas Act’s definition of “LNG terminal” than in other statutes where it has its ordinary meaning. The language and structure of the provisions at issue, and their history, reveal an intent to give the Commission jurisdiction over export facilities, not to provide it with authority limited to protection of beaches or other littoral areas (a subject over which the Commission possesses no expertise). Limiting the Commission’s authority to facilities on the shoreline, as opposed to onshore facilities more generally, bears no relationship to the statute’s function of conferring regulatory authority with respect to export facilities because (as this case well illustrates), the extremely close proximity to the shoreline required by the Commission’s idiosyncratic definition of “onshore” has nothing to do with the determination of whether a facilities exclusive purpose is to </w:t>
      </w:r>
      <w:r w:rsidRPr="000E7590">
        <w:rPr>
          <w:rFonts w:ascii="Georgia" w:hAnsi="Georgia"/>
          <w:sz w:val="24"/>
          <w:szCs w:val="24"/>
        </w:rPr>
        <w:t>receive, unload, load, store, transport, gasify, liquefy, or process</w:t>
      </w:r>
      <w:r>
        <w:rPr>
          <w:rFonts w:ascii="Georgia" w:hAnsi="Georgia"/>
          <w:sz w:val="24"/>
          <w:szCs w:val="24"/>
        </w:rPr>
        <w:t xml:space="preserve"> gas that is exported.</w:t>
      </w:r>
    </w:p>
    <w:p w14:paraId="0D5B249C" w14:textId="77777777" w:rsidR="001C6FE8" w:rsidRPr="001C6FE8" w:rsidRDefault="001C6FE8" w:rsidP="001C6FE8">
      <w:pPr>
        <w:spacing w:line="360" w:lineRule="auto"/>
        <w:ind w:left="420"/>
        <w:rPr>
          <w:rFonts w:ascii="Georgia" w:hAnsi="Georgia"/>
          <w:sz w:val="24"/>
          <w:szCs w:val="24"/>
        </w:rPr>
      </w:pPr>
    </w:p>
    <w:p w14:paraId="197A33EE" w14:textId="6D747E93" w:rsidR="005C7E47" w:rsidRPr="00B06670" w:rsidRDefault="00AB6422" w:rsidP="00B06670">
      <w:pPr>
        <w:jc w:val="center"/>
        <w:rPr>
          <w:rFonts w:ascii="Georgia" w:hAnsi="Georgia"/>
          <w:b/>
          <w:bCs/>
          <w:sz w:val="24"/>
          <w:szCs w:val="24"/>
        </w:rPr>
      </w:pPr>
      <w:r w:rsidRPr="00B06670">
        <w:rPr>
          <w:rFonts w:ascii="Georgia" w:hAnsi="Georgia"/>
          <w:b/>
          <w:bCs/>
          <w:sz w:val="24"/>
          <w:szCs w:val="24"/>
        </w:rPr>
        <w:t>Conclusion</w:t>
      </w:r>
    </w:p>
    <w:p w14:paraId="19892172" w14:textId="77777777" w:rsidR="00AB6422" w:rsidRDefault="00AB6422" w:rsidP="005C7E47">
      <w:pPr>
        <w:rPr>
          <w:rFonts w:ascii="Georgia" w:hAnsi="Georgia"/>
          <w:sz w:val="24"/>
          <w:szCs w:val="24"/>
        </w:rPr>
      </w:pPr>
    </w:p>
    <w:p w14:paraId="4998EEEC" w14:textId="6A86638E" w:rsidR="00AB6422" w:rsidRDefault="00AB6422" w:rsidP="00B06670">
      <w:pPr>
        <w:spacing w:line="360" w:lineRule="auto"/>
        <w:rPr>
          <w:rFonts w:ascii="Georgia" w:hAnsi="Georgia"/>
          <w:sz w:val="24"/>
          <w:szCs w:val="24"/>
        </w:rPr>
      </w:pPr>
      <w:r>
        <w:rPr>
          <w:rFonts w:ascii="Georgia" w:hAnsi="Georgia"/>
          <w:sz w:val="24"/>
          <w:szCs w:val="24"/>
        </w:rPr>
        <w:tab/>
        <w:t xml:space="preserve">The </w:t>
      </w:r>
      <w:r w:rsidR="003438AF">
        <w:rPr>
          <w:rFonts w:ascii="Georgia" w:hAnsi="Georgia"/>
          <w:sz w:val="24"/>
          <w:szCs w:val="24"/>
        </w:rPr>
        <w:t xml:space="preserve">2005 amendments to the Natural Gas Act </w:t>
      </w:r>
      <w:r w:rsidR="00C22A47">
        <w:rPr>
          <w:rFonts w:ascii="Georgia" w:hAnsi="Georgia"/>
          <w:sz w:val="24"/>
          <w:szCs w:val="24"/>
        </w:rPr>
        <w:t>granted FERC “exclusive authority” over</w:t>
      </w:r>
      <w:r>
        <w:rPr>
          <w:rFonts w:ascii="Georgia" w:hAnsi="Georgia"/>
          <w:sz w:val="24"/>
          <w:szCs w:val="24"/>
        </w:rPr>
        <w:t xml:space="preserve"> </w:t>
      </w:r>
      <w:r w:rsidR="00B64D19">
        <w:rPr>
          <w:rFonts w:ascii="Georgia" w:hAnsi="Georgia"/>
          <w:sz w:val="24"/>
          <w:szCs w:val="24"/>
        </w:rPr>
        <w:t xml:space="preserve">onshore </w:t>
      </w:r>
      <w:r>
        <w:rPr>
          <w:rFonts w:ascii="Georgia" w:hAnsi="Georgia"/>
          <w:sz w:val="24"/>
          <w:szCs w:val="24"/>
        </w:rPr>
        <w:t>LNG terminal</w:t>
      </w:r>
      <w:r w:rsidR="00835070">
        <w:rPr>
          <w:rFonts w:ascii="Georgia" w:hAnsi="Georgia"/>
          <w:sz w:val="24"/>
          <w:szCs w:val="24"/>
        </w:rPr>
        <w:t>s</w:t>
      </w:r>
      <w:r w:rsidR="000535B2">
        <w:rPr>
          <w:rFonts w:ascii="Georgia" w:hAnsi="Georgia"/>
          <w:sz w:val="24"/>
          <w:szCs w:val="24"/>
        </w:rPr>
        <w:t xml:space="preserve">. Congress </w:t>
      </w:r>
      <w:r w:rsidR="00835070">
        <w:rPr>
          <w:rFonts w:ascii="Georgia" w:hAnsi="Georgia"/>
          <w:sz w:val="24"/>
          <w:szCs w:val="24"/>
        </w:rPr>
        <w:t xml:space="preserve">defined </w:t>
      </w:r>
      <w:r w:rsidR="00B05767">
        <w:rPr>
          <w:rFonts w:ascii="Georgia" w:hAnsi="Georgia"/>
          <w:sz w:val="24"/>
          <w:szCs w:val="24"/>
        </w:rPr>
        <w:t xml:space="preserve">such </w:t>
      </w:r>
      <w:r w:rsidR="000535B2">
        <w:rPr>
          <w:rFonts w:ascii="Georgia" w:hAnsi="Georgia"/>
          <w:sz w:val="24"/>
          <w:szCs w:val="24"/>
        </w:rPr>
        <w:t>natural gas export terminals</w:t>
      </w:r>
      <w:r w:rsidR="00835070">
        <w:rPr>
          <w:rFonts w:ascii="Georgia" w:hAnsi="Georgia"/>
          <w:sz w:val="24"/>
          <w:szCs w:val="24"/>
        </w:rPr>
        <w:t xml:space="preserve"> </w:t>
      </w:r>
      <w:r w:rsidR="00631E02">
        <w:rPr>
          <w:rFonts w:ascii="Georgia" w:hAnsi="Georgia"/>
          <w:sz w:val="24"/>
          <w:szCs w:val="24"/>
        </w:rPr>
        <w:t>to include the most comprehensive set of natural gas export activities possible</w:t>
      </w:r>
      <w:r w:rsidR="005358DE">
        <w:rPr>
          <w:rFonts w:ascii="Georgia" w:hAnsi="Georgia"/>
          <w:sz w:val="24"/>
          <w:szCs w:val="24"/>
        </w:rPr>
        <w:t xml:space="preserve">―extending FERC exclusive jurisdiction over any facility that </w:t>
      </w:r>
      <w:r w:rsidR="00F073D6">
        <w:rPr>
          <w:rFonts w:ascii="Georgia" w:hAnsi="Georgia"/>
          <w:sz w:val="24"/>
          <w:szCs w:val="24"/>
        </w:rPr>
        <w:t xml:space="preserve">prepares </w:t>
      </w:r>
      <w:r w:rsidR="005358DE">
        <w:rPr>
          <w:rFonts w:ascii="Georgia" w:hAnsi="Georgia"/>
          <w:sz w:val="24"/>
          <w:szCs w:val="24"/>
        </w:rPr>
        <w:t>natural gas</w:t>
      </w:r>
      <w:r w:rsidR="00F073D6">
        <w:rPr>
          <w:rFonts w:ascii="Georgia" w:hAnsi="Georgia"/>
          <w:sz w:val="24"/>
          <w:szCs w:val="24"/>
        </w:rPr>
        <w:t xml:space="preserve"> for export</w:t>
      </w:r>
      <w:r w:rsidR="00F027DD">
        <w:rPr>
          <w:rFonts w:ascii="Georgia" w:hAnsi="Georgia"/>
          <w:sz w:val="24"/>
          <w:szCs w:val="24"/>
        </w:rPr>
        <w:t>.</w:t>
      </w:r>
      <w:r w:rsidR="005358DE">
        <w:rPr>
          <w:rFonts w:ascii="Georgia" w:hAnsi="Georgia"/>
          <w:sz w:val="24"/>
          <w:szCs w:val="24"/>
        </w:rPr>
        <w:t xml:space="preserve"> </w:t>
      </w:r>
      <w:r w:rsidR="00B64D19">
        <w:rPr>
          <w:rFonts w:ascii="Georgia" w:hAnsi="Georgia"/>
          <w:sz w:val="24"/>
          <w:szCs w:val="24"/>
        </w:rPr>
        <w:t xml:space="preserve">The Commission’s </w:t>
      </w:r>
      <w:r w:rsidR="00B06670">
        <w:rPr>
          <w:rFonts w:ascii="Georgia" w:hAnsi="Georgia"/>
          <w:sz w:val="24"/>
          <w:szCs w:val="24"/>
        </w:rPr>
        <w:t>bizarre</w:t>
      </w:r>
      <w:r w:rsidR="00B64D19">
        <w:rPr>
          <w:rFonts w:ascii="Georgia" w:hAnsi="Georgia"/>
          <w:sz w:val="24"/>
          <w:szCs w:val="24"/>
        </w:rPr>
        <w:t xml:space="preserve"> contention that the inclusion of the term “onshore” constricts its ability to </w:t>
      </w:r>
      <w:r w:rsidR="00B401DF">
        <w:rPr>
          <w:rFonts w:ascii="Georgia" w:hAnsi="Georgia"/>
          <w:sz w:val="24"/>
          <w:szCs w:val="24"/>
        </w:rPr>
        <w:t xml:space="preserve">regulate natural gas export facilities that are not directly on the shore is </w:t>
      </w:r>
      <w:r w:rsidR="00B37AEA">
        <w:rPr>
          <w:rFonts w:ascii="Georgia" w:hAnsi="Georgia"/>
          <w:sz w:val="24"/>
          <w:szCs w:val="24"/>
        </w:rPr>
        <w:t xml:space="preserve">unsupported by the factual record. The proposed </w:t>
      </w:r>
      <w:proofErr w:type="spellStart"/>
      <w:r w:rsidR="00B37AEA">
        <w:rPr>
          <w:rFonts w:ascii="Georgia" w:hAnsi="Georgia"/>
          <w:sz w:val="24"/>
          <w:szCs w:val="24"/>
        </w:rPr>
        <w:t>Nopetro</w:t>
      </w:r>
      <w:proofErr w:type="spellEnd"/>
      <w:r w:rsidR="00B37AEA">
        <w:rPr>
          <w:rFonts w:ascii="Georgia" w:hAnsi="Georgia"/>
          <w:sz w:val="24"/>
          <w:szCs w:val="24"/>
        </w:rPr>
        <w:t xml:space="preserve"> LNG facility </w:t>
      </w:r>
      <w:r w:rsidR="00B06670">
        <w:rPr>
          <w:rFonts w:ascii="Georgia" w:hAnsi="Georgia"/>
          <w:sz w:val="24"/>
          <w:szCs w:val="24"/>
        </w:rPr>
        <w:t xml:space="preserve">will receive, load, transport and </w:t>
      </w:r>
      <w:r w:rsidR="00551646">
        <w:rPr>
          <w:rFonts w:ascii="Georgia" w:hAnsi="Georgia"/>
          <w:sz w:val="24"/>
          <w:szCs w:val="24"/>
        </w:rPr>
        <w:t>liquef</w:t>
      </w:r>
      <w:r w:rsidR="00B06670">
        <w:rPr>
          <w:rFonts w:ascii="Georgia" w:hAnsi="Georgia"/>
          <w:sz w:val="24"/>
          <w:szCs w:val="24"/>
        </w:rPr>
        <w:t>y natural gas for export out of the United States, and is therefore an LNG terminal subject to the Commission’s exclusive jurisdiction.</w:t>
      </w:r>
    </w:p>
    <w:p w14:paraId="547FDCE9" w14:textId="77777777" w:rsidR="004C5CD2" w:rsidRDefault="004C5CD2" w:rsidP="005C7E47">
      <w:pPr>
        <w:rPr>
          <w:rFonts w:ascii="Georgia" w:hAnsi="Georgia"/>
          <w:sz w:val="24"/>
          <w:szCs w:val="24"/>
        </w:rPr>
      </w:pPr>
    </w:p>
    <w:p w14:paraId="5FEED510" w14:textId="77777777" w:rsidR="006C3397" w:rsidRDefault="006C3397" w:rsidP="005C7E47">
      <w:pPr>
        <w:rPr>
          <w:rFonts w:ascii="Georgia" w:hAnsi="Georgia"/>
          <w:sz w:val="24"/>
          <w:szCs w:val="24"/>
        </w:rPr>
      </w:pPr>
    </w:p>
    <w:p w14:paraId="2982CFA4" w14:textId="0956BF20" w:rsidR="00B06670" w:rsidRDefault="00B06670" w:rsidP="00F027DD">
      <w:pPr>
        <w:ind w:left="720" w:firstLine="720"/>
        <w:rPr>
          <w:rFonts w:ascii="Georgia" w:hAnsi="Georgia"/>
          <w:sz w:val="24"/>
          <w:szCs w:val="24"/>
        </w:rPr>
      </w:pPr>
      <w:r>
        <w:rPr>
          <w:rFonts w:ascii="Georgia" w:hAnsi="Georgia"/>
          <w:sz w:val="24"/>
          <w:szCs w:val="24"/>
        </w:rPr>
        <w:t>Respectfully submitted,</w:t>
      </w:r>
    </w:p>
    <w:p w14:paraId="715F76DE" w14:textId="77777777" w:rsidR="00B06670" w:rsidRDefault="00B06670" w:rsidP="005C7E47">
      <w:pPr>
        <w:rPr>
          <w:rFonts w:ascii="Georgia" w:hAnsi="Georgia"/>
          <w:sz w:val="24"/>
          <w:szCs w:val="24"/>
        </w:rPr>
      </w:pPr>
    </w:p>
    <w:p w14:paraId="60961D68" w14:textId="48B26D3B" w:rsidR="00B06670" w:rsidRDefault="00B06670" w:rsidP="00F027DD">
      <w:pPr>
        <w:ind w:left="720" w:firstLine="720"/>
        <w:rPr>
          <w:rFonts w:ascii="Georgia" w:hAnsi="Georgia"/>
          <w:sz w:val="24"/>
          <w:szCs w:val="24"/>
        </w:rPr>
      </w:pPr>
      <w:r>
        <w:rPr>
          <w:rFonts w:ascii="Georgia" w:hAnsi="Georgia"/>
          <w:sz w:val="24"/>
          <w:szCs w:val="24"/>
        </w:rPr>
        <w:t>Tyson Slocum</w:t>
      </w:r>
      <w:r w:rsidR="00F027DD">
        <w:rPr>
          <w:rFonts w:ascii="Georgia" w:hAnsi="Georgia"/>
          <w:sz w:val="24"/>
          <w:szCs w:val="24"/>
        </w:rPr>
        <w:t>, Energy Pr</w:t>
      </w:r>
      <w:r w:rsidR="008763DD">
        <w:rPr>
          <w:rFonts w:ascii="Georgia" w:hAnsi="Georgia"/>
          <w:sz w:val="24"/>
          <w:szCs w:val="24"/>
        </w:rPr>
        <w:t>ogram Director</w:t>
      </w:r>
    </w:p>
    <w:p w14:paraId="76135E9F" w14:textId="0C231CC5" w:rsidR="009C274C" w:rsidRDefault="00B06670" w:rsidP="008763DD">
      <w:pPr>
        <w:ind w:left="720" w:firstLine="720"/>
        <w:rPr>
          <w:rFonts w:ascii="Georgia" w:hAnsi="Georgia"/>
          <w:sz w:val="24"/>
          <w:szCs w:val="24"/>
        </w:rPr>
      </w:pPr>
      <w:r>
        <w:rPr>
          <w:rFonts w:ascii="Georgia" w:hAnsi="Georgia"/>
          <w:sz w:val="24"/>
          <w:szCs w:val="24"/>
        </w:rPr>
        <w:t>Public Citizen</w:t>
      </w:r>
      <w:r w:rsidR="008763DD">
        <w:rPr>
          <w:rFonts w:ascii="Georgia" w:hAnsi="Georgia"/>
          <w:sz w:val="24"/>
          <w:szCs w:val="24"/>
        </w:rPr>
        <w:t>, Inc.</w:t>
      </w:r>
    </w:p>
    <w:p w14:paraId="178DAC59" w14:textId="7408B459" w:rsidR="008763DD" w:rsidRDefault="008763DD" w:rsidP="008763DD">
      <w:pPr>
        <w:ind w:left="720" w:firstLine="720"/>
        <w:rPr>
          <w:rFonts w:ascii="Georgia" w:hAnsi="Georgia"/>
          <w:sz w:val="24"/>
          <w:szCs w:val="24"/>
        </w:rPr>
      </w:pPr>
      <w:r>
        <w:rPr>
          <w:rFonts w:ascii="Georgia" w:hAnsi="Georgia"/>
          <w:sz w:val="24"/>
          <w:szCs w:val="24"/>
        </w:rPr>
        <w:t>215 Pennsylvania Ave SE</w:t>
      </w:r>
    </w:p>
    <w:p w14:paraId="2CCEB285" w14:textId="5FEB07A6" w:rsidR="008763DD" w:rsidRDefault="008763DD" w:rsidP="008763DD">
      <w:pPr>
        <w:ind w:left="720" w:firstLine="720"/>
        <w:rPr>
          <w:rFonts w:ascii="Georgia" w:hAnsi="Georgia"/>
          <w:sz w:val="24"/>
          <w:szCs w:val="24"/>
        </w:rPr>
      </w:pPr>
      <w:r>
        <w:rPr>
          <w:rFonts w:ascii="Georgia" w:hAnsi="Georgia"/>
          <w:sz w:val="24"/>
          <w:szCs w:val="24"/>
        </w:rPr>
        <w:t>Washington, DC  20003</w:t>
      </w:r>
    </w:p>
    <w:p w14:paraId="1F751E56" w14:textId="0569B125" w:rsidR="008763DD" w:rsidRDefault="008763DD" w:rsidP="008763DD">
      <w:pPr>
        <w:ind w:left="720" w:firstLine="720"/>
        <w:rPr>
          <w:rFonts w:ascii="Georgia" w:hAnsi="Georgia"/>
          <w:sz w:val="24"/>
          <w:szCs w:val="24"/>
        </w:rPr>
      </w:pPr>
      <w:r>
        <w:rPr>
          <w:rFonts w:ascii="Georgia" w:hAnsi="Georgia"/>
          <w:sz w:val="24"/>
          <w:szCs w:val="24"/>
        </w:rPr>
        <w:t>(202) 454-5191</w:t>
      </w:r>
    </w:p>
    <w:p w14:paraId="7BA7F3CF" w14:textId="52B6D030" w:rsidR="008763DD" w:rsidRPr="007C0818" w:rsidRDefault="008763DD" w:rsidP="008763DD">
      <w:pPr>
        <w:ind w:left="720" w:firstLine="720"/>
        <w:rPr>
          <w:rFonts w:ascii="Georgia" w:hAnsi="Georgia"/>
          <w:sz w:val="24"/>
          <w:szCs w:val="24"/>
        </w:rPr>
      </w:pPr>
      <w:r>
        <w:rPr>
          <w:rFonts w:ascii="Georgia" w:hAnsi="Georgia"/>
          <w:sz w:val="24"/>
          <w:szCs w:val="24"/>
        </w:rPr>
        <w:t>tslocum@citizen.org</w:t>
      </w:r>
    </w:p>
    <w:sectPr w:rsidR="008763DD" w:rsidRPr="007C0818" w:rsidSect="00692E4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2E73" w14:textId="77777777" w:rsidR="00455D91" w:rsidRDefault="00455D91" w:rsidP="003553F7">
      <w:r>
        <w:separator/>
      </w:r>
    </w:p>
  </w:endnote>
  <w:endnote w:type="continuationSeparator" w:id="0">
    <w:p w14:paraId="44F9A087" w14:textId="77777777" w:rsidR="00455D91" w:rsidRDefault="00455D91" w:rsidP="0035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35481"/>
      <w:docPartObj>
        <w:docPartGallery w:val="Page Numbers (Bottom of Page)"/>
        <w:docPartUnique/>
      </w:docPartObj>
    </w:sdtPr>
    <w:sdtEndPr>
      <w:rPr>
        <w:color w:val="7F7F7F" w:themeColor="background1" w:themeShade="7F"/>
        <w:spacing w:val="60"/>
      </w:rPr>
    </w:sdtEndPr>
    <w:sdtContent>
      <w:p w14:paraId="37341AF0" w14:textId="3379DFE1" w:rsidR="00692E47" w:rsidRDefault="00692E4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5C7E2F7" w14:textId="77777777" w:rsidR="00692E47" w:rsidRDefault="00692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A712" w14:textId="77777777" w:rsidR="00455D91" w:rsidRDefault="00455D91" w:rsidP="003553F7">
      <w:r>
        <w:separator/>
      </w:r>
    </w:p>
  </w:footnote>
  <w:footnote w:type="continuationSeparator" w:id="0">
    <w:p w14:paraId="606A094B" w14:textId="77777777" w:rsidR="00455D91" w:rsidRDefault="00455D91" w:rsidP="003553F7">
      <w:r>
        <w:continuationSeparator/>
      </w:r>
    </w:p>
  </w:footnote>
  <w:footnote w:id="1">
    <w:p w14:paraId="4B936D14" w14:textId="77777777" w:rsidR="00B65745" w:rsidRDefault="00B65745" w:rsidP="00B65745">
      <w:pPr>
        <w:pStyle w:val="FootnoteText"/>
      </w:pPr>
      <w:r>
        <w:rPr>
          <w:rStyle w:val="FootnoteReference"/>
        </w:rPr>
        <w:footnoteRef/>
      </w:r>
      <w:r>
        <w:t xml:space="preserve"> </w:t>
      </w:r>
      <w:r w:rsidRPr="000350F3">
        <w:rPr>
          <w:rFonts w:ascii="Georgia" w:hAnsi="Georgia"/>
        </w:rPr>
        <w:t>www.congress.gov/109/plaws/publ58/PLAW-109publ58.pdf</w:t>
      </w:r>
    </w:p>
  </w:footnote>
  <w:footnote w:id="2">
    <w:p w14:paraId="71CC6909" w14:textId="2630A34B" w:rsidR="00B65745" w:rsidRDefault="00B65745" w:rsidP="00B65745">
      <w:pPr>
        <w:pStyle w:val="FootnoteText"/>
      </w:pPr>
      <w:r>
        <w:rPr>
          <w:rStyle w:val="FootnoteReference"/>
        </w:rPr>
        <w:footnoteRef/>
      </w:r>
      <w:r>
        <w:t xml:space="preserve"> </w:t>
      </w:r>
      <w:r w:rsidRPr="00B9581E">
        <w:rPr>
          <w:rFonts w:ascii="Georgia" w:hAnsi="Georgia"/>
        </w:rPr>
        <w:t>15 USC §717b(e)(1)</w:t>
      </w:r>
      <w:r w:rsidR="00C13F1A">
        <w:rPr>
          <w:rFonts w:ascii="Georgia" w:hAnsi="Georgia"/>
        </w:rPr>
        <w:t xml:space="preserve"> (emphasis added)</w:t>
      </w:r>
      <w:r w:rsidRPr="00B9581E">
        <w:rPr>
          <w:rFonts w:ascii="Georgia" w:hAnsi="Georgia"/>
        </w:rPr>
        <w:t>.</w:t>
      </w:r>
    </w:p>
  </w:footnote>
  <w:footnote w:id="3">
    <w:p w14:paraId="49E67721" w14:textId="77777777" w:rsidR="00B65745" w:rsidRDefault="00B65745" w:rsidP="00B65745">
      <w:pPr>
        <w:pStyle w:val="FootnoteText"/>
      </w:pPr>
      <w:r>
        <w:rPr>
          <w:rStyle w:val="FootnoteReference"/>
        </w:rPr>
        <w:footnoteRef/>
      </w:r>
      <w:r>
        <w:t xml:space="preserve"> </w:t>
      </w:r>
      <w:r w:rsidRPr="00A54809">
        <w:rPr>
          <w:rFonts w:ascii="Georgia" w:hAnsi="Georgia"/>
        </w:rPr>
        <w:t>15 USC § 717a(11).</w:t>
      </w:r>
    </w:p>
  </w:footnote>
  <w:footnote w:id="4">
    <w:p w14:paraId="29750661" w14:textId="77777777" w:rsidR="00B65745" w:rsidRDefault="00B65745" w:rsidP="00B65745">
      <w:pPr>
        <w:pStyle w:val="FootnoteText"/>
      </w:pPr>
      <w:r>
        <w:rPr>
          <w:rStyle w:val="FootnoteReference"/>
        </w:rPr>
        <w:footnoteRef/>
      </w:r>
      <w:r>
        <w:t xml:space="preserve"> </w:t>
      </w:r>
      <w:r w:rsidRPr="005361D7">
        <w:rPr>
          <w:rFonts w:ascii="Georgia" w:hAnsi="Georgia"/>
        </w:rPr>
        <w:t>Printed page 40, www.govinfo.gov/content/pkg/CHRG-109shrg20445/pdf/CHRG-109shrg20445.pdf</w:t>
      </w:r>
    </w:p>
  </w:footnote>
  <w:footnote w:id="5">
    <w:p w14:paraId="09828578" w14:textId="77777777" w:rsidR="00B65745" w:rsidRDefault="00B65745" w:rsidP="00B65745">
      <w:pPr>
        <w:pStyle w:val="FootnoteText"/>
      </w:pPr>
      <w:r>
        <w:rPr>
          <w:rStyle w:val="FootnoteReference"/>
        </w:rPr>
        <w:footnoteRef/>
      </w:r>
      <w:r>
        <w:t xml:space="preserve"> </w:t>
      </w:r>
      <w:r w:rsidRPr="00D41224">
        <w:rPr>
          <w:rFonts w:ascii="Georgia" w:hAnsi="Georgia"/>
          <w:i/>
          <w:iCs/>
        </w:rPr>
        <w:t>Conference Report, to Accompany H.R. 4818</w:t>
      </w:r>
      <w:r w:rsidRPr="00D41224">
        <w:rPr>
          <w:rFonts w:ascii="Georgia" w:hAnsi="Georgia"/>
        </w:rPr>
        <w:t>, Report 108-792, November 20 (legislative day, November 19), 2004, at printed page 964, www.congress.gov/108/crpt/hrpt792/CRPT-108hrpt792.pdf</w:t>
      </w:r>
    </w:p>
  </w:footnote>
  <w:footnote w:id="6">
    <w:p w14:paraId="6F46F1FB" w14:textId="77777777" w:rsidR="00B65745" w:rsidRDefault="00B65745" w:rsidP="00B65745">
      <w:pPr>
        <w:pStyle w:val="FootnoteText"/>
      </w:pPr>
      <w:r>
        <w:rPr>
          <w:rStyle w:val="FootnoteReference"/>
        </w:rPr>
        <w:footnoteRef/>
      </w:r>
      <w:r>
        <w:t xml:space="preserve"> </w:t>
      </w:r>
      <w:r w:rsidRPr="00483301">
        <w:rPr>
          <w:rFonts w:ascii="Georgia" w:hAnsi="Georgia"/>
        </w:rPr>
        <w:t>15 USC § 717a(5)</w:t>
      </w:r>
    </w:p>
  </w:footnote>
  <w:footnote w:id="7">
    <w:p w14:paraId="46878761" w14:textId="1A158E99" w:rsidR="003553F7" w:rsidRDefault="003553F7">
      <w:pPr>
        <w:pStyle w:val="FootnoteText"/>
      </w:pPr>
      <w:r>
        <w:rPr>
          <w:rStyle w:val="FootnoteReference"/>
        </w:rPr>
        <w:footnoteRef/>
      </w:r>
      <w:r>
        <w:t xml:space="preserve"> </w:t>
      </w:r>
      <w:r w:rsidRPr="003553F7">
        <w:rPr>
          <w:rFonts w:ascii="Georgia" w:hAnsi="Georgia"/>
        </w:rPr>
        <w:t>Order, at 2.</w:t>
      </w:r>
    </w:p>
  </w:footnote>
  <w:footnote w:id="8">
    <w:p w14:paraId="1B0225D9" w14:textId="70314CA5" w:rsidR="008C0F67" w:rsidRDefault="008C0F67">
      <w:pPr>
        <w:pStyle w:val="FootnoteText"/>
      </w:pPr>
      <w:r>
        <w:rPr>
          <w:rStyle w:val="FootnoteReference"/>
        </w:rPr>
        <w:footnoteRef/>
      </w:r>
      <w:r>
        <w:t xml:space="preserve"> </w:t>
      </w:r>
      <w:r w:rsidR="00AD660C" w:rsidRPr="00AD660C">
        <w:rPr>
          <w:rFonts w:ascii="Georgia" w:hAnsi="Georgia"/>
        </w:rPr>
        <w:t xml:space="preserve">Order, at </w:t>
      </w:r>
      <w:r w:rsidR="00577B73">
        <w:rPr>
          <w:rFonts w:ascii="Georgia" w:hAnsi="Georgia"/>
        </w:rPr>
        <w:t>2-</w:t>
      </w:r>
      <w:r w:rsidR="00AD660C" w:rsidRPr="00AD660C">
        <w:rPr>
          <w:rFonts w:ascii="Georgia" w:hAnsi="Georgia"/>
        </w:rPr>
        <w:t>3.</w:t>
      </w:r>
    </w:p>
  </w:footnote>
  <w:footnote w:id="9">
    <w:p w14:paraId="3CBBE1E8" w14:textId="79B55F76" w:rsidR="009D7D7F" w:rsidRDefault="009D7D7F">
      <w:pPr>
        <w:pStyle w:val="FootnoteText"/>
      </w:pPr>
      <w:r>
        <w:rPr>
          <w:rStyle w:val="FootnoteReference"/>
        </w:rPr>
        <w:footnoteRef/>
      </w:r>
      <w:r>
        <w:t xml:space="preserve"> </w:t>
      </w:r>
      <w:r w:rsidR="004365A3" w:rsidRPr="004365A3">
        <w:rPr>
          <w:rFonts w:ascii="Georgia" w:hAnsi="Georgia"/>
        </w:rPr>
        <w:t>Order, at 6.</w:t>
      </w:r>
    </w:p>
  </w:footnote>
  <w:footnote w:id="10">
    <w:p w14:paraId="35690D36" w14:textId="6525956B" w:rsidR="00491CC7" w:rsidRDefault="00491CC7">
      <w:pPr>
        <w:pStyle w:val="FootnoteText"/>
      </w:pPr>
      <w:r>
        <w:rPr>
          <w:rStyle w:val="FootnoteReference"/>
        </w:rPr>
        <w:footnoteRef/>
      </w:r>
      <w:r>
        <w:t xml:space="preserve"> </w:t>
      </w:r>
      <w:r w:rsidRPr="00491CC7">
        <w:rPr>
          <w:rFonts w:ascii="Georgia" w:hAnsi="Georgia"/>
        </w:rPr>
        <w:t>Order, at 9.</w:t>
      </w:r>
    </w:p>
  </w:footnote>
  <w:footnote w:id="11">
    <w:p w14:paraId="753D7084" w14:textId="19692D95" w:rsidR="00577B73" w:rsidRPr="00593B13" w:rsidRDefault="00577B73">
      <w:pPr>
        <w:pStyle w:val="FootnoteText"/>
        <w:rPr>
          <w:rFonts w:ascii="Georgia" w:hAnsi="Georgia"/>
        </w:rPr>
      </w:pPr>
      <w:r>
        <w:rPr>
          <w:rStyle w:val="FootnoteReference"/>
        </w:rPr>
        <w:footnoteRef/>
      </w:r>
      <w:r>
        <w:t xml:space="preserve"> </w:t>
      </w:r>
      <w:r w:rsidRPr="00593B13">
        <w:rPr>
          <w:rFonts w:ascii="Georgia" w:hAnsi="Georgia"/>
        </w:rPr>
        <w:t>Order</w:t>
      </w:r>
      <w:r w:rsidR="00F41748">
        <w:rPr>
          <w:rFonts w:ascii="Georgia" w:hAnsi="Georgia"/>
        </w:rPr>
        <w:t>, at 2.</w:t>
      </w:r>
    </w:p>
  </w:footnote>
  <w:footnote w:id="12">
    <w:p w14:paraId="5140D12E" w14:textId="42D31A0C" w:rsidR="00391EE2" w:rsidRDefault="00391EE2">
      <w:pPr>
        <w:pStyle w:val="FootnoteText"/>
      </w:pPr>
      <w:r>
        <w:rPr>
          <w:rStyle w:val="FootnoteReference"/>
        </w:rPr>
        <w:footnoteRef/>
      </w:r>
      <w:r>
        <w:t xml:space="preserve"> </w:t>
      </w:r>
      <w:r w:rsidR="00B23B83" w:rsidRPr="00B23B83">
        <w:rPr>
          <w:rFonts w:ascii="Georgia" w:hAnsi="Georgia"/>
        </w:rPr>
        <w:t>151 FERC ¶ 61,006, at 12.</w:t>
      </w:r>
    </w:p>
  </w:footnote>
  <w:footnote w:id="13">
    <w:p w14:paraId="37B457CF" w14:textId="2070DE70" w:rsidR="00F516BD" w:rsidRDefault="00F516BD">
      <w:pPr>
        <w:pStyle w:val="FootnoteText"/>
      </w:pPr>
      <w:r>
        <w:rPr>
          <w:rStyle w:val="FootnoteReference"/>
        </w:rPr>
        <w:footnoteRef/>
      </w:r>
      <w:r>
        <w:t xml:space="preserve"> </w:t>
      </w:r>
      <w:r w:rsidRPr="008C57CB">
        <w:rPr>
          <w:rFonts w:ascii="Georgia" w:hAnsi="Georgia"/>
        </w:rPr>
        <w:t>Commissioner Bay Dissent, at page 1.</w:t>
      </w:r>
    </w:p>
  </w:footnote>
  <w:footnote w:id="14">
    <w:p w14:paraId="6755A4E6" w14:textId="54F513BA" w:rsidR="00464B27" w:rsidRDefault="00464B27">
      <w:pPr>
        <w:pStyle w:val="FootnoteText"/>
      </w:pPr>
      <w:r>
        <w:rPr>
          <w:rStyle w:val="FootnoteReference"/>
        </w:rPr>
        <w:footnoteRef/>
      </w:r>
      <w:r>
        <w:t xml:space="preserve"> </w:t>
      </w:r>
      <w:r w:rsidRPr="00464B27">
        <w:rPr>
          <w:rFonts w:ascii="Georgia" w:hAnsi="Georgia"/>
        </w:rPr>
        <w:t>Order, at footnote 21.</w:t>
      </w:r>
    </w:p>
  </w:footnote>
  <w:footnote w:id="15">
    <w:p w14:paraId="05BBC000" w14:textId="4F8B6523" w:rsidR="0040776D" w:rsidRDefault="0040776D">
      <w:pPr>
        <w:pStyle w:val="FootnoteText"/>
      </w:pPr>
      <w:r>
        <w:rPr>
          <w:rStyle w:val="FootnoteReference"/>
        </w:rPr>
        <w:footnoteRef/>
      </w:r>
      <w:r>
        <w:t xml:space="preserve"> </w:t>
      </w:r>
      <w:r w:rsidR="001978B1" w:rsidRPr="001978B1">
        <w:rPr>
          <w:rFonts w:ascii="Georgia" w:hAnsi="Georgia"/>
        </w:rPr>
        <w:t>Order, at 10.</w:t>
      </w:r>
    </w:p>
  </w:footnote>
  <w:footnote w:id="16">
    <w:p w14:paraId="2E4BE4A3" w14:textId="77777777" w:rsidR="007D5A0F" w:rsidRDefault="007D5A0F" w:rsidP="007D5A0F">
      <w:pPr>
        <w:pStyle w:val="FootnoteText"/>
      </w:pPr>
      <w:r>
        <w:rPr>
          <w:rStyle w:val="FootnoteReference"/>
        </w:rPr>
        <w:footnoteRef/>
      </w:r>
      <w:r>
        <w:t xml:space="preserve"> </w:t>
      </w:r>
      <w:r w:rsidRPr="00C879D5">
        <w:rPr>
          <w:rFonts w:ascii="Georgia" w:hAnsi="Georgia"/>
        </w:rPr>
        <w:t>Order, at 12.</w:t>
      </w:r>
    </w:p>
  </w:footnote>
  <w:footnote w:id="17">
    <w:p w14:paraId="0779C734" w14:textId="77777777" w:rsidR="0093029E" w:rsidRDefault="0093029E" w:rsidP="0093029E">
      <w:pPr>
        <w:pStyle w:val="FootnoteText"/>
      </w:pPr>
      <w:r>
        <w:rPr>
          <w:rStyle w:val="FootnoteReference"/>
        </w:rPr>
        <w:footnoteRef/>
      </w:r>
      <w:r>
        <w:t xml:space="preserve"> </w:t>
      </w:r>
      <w:r w:rsidRPr="00C24060">
        <w:rPr>
          <w:rFonts w:ascii="Georgia" w:hAnsi="Georgia"/>
        </w:rPr>
        <w:t>Printed page 40, www.govinfo.gov/content/pkg/CHRG-109shrg20445/pdf/CHRG-109shrg20445.pdf</w:t>
      </w:r>
    </w:p>
  </w:footnote>
  <w:footnote w:id="18">
    <w:p w14:paraId="7966F58B" w14:textId="38BC637E" w:rsidR="00680E4E" w:rsidRDefault="00680E4E">
      <w:pPr>
        <w:pStyle w:val="FootnoteText"/>
      </w:pPr>
      <w:r>
        <w:rPr>
          <w:rStyle w:val="FootnoteReference"/>
        </w:rPr>
        <w:footnoteRef/>
      </w:r>
      <w:r>
        <w:t xml:space="preserve"> </w:t>
      </w:r>
      <w:r w:rsidRPr="0099242F">
        <w:rPr>
          <w:rFonts w:ascii="Georgia" w:hAnsi="Georgia"/>
        </w:rPr>
        <w:t xml:space="preserve">Section 106, </w:t>
      </w:r>
      <w:r w:rsidR="00EC4D8C" w:rsidRPr="0099242F">
        <w:rPr>
          <w:rFonts w:ascii="Georgia" w:hAnsi="Georgia"/>
        </w:rPr>
        <w:t>www.congress.gov/107/plaws/publ295/PLAW-107publ295.pdf</w:t>
      </w:r>
    </w:p>
  </w:footnote>
  <w:footnote w:id="19">
    <w:p w14:paraId="37B71321" w14:textId="65FE2507" w:rsidR="009210FD" w:rsidRDefault="009210FD">
      <w:pPr>
        <w:pStyle w:val="FootnoteText"/>
      </w:pPr>
      <w:r>
        <w:rPr>
          <w:rStyle w:val="FootnoteReference"/>
        </w:rPr>
        <w:footnoteRef/>
      </w:r>
      <w:r>
        <w:t xml:space="preserve"> </w:t>
      </w:r>
      <w:r w:rsidRPr="009210FD">
        <w:rPr>
          <w:rFonts w:ascii="Georgia" w:hAnsi="Georgia"/>
        </w:rPr>
        <w:t>33 USC § 2701(24).</w:t>
      </w:r>
    </w:p>
  </w:footnote>
  <w:footnote w:id="20">
    <w:p w14:paraId="41A34AEC" w14:textId="0A9104AC" w:rsidR="00F7273E" w:rsidRDefault="00F7273E">
      <w:pPr>
        <w:pStyle w:val="FootnoteText"/>
      </w:pPr>
      <w:r>
        <w:rPr>
          <w:rStyle w:val="FootnoteReference"/>
        </w:rPr>
        <w:footnoteRef/>
      </w:r>
      <w:r>
        <w:t xml:space="preserve"> </w:t>
      </w:r>
      <w:r w:rsidRPr="00F7273E">
        <w:rPr>
          <w:rFonts w:ascii="Georgia" w:hAnsi="Georgia"/>
        </w:rPr>
        <w:t>www.congress.gov/109/plaws/publ58/PLAW-109publ58.pdf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76A3" w14:textId="19D43C2F" w:rsidR="00B52299" w:rsidRPr="00B36F7A" w:rsidRDefault="00B36F7A" w:rsidP="00B36F7A">
    <w:pPr>
      <w:pStyle w:val="Header"/>
      <w:jc w:val="center"/>
      <w:rPr>
        <w:rFonts w:ascii="Georgia" w:hAnsi="Georgia"/>
        <w:i/>
        <w:iCs/>
      </w:rPr>
    </w:pPr>
    <w:r w:rsidRPr="00B36F7A">
      <w:rPr>
        <w:rFonts w:ascii="Georgia" w:hAnsi="Georgia"/>
        <w:i/>
        <w:iCs/>
      </w:rPr>
      <w:t>Public Citizen Rehearing Request • Docket No. CP21-179 • April 22, 2022</w:t>
    </w:r>
  </w:p>
  <w:p w14:paraId="7B1906D6" w14:textId="77777777" w:rsidR="00B52299" w:rsidRDefault="00B52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11678"/>
    <w:multiLevelType w:val="hybridMultilevel"/>
    <w:tmpl w:val="618E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A1584"/>
    <w:multiLevelType w:val="hybridMultilevel"/>
    <w:tmpl w:val="2F787D0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662583018">
    <w:abstractNumId w:val="1"/>
  </w:num>
  <w:num w:numId="2" w16cid:durableId="16220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CB"/>
    <w:rsid w:val="00003937"/>
    <w:rsid w:val="0000721A"/>
    <w:rsid w:val="00010230"/>
    <w:rsid w:val="0001511B"/>
    <w:rsid w:val="00015E91"/>
    <w:rsid w:val="00024140"/>
    <w:rsid w:val="000307C3"/>
    <w:rsid w:val="000337C1"/>
    <w:rsid w:val="000350F3"/>
    <w:rsid w:val="00046EC2"/>
    <w:rsid w:val="00050040"/>
    <w:rsid w:val="00053342"/>
    <w:rsid w:val="000535B2"/>
    <w:rsid w:val="000565BF"/>
    <w:rsid w:val="00060241"/>
    <w:rsid w:val="00063886"/>
    <w:rsid w:val="000638E1"/>
    <w:rsid w:val="00066B6A"/>
    <w:rsid w:val="00077C0F"/>
    <w:rsid w:val="0008595B"/>
    <w:rsid w:val="000920F4"/>
    <w:rsid w:val="000A1182"/>
    <w:rsid w:val="000A64C7"/>
    <w:rsid w:val="000B041F"/>
    <w:rsid w:val="000B7907"/>
    <w:rsid w:val="000D0E81"/>
    <w:rsid w:val="000D4FC1"/>
    <w:rsid w:val="000D75CD"/>
    <w:rsid w:val="000F0EC4"/>
    <w:rsid w:val="000F4965"/>
    <w:rsid w:val="000F5AD7"/>
    <w:rsid w:val="00103AA8"/>
    <w:rsid w:val="00106B03"/>
    <w:rsid w:val="00113B74"/>
    <w:rsid w:val="00121D8E"/>
    <w:rsid w:val="00123C56"/>
    <w:rsid w:val="0012683B"/>
    <w:rsid w:val="00126B8F"/>
    <w:rsid w:val="0012737A"/>
    <w:rsid w:val="00132249"/>
    <w:rsid w:val="00136663"/>
    <w:rsid w:val="00147596"/>
    <w:rsid w:val="00147971"/>
    <w:rsid w:val="001576C2"/>
    <w:rsid w:val="00161402"/>
    <w:rsid w:val="001720FE"/>
    <w:rsid w:val="001847CA"/>
    <w:rsid w:val="001971D0"/>
    <w:rsid w:val="001978B1"/>
    <w:rsid w:val="001A1162"/>
    <w:rsid w:val="001A29C2"/>
    <w:rsid w:val="001A7DB6"/>
    <w:rsid w:val="001B08B2"/>
    <w:rsid w:val="001B23F6"/>
    <w:rsid w:val="001B2C6E"/>
    <w:rsid w:val="001B5D7D"/>
    <w:rsid w:val="001C37C0"/>
    <w:rsid w:val="001C6FE8"/>
    <w:rsid w:val="001D43D5"/>
    <w:rsid w:val="001E6567"/>
    <w:rsid w:val="001F22CA"/>
    <w:rsid w:val="001F3D87"/>
    <w:rsid w:val="001F51CF"/>
    <w:rsid w:val="001F6E13"/>
    <w:rsid w:val="002101C7"/>
    <w:rsid w:val="00214815"/>
    <w:rsid w:val="00217F33"/>
    <w:rsid w:val="0022167A"/>
    <w:rsid w:val="00227B53"/>
    <w:rsid w:val="002338A6"/>
    <w:rsid w:val="0023588C"/>
    <w:rsid w:val="00247621"/>
    <w:rsid w:val="00247CBE"/>
    <w:rsid w:val="00256A3C"/>
    <w:rsid w:val="00273866"/>
    <w:rsid w:val="00281E3B"/>
    <w:rsid w:val="002934B2"/>
    <w:rsid w:val="0029533C"/>
    <w:rsid w:val="00297136"/>
    <w:rsid w:val="002A262D"/>
    <w:rsid w:val="002C3F86"/>
    <w:rsid w:val="002D7D0C"/>
    <w:rsid w:val="002E48E9"/>
    <w:rsid w:val="002E715C"/>
    <w:rsid w:val="002F59EC"/>
    <w:rsid w:val="00316162"/>
    <w:rsid w:val="003175F0"/>
    <w:rsid w:val="00317A27"/>
    <w:rsid w:val="00327CF1"/>
    <w:rsid w:val="003350B6"/>
    <w:rsid w:val="003422E8"/>
    <w:rsid w:val="0034289D"/>
    <w:rsid w:val="003438AF"/>
    <w:rsid w:val="0034663A"/>
    <w:rsid w:val="00353193"/>
    <w:rsid w:val="003553F7"/>
    <w:rsid w:val="003568CD"/>
    <w:rsid w:val="00361184"/>
    <w:rsid w:val="003700C9"/>
    <w:rsid w:val="00376E22"/>
    <w:rsid w:val="0037712C"/>
    <w:rsid w:val="00391EE2"/>
    <w:rsid w:val="0039391E"/>
    <w:rsid w:val="00397B74"/>
    <w:rsid w:val="003A08C9"/>
    <w:rsid w:val="003A4A88"/>
    <w:rsid w:val="003A5D77"/>
    <w:rsid w:val="003A5DC9"/>
    <w:rsid w:val="003B42F1"/>
    <w:rsid w:val="003B58EB"/>
    <w:rsid w:val="003C1899"/>
    <w:rsid w:val="003C6793"/>
    <w:rsid w:val="003C7ECD"/>
    <w:rsid w:val="003D025C"/>
    <w:rsid w:val="003D20BA"/>
    <w:rsid w:val="003D25AA"/>
    <w:rsid w:val="003D5F9F"/>
    <w:rsid w:val="00406006"/>
    <w:rsid w:val="004064D6"/>
    <w:rsid w:val="004073C9"/>
    <w:rsid w:val="0040776D"/>
    <w:rsid w:val="00407FFB"/>
    <w:rsid w:val="00411E5E"/>
    <w:rsid w:val="00414658"/>
    <w:rsid w:val="004157E0"/>
    <w:rsid w:val="004208EE"/>
    <w:rsid w:val="00424049"/>
    <w:rsid w:val="004279B0"/>
    <w:rsid w:val="004365A3"/>
    <w:rsid w:val="00436EE2"/>
    <w:rsid w:val="0044372C"/>
    <w:rsid w:val="0044670E"/>
    <w:rsid w:val="00455D91"/>
    <w:rsid w:val="0045689F"/>
    <w:rsid w:val="00464B27"/>
    <w:rsid w:val="0046573E"/>
    <w:rsid w:val="00472574"/>
    <w:rsid w:val="00475822"/>
    <w:rsid w:val="00483301"/>
    <w:rsid w:val="004866D9"/>
    <w:rsid w:val="00490B47"/>
    <w:rsid w:val="00491CA3"/>
    <w:rsid w:val="00491CC7"/>
    <w:rsid w:val="00491D9B"/>
    <w:rsid w:val="00492DFA"/>
    <w:rsid w:val="00495C3D"/>
    <w:rsid w:val="00497B94"/>
    <w:rsid w:val="004B531D"/>
    <w:rsid w:val="004C5CD2"/>
    <w:rsid w:val="004D34E6"/>
    <w:rsid w:val="004D4606"/>
    <w:rsid w:val="004F51DB"/>
    <w:rsid w:val="00506FBA"/>
    <w:rsid w:val="00522B8A"/>
    <w:rsid w:val="00523E0E"/>
    <w:rsid w:val="00524D6A"/>
    <w:rsid w:val="00531FF9"/>
    <w:rsid w:val="005332BB"/>
    <w:rsid w:val="005358DE"/>
    <w:rsid w:val="005361D7"/>
    <w:rsid w:val="00544005"/>
    <w:rsid w:val="005446D0"/>
    <w:rsid w:val="005504D3"/>
    <w:rsid w:val="00551646"/>
    <w:rsid w:val="0055774B"/>
    <w:rsid w:val="00561248"/>
    <w:rsid w:val="00564376"/>
    <w:rsid w:val="00566FD5"/>
    <w:rsid w:val="005726A6"/>
    <w:rsid w:val="00573F22"/>
    <w:rsid w:val="00574C7E"/>
    <w:rsid w:val="00577B73"/>
    <w:rsid w:val="00580564"/>
    <w:rsid w:val="00581341"/>
    <w:rsid w:val="0059327B"/>
    <w:rsid w:val="00593B13"/>
    <w:rsid w:val="00596AC1"/>
    <w:rsid w:val="00597224"/>
    <w:rsid w:val="005A04C9"/>
    <w:rsid w:val="005C5678"/>
    <w:rsid w:val="005C7E47"/>
    <w:rsid w:val="005D4A16"/>
    <w:rsid w:val="005E21B0"/>
    <w:rsid w:val="006007B7"/>
    <w:rsid w:val="00605D1F"/>
    <w:rsid w:val="006064A1"/>
    <w:rsid w:val="0061007B"/>
    <w:rsid w:val="0061067F"/>
    <w:rsid w:val="0062502A"/>
    <w:rsid w:val="006260CE"/>
    <w:rsid w:val="00630A83"/>
    <w:rsid w:val="00631E02"/>
    <w:rsid w:val="00636C35"/>
    <w:rsid w:val="00637ED3"/>
    <w:rsid w:val="006443BB"/>
    <w:rsid w:val="006464A0"/>
    <w:rsid w:val="0064708E"/>
    <w:rsid w:val="006547BC"/>
    <w:rsid w:val="006651F5"/>
    <w:rsid w:val="00671716"/>
    <w:rsid w:val="00680A49"/>
    <w:rsid w:val="00680E4E"/>
    <w:rsid w:val="0068144F"/>
    <w:rsid w:val="00683B3F"/>
    <w:rsid w:val="006901E1"/>
    <w:rsid w:val="00692E47"/>
    <w:rsid w:val="00694ABC"/>
    <w:rsid w:val="006A40FC"/>
    <w:rsid w:val="006A6856"/>
    <w:rsid w:val="006B3DFA"/>
    <w:rsid w:val="006B49CE"/>
    <w:rsid w:val="006C3397"/>
    <w:rsid w:val="006C5EC3"/>
    <w:rsid w:val="006D2B6E"/>
    <w:rsid w:val="006D3456"/>
    <w:rsid w:val="006D5BA5"/>
    <w:rsid w:val="006F48B9"/>
    <w:rsid w:val="006F594A"/>
    <w:rsid w:val="0071310F"/>
    <w:rsid w:val="00713838"/>
    <w:rsid w:val="00722FF3"/>
    <w:rsid w:val="00727041"/>
    <w:rsid w:val="007344A9"/>
    <w:rsid w:val="00734924"/>
    <w:rsid w:val="00735947"/>
    <w:rsid w:val="0073627B"/>
    <w:rsid w:val="00743663"/>
    <w:rsid w:val="00744851"/>
    <w:rsid w:val="00747B78"/>
    <w:rsid w:val="00751EF1"/>
    <w:rsid w:val="00753960"/>
    <w:rsid w:val="00761A7D"/>
    <w:rsid w:val="00761EB3"/>
    <w:rsid w:val="00762E0E"/>
    <w:rsid w:val="00785776"/>
    <w:rsid w:val="007943E6"/>
    <w:rsid w:val="007951F1"/>
    <w:rsid w:val="00796A6D"/>
    <w:rsid w:val="007A0591"/>
    <w:rsid w:val="007A5EA3"/>
    <w:rsid w:val="007B1BCE"/>
    <w:rsid w:val="007B45C6"/>
    <w:rsid w:val="007B5E77"/>
    <w:rsid w:val="007C0818"/>
    <w:rsid w:val="007D031C"/>
    <w:rsid w:val="007D2386"/>
    <w:rsid w:val="007D4095"/>
    <w:rsid w:val="007D5A0F"/>
    <w:rsid w:val="007E0744"/>
    <w:rsid w:val="007E1E99"/>
    <w:rsid w:val="007F0369"/>
    <w:rsid w:val="007F0C90"/>
    <w:rsid w:val="007F1DB2"/>
    <w:rsid w:val="007F3A3D"/>
    <w:rsid w:val="0080535F"/>
    <w:rsid w:val="00807390"/>
    <w:rsid w:val="00811ABB"/>
    <w:rsid w:val="00825149"/>
    <w:rsid w:val="00826F23"/>
    <w:rsid w:val="00831042"/>
    <w:rsid w:val="00831ED1"/>
    <w:rsid w:val="008346D3"/>
    <w:rsid w:val="00835070"/>
    <w:rsid w:val="00846404"/>
    <w:rsid w:val="00850393"/>
    <w:rsid w:val="00853FE7"/>
    <w:rsid w:val="00857E6F"/>
    <w:rsid w:val="00860385"/>
    <w:rsid w:val="00872640"/>
    <w:rsid w:val="008763DD"/>
    <w:rsid w:val="008812DE"/>
    <w:rsid w:val="0088719E"/>
    <w:rsid w:val="008B6EB9"/>
    <w:rsid w:val="008C009C"/>
    <w:rsid w:val="008C063B"/>
    <w:rsid w:val="008C0F67"/>
    <w:rsid w:val="008C4C7A"/>
    <w:rsid w:val="008C56AD"/>
    <w:rsid w:val="008C57CB"/>
    <w:rsid w:val="008C7F1A"/>
    <w:rsid w:val="008D378F"/>
    <w:rsid w:val="008D3D6A"/>
    <w:rsid w:val="008E14D4"/>
    <w:rsid w:val="008E47DE"/>
    <w:rsid w:val="008E5574"/>
    <w:rsid w:val="009007BB"/>
    <w:rsid w:val="00900D7A"/>
    <w:rsid w:val="00901771"/>
    <w:rsid w:val="00901B43"/>
    <w:rsid w:val="00904848"/>
    <w:rsid w:val="009129AD"/>
    <w:rsid w:val="009210FD"/>
    <w:rsid w:val="00923058"/>
    <w:rsid w:val="0093029E"/>
    <w:rsid w:val="00941D33"/>
    <w:rsid w:val="00957253"/>
    <w:rsid w:val="009759C2"/>
    <w:rsid w:val="00981F82"/>
    <w:rsid w:val="00982C11"/>
    <w:rsid w:val="00987783"/>
    <w:rsid w:val="0099242F"/>
    <w:rsid w:val="009A4C49"/>
    <w:rsid w:val="009A6A63"/>
    <w:rsid w:val="009C274C"/>
    <w:rsid w:val="009C7DDA"/>
    <w:rsid w:val="009D5F16"/>
    <w:rsid w:val="009D7D7F"/>
    <w:rsid w:val="009E3CEB"/>
    <w:rsid w:val="009E401B"/>
    <w:rsid w:val="009E5BB6"/>
    <w:rsid w:val="009F1B0C"/>
    <w:rsid w:val="009F7046"/>
    <w:rsid w:val="00A354CD"/>
    <w:rsid w:val="00A45DF4"/>
    <w:rsid w:val="00A54809"/>
    <w:rsid w:val="00A63085"/>
    <w:rsid w:val="00A63CF7"/>
    <w:rsid w:val="00A70C11"/>
    <w:rsid w:val="00A729B9"/>
    <w:rsid w:val="00A73109"/>
    <w:rsid w:val="00A81D24"/>
    <w:rsid w:val="00A840E4"/>
    <w:rsid w:val="00A869C5"/>
    <w:rsid w:val="00A9512A"/>
    <w:rsid w:val="00AA344C"/>
    <w:rsid w:val="00AA4753"/>
    <w:rsid w:val="00AB09D0"/>
    <w:rsid w:val="00AB0CA3"/>
    <w:rsid w:val="00AB0EE6"/>
    <w:rsid w:val="00AB6422"/>
    <w:rsid w:val="00AC17E4"/>
    <w:rsid w:val="00AD2D01"/>
    <w:rsid w:val="00AD52FD"/>
    <w:rsid w:val="00AD660C"/>
    <w:rsid w:val="00AD776C"/>
    <w:rsid w:val="00AE3D02"/>
    <w:rsid w:val="00AF10B5"/>
    <w:rsid w:val="00AF67C4"/>
    <w:rsid w:val="00B00880"/>
    <w:rsid w:val="00B04853"/>
    <w:rsid w:val="00B05767"/>
    <w:rsid w:val="00B06670"/>
    <w:rsid w:val="00B10D46"/>
    <w:rsid w:val="00B11F13"/>
    <w:rsid w:val="00B13D64"/>
    <w:rsid w:val="00B177A3"/>
    <w:rsid w:val="00B23B83"/>
    <w:rsid w:val="00B33852"/>
    <w:rsid w:val="00B36F7A"/>
    <w:rsid w:val="00B37AEA"/>
    <w:rsid w:val="00B401DF"/>
    <w:rsid w:val="00B42AD6"/>
    <w:rsid w:val="00B4601D"/>
    <w:rsid w:val="00B52299"/>
    <w:rsid w:val="00B64D19"/>
    <w:rsid w:val="00B65745"/>
    <w:rsid w:val="00B72F05"/>
    <w:rsid w:val="00B7554E"/>
    <w:rsid w:val="00B81B27"/>
    <w:rsid w:val="00B91730"/>
    <w:rsid w:val="00B91EE1"/>
    <w:rsid w:val="00B93445"/>
    <w:rsid w:val="00B944C2"/>
    <w:rsid w:val="00B947A8"/>
    <w:rsid w:val="00B9581E"/>
    <w:rsid w:val="00B9649A"/>
    <w:rsid w:val="00BA06DD"/>
    <w:rsid w:val="00BA260C"/>
    <w:rsid w:val="00BB4C66"/>
    <w:rsid w:val="00BB79A8"/>
    <w:rsid w:val="00BC17BF"/>
    <w:rsid w:val="00BD0F69"/>
    <w:rsid w:val="00BD64E0"/>
    <w:rsid w:val="00BD6AE3"/>
    <w:rsid w:val="00BE253A"/>
    <w:rsid w:val="00BF1A3C"/>
    <w:rsid w:val="00BF3406"/>
    <w:rsid w:val="00C0176C"/>
    <w:rsid w:val="00C029B2"/>
    <w:rsid w:val="00C04006"/>
    <w:rsid w:val="00C04068"/>
    <w:rsid w:val="00C069AE"/>
    <w:rsid w:val="00C103F8"/>
    <w:rsid w:val="00C113CF"/>
    <w:rsid w:val="00C1362B"/>
    <w:rsid w:val="00C13F1A"/>
    <w:rsid w:val="00C145AE"/>
    <w:rsid w:val="00C15565"/>
    <w:rsid w:val="00C172AF"/>
    <w:rsid w:val="00C22A47"/>
    <w:rsid w:val="00C24060"/>
    <w:rsid w:val="00C41305"/>
    <w:rsid w:val="00C52240"/>
    <w:rsid w:val="00C727B2"/>
    <w:rsid w:val="00C73662"/>
    <w:rsid w:val="00C84C58"/>
    <w:rsid w:val="00C84D88"/>
    <w:rsid w:val="00C879D5"/>
    <w:rsid w:val="00C931E3"/>
    <w:rsid w:val="00C947EC"/>
    <w:rsid w:val="00CA0A90"/>
    <w:rsid w:val="00CA3FCB"/>
    <w:rsid w:val="00CA5504"/>
    <w:rsid w:val="00CB32D7"/>
    <w:rsid w:val="00CB3EBD"/>
    <w:rsid w:val="00CC621D"/>
    <w:rsid w:val="00CE1E5E"/>
    <w:rsid w:val="00CE47B0"/>
    <w:rsid w:val="00CE5139"/>
    <w:rsid w:val="00CF1738"/>
    <w:rsid w:val="00CF4970"/>
    <w:rsid w:val="00D033D3"/>
    <w:rsid w:val="00D05ABD"/>
    <w:rsid w:val="00D06509"/>
    <w:rsid w:val="00D41224"/>
    <w:rsid w:val="00D434D0"/>
    <w:rsid w:val="00D52B9B"/>
    <w:rsid w:val="00D52C54"/>
    <w:rsid w:val="00D52DFF"/>
    <w:rsid w:val="00D62BE0"/>
    <w:rsid w:val="00D6326A"/>
    <w:rsid w:val="00D67F5F"/>
    <w:rsid w:val="00D714ED"/>
    <w:rsid w:val="00D760F4"/>
    <w:rsid w:val="00D81F39"/>
    <w:rsid w:val="00D87FB8"/>
    <w:rsid w:val="00DA077F"/>
    <w:rsid w:val="00DA507A"/>
    <w:rsid w:val="00DA6F3E"/>
    <w:rsid w:val="00DB0D57"/>
    <w:rsid w:val="00DC313B"/>
    <w:rsid w:val="00DC473A"/>
    <w:rsid w:val="00DC524E"/>
    <w:rsid w:val="00DC5618"/>
    <w:rsid w:val="00DE1FF1"/>
    <w:rsid w:val="00DE3FE0"/>
    <w:rsid w:val="00DE498F"/>
    <w:rsid w:val="00DE5043"/>
    <w:rsid w:val="00DF094D"/>
    <w:rsid w:val="00DF2947"/>
    <w:rsid w:val="00DF74DF"/>
    <w:rsid w:val="00E00CF2"/>
    <w:rsid w:val="00E06DDE"/>
    <w:rsid w:val="00E135C7"/>
    <w:rsid w:val="00E16744"/>
    <w:rsid w:val="00E2521D"/>
    <w:rsid w:val="00E27AC9"/>
    <w:rsid w:val="00E45696"/>
    <w:rsid w:val="00E457F5"/>
    <w:rsid w:val="00E460CB"/>
    <w:rsid w:val="00E510B5"/>
    <w:rsid w:val="00E556F8"/>
    <w:rsid w:val="00E617B1"/>
    <w:rsid w:val="00E61F2C"/>
    <w:rsid w:val="00E62596"/>
    <w:rsid w:val="00E63454"/>
    <w:rsid w:val="00E71089"/>
    <w:rsid w:val="00E8147A"/>
    <w:rsid w:val="00E83950"/>
    <w:rsid w:val="00E94FC4"/>
    <w:rsid w:val="00EA0C92"/>
    <w:rsid w:val="00EB6A5C"/>
    <w:rsid w:val="00EC1BA9"/>
    <w:rsid w:val="00EC4D8C"/>
    <w:rsid w:val="00EC5DEF"/>
    <w:rsid w:val="00EC6356"/>
    <w:rsid w:val="00EC6FF5"/>
    <w:rsid w:val="00ED03EC"/>
    <w:rsid w:val="00ED14AC"/>
    <w:rsid w:val="00ED3070"/>
    <w:rsid w:val="00ED4E96"/>
    <w:rsid w:val="00ED73F1"/>
    <w:rsid w:val="00EE0381"/>
    <w:rsid w:val="00EE5390"/>
    <w:rsid w:val="00EF781B"/>
    <w:rsid w:val="00F0237A"/>
    <w:rsid w:val="00F027DD"/>
    <w:rsid w:val="00F073D6"/>
    <w:rsid w:val="00F15174"/>
    <w:rsid w:val="00F1740D"/>
    <w:rsid w:val="00F27BCD"/>
    <w:rsid w:val="00F30739"/>
    <w:rsid w:val="00F332DF"/>
    <w:rsid w:val="00F36FF5"/>
    <w:rsid w:val="00F41748"/>
    <w:rsid w:val="00F43133"/>
    <w:rsid w:val="00F43717"/>
    <w:rsid w:val="00F516BD"/>
    <w:rsid w:val="00F51FFD"/>
    <w:rsid w:val="00F6688A"/>
    <w:rsid w:val="00F71B79"/>
    <w:rsid w:val="00F724D3"/>
    <w:rsid w:val="00F7273E"/>
    <w:rsid w:val="00F73327"/>
    <w:rsid w:val="00F742A7"/>
    <w:rsid w:val="00F7565E"/>
    <w:rsid w:val="00F80A33"/>
    <w:rsid w:val="00F83734"/>
    <w:rsid w:val="00F91F17"/>
    <w:rsid w:val="00F934F2"/>
    <w:rsid w:val="00F94523"/>
    <w:rsid w:val="00F960AB"/>
    <w:rsid w:val="00FA11EA"/>
    <w:rsid w:val="00FA4967"/>
    <w:rsid w:val="00FB1413"/>
    <w:rsid w:val="00FB6E68"/>
    <w:rsid w:val="00FC2F2C"/>
    <w:rsid w:val="00FF2917"/>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E5D1"/>
  <w15:chartTrackingRefBased/>
  <w15:docId w15:val="{3A1A93C9-7A31-41BF-96C3-FED68817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C4"/>
    <w:pPr>
      <w:ind w:left="720"/>
      <w:contextualSpacing/>
    </w:pPr>
  </w:style>
  <w:style w:type="paragraph" w:styleId="FootnoteText">
    <w:name w:val="footnote text"/>
    <w:basedOn w:val="Normal"/>
    <w:link w:val="FootnoteTextChar"/>
    <w:uiPriority w:val="99"/>
    <w:semiHidden/>
    <w:unhideWhenUsed/>
    <w:rsid w:val="003553F7"/>
    <w:rPr>
      <w:sz w:val="20"/>
      <w:szCs w:val="20"/>
    </w:rPr>
  </w:style>
  <w:style w:type="character" w:customStyle="1" w:styleId="FootnoteTextChar">
    <w:name w:val="Footnote Text Char"/>
    <w:basedOn w:val="DefaultParagraphFont"/>
    <w:link w:val="FootnoteText"/>
    <w:uiPriority w:val="99"/>
    <w:semiHidden/>
    <w:rsid w:val="003553F7"/>
    <w:rPr>
      <w:sz w:val="20"/>
      <w:szCs w:val="20"/>
    </w:rPr>
  </w:style>
  <w:style w:type="character" w:styleId="FootnoteReference">
    <w:name w:val="footnote reference"/>
    <w:basedOn w:val="DefaultParagraphFont"/>
    <w:uiPriority w:val="99"/>
    <w:semiHidden/>
    <w:unhideWhenUsed/>
    <w:rsid w:val="003553F7"/>
    <w:rPr>
      <w:vertAlign w:val="superscript"/>
    </w:rPr>
  </w:style>
  <w:style w:type="character" w:styleId="Hyperlink">
    <w:name w:val="Hyperlink"/>
    <w:basedOn w:val="DefaultParagraphFont"/>
    <w:uiPriority w:val="99"/>
    <w:unhideWhenUsed/>
    <w:rsid w:val="007C0818"/>
    <w:rPr>
      <w:color w:val="0563C1" w:themeColor="hyperlink"/>
      <w:u w:val="single"/>
    </w:rPr>
  </w:style>
  <w:style w:type="character" w:styleId="UnresolvedMention">
    <w:name w:val="Unresolved Mention"/>
    <w:basedOn w:val="DefaultParagraphFont"/>
    <w:uiPriority w:val="99"/>
    <w:semiHidden/>
    <w:unhideWhenUsed/>
    <w:rsid w:val="007C0818"/>
    <w:rPr>
      <w:color w:val="605E5C"/>
      <w:shd w:val="clear" w:color="auto" w:fill="E1DFDD"/>
    </w:rPr>
  </w:style>
  <w:style w:type="paragraph" w:styleId="Header">
    <w:name w:val="header"/>
    <w:basedOn w:val="Normal"/>
    <w:link w:val="HeaderChar"/>
    <w:uiPriority w:val="99"/>
    <w:unhideWhenUsed/>
    <w:rsid w:val="00692E47"/>
    <w:pPr>
      <w:tabs>
        <w:tab w:val="center" w:pos="4680"/>
        <w:tab w:val="right" w:pos="9360"/>
      </w:tabs>
    </w:pPr>
  </w:style>
  <w:style w:type="character" w:customStyle="1" w:styleId="HeaderChar">
    <w:name w:val="Header Char"/>
    <w:basedOn w:val="DefaultParagraphFont"/>
    <w:link w:val="Header"/>
    <w:uiPriority w:val="99"/>
    <w:rsid w:val="00692E47"/>
  </w:style>
  <w:style w:type="paragraph" w:styleId="Footer">
    <w:name w:val="footer"/>
    <w:basedOn w:val="Normal"/>
    <w:link w:val="FooterChar"/>
    <w:uiPriority w:val="99"/>
    <w:unhideWhenUsed/>
    <w:rsid w:val="00692E47"/>
    <w:pPr>
      <w:tabs>
        <w:tab w:val="center" w:pos="4680"/>
        <w:tab w:val="right" w:pos="9360"/>
      </w:tabs>
    </w:pPr>
  </w:style>
  <w:style w:type="character" w:customStyle="1" w:styleId="FooterChar">
    <w:name w:val="Footer Char"/>
    <w:basedOn w:val="DefaultParagraphFont"/>
    <w:link w:val="Footer"/>
    <w:uiPriority w:val="99"/>
    <w:rsid w:val="00692E47"/>
  </w:style>
  <w:style w:type="character" w:styleId="CommentReference">
    <w:name w:val="annotation reference"/>
    <w:basedOn w:val="DefaultParagraphFont"/>
    <w:uiPriority w:val="99"/>
    <w:semiHidden/>
    <w:unhideWhenUsed/>
    <w:rsid w:val="00551646"/>
    <w:rPr>
      <w:sz w:val="16"/>
      <w:szCs w:val="16"/>
    </w:rPr>
  </w:style>
  <w:style w:type="paragraph" w:styleId="CommentText">
    <w:name w:val="annotation text"/>
    <w:basedOn w:val="Normal"/>
    <w:link w:val="CommentTextChar"/>
    <w:uiPriority w:val="99"/>
    <w:semiHidden/>
    <w:unhideWhenUsed/>
    <w:rsid w:val="00551646"/>
    <w:rPr>
      <w:sz w:val="24"/>
      <w:szCs w:val="20"/>
    </w:rPr>
  </w:style>
  <w:style w:type="character" w:customStyle="1" w:styleId="CommentTextChar">
    <w:name w:val="Comment Text Char"/>
    <w:basedOn w:val="DefaultParagraphFont"/>
    <w:link w:val="CommentText"/>
    <w:uiPriority w:val="99"/>
    <w:semiHidden/>
    <w:rsid w:val="00551646"/>
    <w:rPr>
      <w:sz w:val="24"/>
      <w:szCs w:val="20"/>
    </w:rPr>
  </w:style>
  <w:style w:type="paragraph" w:styleId="CommentSubject">
    <w:name w:val="annotation subject"/>
    <w:basedOn w:val="CommentText"/>
    <w:next w:val="CommentText"/>
    <w:link w:val="CommentSubjectChar"/>
    <w:uiPriority w:val="99"/>
    <w:semiHidden/>
    <w:unhideWhenUsed/>
    <w:rsid w:val="00551646"/>
    <w:rPr>
      <w:b/>
      <w:bCs/>
    </w:rPr>
  </w:style>
  <w:style w:type="character" w:customStyle="1" w:styleId="CommentSubjectChar">
    <w:name w:val="Comment Subject Char"/>
    <w:basedOn w:val="CommentTextChar"/>
    <w:link w:val="CommentSubject"/>
    <w:uiPriority w:val="99"/>
    <w:semiHidden/>
    <w:rsid w:val="00551646"/>
    <w:rPr>
      <w:b/>
      <w:bCs/>
      <w:sz w:val="24"/>
      <w:szCs w:val="20"/>
    </w:rPr>
  </w:style>
  <w:style w:type="paragraph" w:styleId="BalloonText">
    <w:name w:val="Balloon Text"/>
    <w:basedOn w:val="Normal"/>
    <w:link w:val="BalloonTextChar"/>
    <w:uiPriority w:val="99"/>
    <w:semiHidden/>
    <w:unhideWhenUsed/>
    <w:rsid w:val="00551646"/>
    <w:rPr>
      <w:rFonts w:ascii="Segoe UI" w:hAnsi="Segoe UI" w:cs="Segoe UI"/>
      <w:sz w:val="24"/>
      <w:szCs w:val="18"/>
    </w:rPr>
  </w:style>
  <w:style w:type="character" w:customStyle="1" w:styleId="BalloonTextChar">
    <w:name w:val="Balloon Text Char"/>
    <w:basedOn w:val="DefaultParagraphFont"/>
    <w:link w:val="BalloonText"/>
    <w:uiPriority w:val="99"/>
    <w:semiHidden/>
    <w:rsid w:val="00551646"/>
    <w:rPr>
      <w:rFonts w:ascii="Segoe UI" w:hAnsi="Segoe UI" w:cs="Segoe UI"/>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D083-CB41-4E72-B6FD-E225D887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T. Slocum</dc:creator>
  <cp:keywords/>
  <dc:description/>
  <cp:lastModifiedBy>Tyson T. Slocum</cp:lastModifiedBy>
  <cp:revision>7</cp:revision>
  <dcterms:created xsi:type="dcterms:W3CDTF">2022-04-22T18:59:00Z</dcterms:created>
  <dcterms:modified xsi:type="dcterms:W3CDTF">2022-04-26T10:49:00Z</dcterms:modified>
</cp:coreProperties>
</file>