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9D8F" w14:textId="73CABF7F" w:rsidR="00AC343E" w:rsidRPr="008112F0" w:rsidRDefault="000B6B15" w:rsidP="008112F0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UNITED STATES OF AMERICA</w:t>
      </w:r>
    </w:p>
    <w:p w14:paraId="44217096" w14:textId="5FE81E23" w:rsidR="000B6B15" w:rsidRPr="008112F0" w:rsidRDefault="000B6B15" w:rsidP="008112F0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BEFORE THE</w:t>
      </w:r>
    </w:p>
    <w:p w14:paraId="66D909B7" w14:textId="0E5D420E" w:rsidR="000B6B15" w:rsidRDefault="000B6B15" w:rsidP="008112F0">
      <w:pPr>
        <w:jc w:val="center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FEDERAL ENERGY REGULATORY COMMISSION</w:t>
      </w:r>
    </w:p>
    <w:p w14:paraId="2ABBC3B7" w14:textId="77777777" w:rsidR="003D70CB" w:rsidRPr="008112F0" w:rsidRDefault="003D70CB" w:rsidP="008112F0">
      <w:pPr>
        <w:jc w:val="center"/>
        <w:rPr>
          <w:rFonts w:ascii="Georgia" w:hAnsi="Georgia"/>
          <w:sz w:val="24"/>
          <w:szCs w:val="24"/>
        </w:rPr>
      </w:pPr>
    </w:p>
    <w:p w14:paraId="3214153C" w14:textId="477F6F6B" w:rsidR="000B6B15" w:rsidRPr="008112F0" w:rsidRDefault="000B6B15">
      <w:pPr>
        <w:rPr>
          <w:rFonts w:ascii="Georgia" w:hAnsi="Georgia"/>
          <w:sz w:val="24"/>
          <w:szCs w:val="24"/>
        </w:rPr>
      </w:pPr>
    </w:p>
    <w:p w14:paraId="7EE246CA" w14:textId="28EE3185" w:rsidR="000B6B15" w:rsidRPr="008112F0" w:rsidRDefault="00AF157B">
      <w:pPr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>Nopetro LNG, LLC</w:t>
      </w:r>
      <w:r w:rsidRPr="008112F0">
        <w:rPr>
          <w:rFonts w:ascii="Georgia" w:hAnsi="Georgia"/>
          <w:sz w:val="24"/>
          <w:szCs w:val="24"/>
        </w:rPr>
        <w:tab/>
      </w:r>
      <w:r w:rsidRPr="008112F0">
        <w:rPr>
          <w:rFonts w:ascii="Georgia" w:hAnsi="Georgia"/>
          <w:sz w:val="24"/>
          <w:szCs w:val="24"/>
        </w:rPr>
        <w:tab/>
      </w:r>
      <w:r w:rsidRPr="008112F0">
        <w:rPr>
          <w:rFonts w:ascii="Georgia" w:hAnsi="Georgia"/>
          <w:sz w:val="24"/>
          <w:szCs w:val="24"/>
        </w:rPr>
        <w:tab/>
        <w:t xml:space="preserve">               </w:t>
      </w:r>
      <w:r w:rsidRPr="008112F0">
        <w:rPr>
          <w:rFonts w:ascii="Georgia" w:hAnsi="Georgia"/>
          <w:sz w:val="24"/>
          <w:szCs w:val="24"/>
        </w:rPr>
        <w:tab/>
        <w:t xml:space="preserve">                    </w:t>
      </w:r>
      <w:r w:rsidR="008112F0">
        <w:rPr>
          <w:rFonts w:ascii="Georgia" w:hAnsi="Georgia"/>
          <w:sz w:val="24"/>
          <w:szCs w:val="24"/>
        </w:rPr>
        <w:tab/>
      </w:r>
      <w:r w:rsidRPr="008112F0">
        <w:rPr>
          <w:rFonts w:ascii="Georgia" w:hAnsi="Georgia"/>
          <w:sz w:val="24"/>
          <w:szCs w:val="24"/>
        </w:rPr>
        <w:t>Docket No. CP21-179</w:t>
      </w:r>
    </w:p>
    <w:p w14:paraId="50C55E32" w14:textId="3EBB7730" w:rsidR="00AF157B" w:rsidRPr="008112F0" w:rsidRDefault="00AF157B">
      <w:pPr>
        <w:rPr>
          <w:rFonts w:ascii="Georgia" w:hAnsi="Georgia"/>
          <w:sz w:val="24"/>
          <w:szCs w:val="24"/>
        </w:rPr>
      </w:pPr>
    </w:p>
    <w:p w14:paraId="5DE85B7C" w14:textId="77777777" w:rsidR="007060D7" w:rsidRDefault="007060D7" w:rsidP="008112F0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8D840CF" w14:textId="1A0571B8" w:rsidR="00AF157B" w:rsidRPr="008112F0" w:rsidRDefault="00AF157B" w:rsidP="008112F0">
      <w:pPr>
        <w:jc w:val="center"/>
        <w:rPr>
          <w:rFonts w:ascii="Georgia" w:hAnsi="Georgia"/>
          <w:b/>
          <w:bCs/>
          <w:sz w:val="24"/>
          <w:szCs w:val="24"/>
        </w:rPr>
      </w:pPr>
      <w:r w:rsidRPr="008112F0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52EABE6F" w14:textId="129899EB" w:rsidR="00AF157B" w:rsidRPr="008112F0" w:rsidRDefault="00AF157B">
      <w:pPr>
        <w:rPr>
          <w:rFonts w:ascii="Georgia" w:hAnsi="Georgia"/>
          <w:sz w:val="24"/>
          <w:szCs w:val="24"/>
        </w:rPr>
      </w:pPr>
    </w:p>
    <w:p w14:paraId="5224F438" w14:textId="34E32CA5" w:rsidR="00443AD2" w:rsidRDefault="00AF157B" w:rsidP="009221AD">
      <w:pPr>
        <w:spacing w:line="360" w:lineRule="auto"/>
        <w:rPr>
          <w:rFonts w:ascii="Georgia" w:hAnsi="Georgia"/>
          <w:sz w:val="24"/>
          <w:szCs w:val="24"/>
        </w:rPr>
      </w:pPr>
      <w:r w:rsidRPr="008112F0">
        <w:rPr>
          <w:rFonts w:ascii="Georgia" w:hAnsi="Georgia"/>
          <w:sz w:val="24"/>
          <w:szCs w:val="24"/>
        </w:rPr>
        <w:tab/>
      </w:r>
      <w:r w:rsidR="00EF47D0" w:rsidRPr="008112F0">
        <w:rPr>
          <w:rFonts w:ascii="Georgia" w:hAnsi="Georgia"/>
          <w:sz w:val="24"/>
          <w:szCs w:val="24"/>
        </w:rPr>
        <w:t>Nopetro LNG</w:t>
      </w:r>
      <w:r w:rsidR="008112F0">
        <w:rPr>
          <w:rFonts w:ascii="Georgia" w:hAnsi="Georgia"/>
          <w:sz w:val="24"/>
          <w:szCs w:val="24"/>
        </w:rPr>
        <w:t>’s</w:t>
      </w:r>
      <w:r w:rsidRPr="008112F0">
        <w:rPr>
          <w:rFonts w:ascii="Georgia" w:hAnsi="Georgia"/>
          <w:sz w:val="24"/>
          <w:szCs w:val="24"/>
        </w:rPr>
        <w:t xml:space="preserve"> April 20 petition for declaratory order </w:t>
      </w:r>
      <w:r w:rsidR="003405C1">
        <w:rPr>
          <w:rFonts w:ascii="Georgia" w:hAnsi="Georgia"/>
          <w:sz w:val="24"/>
          <w:szCs w:val="24"/>
        </w:rPr>
        <w:t xml:space="preserve">threatens </w:t>
      </w:r>
      <w:r w:rsidR="00815600">
        <w:rPr>
          <w:rFonts w:ascii="Georgia" w:hAnsi="Georgia"/>
          <w:sz w:val="24"/>
          <w:szCs w:val="24"/>
        </w:rPr>
        <w:t xml:space="preserve">to </w:t>
      </w:r>
      <w:r w:rsidR="00665669">
        <w:rPr>
          <w:rFonts w:ascii="Georgia" w:hAnsi="Georgia"/>
          <w:sz w:val="24"/>
          <w:szCs w:val="24"/>
        </w:rPr>
        <w:t xml:space="preserve">rupture </w:t>
      </w:r>
      <w:r w:rsidR="00815600">
        <w:rPr>
          <w:rFonts w:ascii="Georgia" w:hAnsi="Georgia"/>
          <w:sz w:val="24"/>
          <w:szCs w:val="24"/>
        </w:rPr>
        <w:t xml:space="preserve">a </w:t>
      </w:r>
      <w:r w:rsidR="00B8584B">
        <w:rPr>
          <w:rFonts w:ascii="Georgia" w:hAnsi="Georgia"/>
          <w:sz w:val="24"/>
          <w:szCs w:val="24"/>
        </w:rPr>
        <w:t xml:space="preserve"> loophole</w:t>
      </w:r>
      <w:r w:rsidR="00267016">
        <w:rPr>
          <w:rFonts w:ascii="Georgia" w:hAnsi="Georgia"/>
          <w:sz w:val="24"/>
          <w:szCs w:val="24"/>
        </w:rPr>
        <w:t xml:space="preserve"> </w:t>
      </w:r>
      <w:r w:rsidR="00815600">
        <w:rPr>
          <w:rFonts w:ascii="Georgia" w:hAnsi="Georgia"/>
          <w:sz w:val="24"/>
          <w:szCs w:val="24"/>
        </w:rPr>
        <w:t xml:space="preserve">in the Commission’s regulations of LNG exports </w:t>
      </w:r>
      <w:r w:rsidR="00267016">
        <w:rPr>
          <w:rFonts w:ascii="Georgia" w:hAnsi="Georgia"/>
          <w:sz w:val="24"/>
          <w:szCs w:val="24"/>
        </w:rPr>
        <w:t xml:space="preserve">big enough to </w:t>
      </w:r>
      <w:r w:rsidR="00D2408C">
        <w:rPr>
          <w:rFonts w:ascii="Georgia" w:hAnsi="Georgia"/>
          <w:sz w:val="24"/>
          <w:szCs w:val="24"/>
        </w:rPr>
        <w:t>pilot</w:t>
      </w:r>
      <w:r w:rsidR="00815600">
        <w:rPr>
          <w:rFonts w:ascii="Georgia" w:hAnsi="Georgia"/>
          <w:sz w:val="24"/>
          <w:szCs w:val="24"/>
        </w:rPr>
        <w:t xml:space="preserve"> a</w:t>
      </w:r>
      <w:r w:rsidR="00BC7BEB">
        <w:rPr>
          <w:rFonts w:ascii="Georgia" w:hAnsi="Georgia"/>
          <w:sz w:val="24"/>
          <w:szCs w:val="24"/>
        </w:rPr>
        <w:t xml:space="preserve"> fleet of</w:t>
      </w:r>
      <w:r w:rsidR="001629F7">
        <w:rPr>
          <w:rFonts w:ascii="Georgia" w:hAnsi="Georgia"/>
          <w:sz w:val="24"/>
          <w:szCs w:val="24"/>
        </w:rPr>
        <w:t xml:space="preserve"> Q-Max</w:t>
      </w:r>
      <w:r w:rsidR="00815600">
        <w:rPr>
          <w:rFonts w:ascii="Georgia" w:hAnsi="Georgia"/>
          <w:sz w:val="24"/>
          <w:szCs w:val="24"/>
        </w:rPr>
        <w:t xml:space="preserve"> tanker</w:t>
      </w:r>
      <w:r w:rsidR="00BC7BEB">
        <w:rPr>
          <w:rFonts w:ascii="Georgia" w:hAnsi="Georgia"/>
          <w:sz w:val="24"/>
          <w:szCs w:val="24"/>
        </w:rPr>
        <w:t>s</w:t>
      </w:r>
      <w:r w:rsidRPr="008112F0">
        <w:rPr>
          <w:rFonts w:ascii="Georgia" w:hAnsi="Georgia"/>
          <w:sz w:val="24"/>
          <w:szCs w:val="24"/>
        </w:rPr>
        <w:t xml:space="preserve">. </w:t>
      </w:r>
      <w:r w:rsidR="00C1025E">
        <w:rPr>
          <w:rFonts w:ascii="Georgia" w:hAnsi="Georgia"/>
          <w:sz w:val="24"/>
          <w:szCs w:val="24"/>
        </w:rPr>
        <w:t>Nopetro</w:t>
      </w:r>
      <w:r w:rsidR="00143768">
        <w:rPr>
          <w:rFonts w:ascii="Georgia" w:hAnsi="Georgia"/>
          <w:sz w:val="24"/>
          <w:szCs w:val="24"/>
        </w:rPr>
        <w:t xml:space="preserve">’s </w:t>
      </w:r>
      <w:r w:rsidR="00DF541C">
        <w:rPr>
          <w:rFonts w:ascii="Georgia" w:hAnsi="Georgia"/>
          <w:sz w:val="24"/>
          <w:szCs w:val="24"/>
        </w:rPr>
        <w:t xml:space="preserve">proposed </w:t>
      </w:r>
      <w:r w:rsidR="00143768">
        <w:rPr>
          <w:rFonts w:ascii="Georgia" w:hAnsi="Georgia"/>
          <w:sz w:val="24"/>
          <w:szCs w:val="24"/>
        </w:rPr>
        <w:t xml:space="preserve">LNG </w:t>
      </w:r>
      <w:r w:rsidR="00955DFD">
        <w:rPr>
          <w:rFonts w:ascii="Georgia" w:hAnsi="Georgia"/>
          <w:sz w:val="24"/>
          <w:szCs w:val="24"/>
        </w:rPr>
        <w:t xml:space="preserve">export </w:t>
      </w:r>
      <w:r w:rsidR="00143768">
        <w:rPr>
          <w:rFonts w:ascii="Georgia" w:hAnsi="Georgia"/>
          <w:sz w:val="24"/>
          <w:szCs w:val="24"/>
        </w:rPr>
        <w:t xml:space="preserve">operation </w:t>
      </w:r>
      <w:r w:rsidR="0060526D">
        <w:rPr>
          <w:rFonts w:ascii="Georgia" w:hAnsi="Georgia"/>
          <w:sz w:val="24"/>
          <w:szCs w:val="24"/>
        </w:rPr>
        <w:t>appears</w:t>
      </w:r>
      <w:r w:rsidR="001970C2">
        <w:rPr>
          <w:rFonts w:ascii="Georgia" w:hAnsi="Georgia"/>
          <w:sz w:val="24"/>
          <w:szCs w:val="24"/>
        </w:rPr>
        <w:t xml:space="preserve"> </w:t>
      </w:r>
      <w:r w:rsidR="0060526D">
        <w:rPr>
          <w:rFonts w:ascii="Georgia" w:hAnsi="Georgia"/>
          <w:sz w:val="24"/>
          <w:szCs w:val="24"/>
        </w:rPr>
        <w:t>explicitly</w:t>
      </w:r>
      <w:r w:rsidR="00143768">
        <w:rPr>
          <w:rFonts w:ascii="Georgia" w:hAnsi="Georgia"/>
          <w:sz w:val="24"/>
          <w:szCs w:val="24"/>
        </w:rPr>
        <w:t xml:space="preserve"> designed to circumvent the Commission’s jurisdiction</w:t>
      </w:r>
      <w:r w:rsidR="00955DFD">
        <w:rPr>
          <w:rFonts w:ascii="Georgia" w:hAnsi="Georgia"/>
          <w:sz w:val="24"/>
          <w:szCs w:val="24"/>
        </w:rPr>
        <w:t xml:space="preserve"> by</w:t>
      </w:r>
      <w:r w:rsidR="00C1025E">
        <w:rPr>
          <w:rFonts w:ascii="Georgia" w:hAnsi="Georgia"/>
          <w:sz w:val="24"/>
          <w:szCs w:val="24"/>
        </w:rPr>
        <w:t xml:space="preserve"> placing its liquification facility</w:t>
      </w:r>
      <w:r w:rsidR="00775F84">
        <w:rPr>
          <w:rFonts w:ascii="Georgia" w:hAnsi="Georgia"/>
          <w:sz w:val="24"/>
          <w:szCs w:val="24"/>
        </w:rPr>
        <w:t xml:space="preserve"> a mere</w:t>
      </w:r>
      <w:r w:rsidR="00C1025E">
        <w:rPr>
          <w:rFonts w:ascii="Georgia" w:hAnsi="Georgia"/>
          <w:sz w:val="24"/>
          <w:szCs w:val="24"/>
        </w:rPr>
        <w:t xml:space="preserve"> 1,329 feet from </w:t>
      </w:r>
      <w:r w:rsidR="004D1F2D">
        <w:rPr>
          <w:rFonts w:ascii="Georgia" w:hAnsi="Georgia"/>
          <w:sz w:val="24"/>
          <w:szCs w:val="24"/>
        </w:rPr>
        <w:t>the</w:t>
      </w:r>
      <w:r w:rsidR="00C1025E">
        <w:rPr>
          <w:rFonts w:ascii="Georgia" w:hAnsi="Georgia"/>
          <w:sz w:val="24"/>
          <w:szCs w:val="24"/>
        </w:rPr>
        <w:t xml:space="preserve"> dock</w:t>
      </w:r>
      <w:r w:rsidR="001927F1">
        <w:rPr>
          <w:rFonts w:ascii="Georgia" w:hAnsi="Georgia"/>
          <w:sz w:val="24"/>
          <w:szCs w:val="24"/>
        </w:rPr>
        <w:t xml:space="preserve"> </w:t>
      </w:r>
      <w:r w:rsidR="00EB198E">
        <w:rPr>
          <w:rFonts w:ascii="Georgia" w:hAnsi="Georgia"/>
          <w:sz w:val="24"/>
          <w:szCs w:val="24"/>
        </w:rPr>
        <w:t xml:space="preserve">where Nopetro will export the </w:t>
      </w:r>
      <w:r w:rsidR="00CF0F4F">
        <w:rPr>
          <w:rFonts w:ascii="Georgia" w:hAnsi="Georgia"/>
          <w:sz w:val="24"/>
          <w:szCs w:val="24"/>
        </w:rPr>
        <w:t>LNG</w:t>
      </w:r>
      <w:r w:rsidR="00EB198E">
        <w:rPr>
          <w:rFonts w:ascii="Georgia" w:hAnsi="Georgia"/>
          <w:sz w:val="24"/>
          <w:szCs w:val="24"/>
        </w:rPr>
        <w:t>.</w:t>
      </w:r>
      <w:r w:rsidR="002A68D9">
        <w:rPr>
          <w:rFonts w:ascii="Georgia" w:hAnsi="Georgia"/>
          <w:sz w:val="24"/>
          <w:szCs w:val="24"/>
        </w:rPr>
        <w:t xml:space="preserve"> </w:t>
      </w:r>
      <w:r w:rsidR="00A87FE7">
        <w:rPr>
          <w:rFonts w:ascii="Georgia" w:hAnsi="Georgia"/>
          <w:sz w:val="24"/>
          <w:szCs w:val="24"/>
        </w:rPr>
        <w:t>Having already</w:t>
      </w:r>
      <w:r w:rsidR="00363277">
        <w:rPr>
          <w:rFonts w:ascii="Georgia" w:hAnsi="Georgia"/>
          <w:sz w:val="24"/>
          <w:szCs w:val="24"/>
        </w:rPr>
        <w:t xml:space="preserve"> secured permission from the U.S. Department of Energy </w:t>
      </w:r>
      <w:r w:rsidR="00363277" w:rsidRPr="008112F0">
        <w:rPr>
          <w:rFonts w:ascii="Georgia" w:hAnsi="Georgia"/>
          <w:sz w:val="24"/>
          <w:szCs w:val="24"/>
        </w:rPr>
        <w:t xml:space="preserve">to export </w:t>
      </w:r>
      <w:r w:rsidR="00851212">
        <w:rPr>
          <w:rFonts w:ascii="Georgia" w:hAnsi="Georgia"/>
          <w:sz w:val="24"/>
          <w:szCs w:val="24"/>
        </w:rPr>
        <w:t xml:space="preserve">as much as </w:t>
      </w:r>
      <w:r w:rsidR="00363277" w:rsidRPr="008112F0">
        <w:rPr>
          <w:rFonts w:ascii="Georgia" w:hAnsi="Georgia"/>
          <w:sz w:val="24"/>
          <w:szCs w:val="24"/>
        </w:rPr>
        <w:t>51.75 billion cubic feet of gas per year</w:t>
      </w:r>
      <w:r w:rsidR="00BB4A59">
        <w:rPr>
          <w:rFonts w:ascii="Georgia" w:hAnsi="Georgia"/>
          <w:sz w:val="24"/>
          <w:szCs w:val="24"/>
        </w:rPr>
        <w:t>,</w:t>
      </w:r>
      <w:r w:rsidR="00363277">
        <w:rPr>
          <w:rStyle w:val="FootnoteReference"/>
          <w:rFonts w:ascii="Georgia" w:hAnsi="Georgia"/>
          <w:sz w:val="24"/>
          <w:szCs w:val="24"/>
        </w:rPr>
        <w:footnoteReference w:id="1"/>
      </w:r>
      <w:r w:rsidR="00AF2BC8">
        <w:rPr>
          <w:rFonts w:ascii="Georgia" w:hAnsi="Georgia"/>
          <w:sz w:val="24"/>
          <w:szCs w:val="24"/>
        </w:rPr>
        <w:t xml:space="preserve"> </w:t>
      </w:r>
      <w:r w:rsidR="00BB4A59">
        <w:rPr>
          <w:rFonts w:ascii="Georgia" w:hAnsi="Georgia"/>
          <w:sz w:val="24"/>
          <w:szCs w:val="24"/>
        </w:rPr>
        <w:t>Nopetro makes the dubious claim that moving</w:t>
      </w:r>
      <w:r w:rsidR="00AF2BC8">
        <w:rPr>
          <w:rFonts w:ascii="Georgia" w:hAnsi="Georgia"/>
          <w:sz w:val="24"/>
          <w:szCs w:val="24"/>
        </w:rPr>
        <w:t xml:space="preserve"> shipping containers via truck</w:t>
      </w:r>
      <w:r w:rsidR="00813302">
        <w:rPr>
          <w:rFonts w:ascii="Georgia" w:hAnsi="Georgia"/>
          <w:sz w:val="24"/>
          <w:szCs w:val="24"/>
        </w:rPr>
        <w:t xml:space="preserve"> 1,329 feet from Nopetro’s liquification terminal to its export dock </w:t>
      </w:r>
      <w:r w:rsidR="00B01A11">
        <w:rPr>
          <w:rFonts w:ascii="Georgia" w:hAnsi="Georgia"/>
          <w:sz w:val="24"/>
          <w:szCs w:val="24"/>
        </w:rPr>
        <w:t xml:space="preserve">should render it exempt from the Commission’s regulatory oversight. </w:t>
      </w:r>
      <w:r w:rsidR="00486EB1">
        <w:rPr>
          <w:rFonts w:ascii="Georgia" w:hAnsi="Georgia"/>
          <w:sz w:val="24"/>
          <w:szCs w:val="24"/>
        </w:rPr>
        <w:t>The Commission must dismiss the petition and</w:t>
      </w:r>
      <w:r w:rsidR="00460ECE">
        <w:rPr>
          <w:rFonts w:ascii="Georgia" w:hAnsi="Georgia"/>
          <w:sz w:val="24"/>
          <w:szCs w:val="24"/>
        </w:rPr>
        <w:t xml:space="preserve"> </w:t>
      </w:r>
      <w:r w:rsidR="00473679">
        <w:rPr>
          <w:rFonts w:ascii="Georgia" w:hAnsi="Georgia"/>
          <w:sz w:val="24"/>
          <w:szCs w:val="24"/>
        </w:rPr>
        <w:t xml:space="preserve">treat </w:t>
      </w:r>
      <w:r w:rsidR="00E2357E">
        <w:rPr>
          <w:rFonts w:ascii="Georgia" w:hAnsi="Georgia"/>
          <w:sz w:val="24"/>
          <w:szCs w:val="24"/>
        </w:rPr>
        <w:t>Nopetro’s p</w:t>
      </w:r>
      <w:r w:rsidR="00443AD2">
        <w:rPr>
          <w:rFonts w:ascii="Georgia" w:hAnsi="Georgia"/>
          <w:sz w:val="24"/>
          <w:szCs w:val="24"/>
        </w:rPr>
        <w:t xml:space="preserve">roject </w:t>
      </w:r>
      <w:r w:rsidR="00473679">
        <w:rPr>
          <w:rFonts w:ascii="Georgia" w:hAnsi="Georgia"/>
          <w:sz w:val="24"/>
          <w:szCs w:val="24"/>
        </w:rPr>
        <w:t xml:space="preserve">as an LNG </w:t>
      </w:r>
      <w:r w:rsidR="003A701A">
        <w:rPr>
          <w:rFonts w:ascii="Georgia" w:hAnsi="Georgia"/>
          <w:sz w:val="24"/>
          <w:szCs w:val="24"/>
        </w:rPr>
        <w:t>export terminal</w:t>
      </w:r>
      <w:r w:rsidR="00473679">
        <w:rPr>
          <w:rFonts w:ascii="Georgia" w:hAnsi="Georgia"/>
          <w:sz w:val="24"/>
          <w:szCs w:val="24"/>
        </w:rPr>
        <w:t xml:space="preserve"> subject to FERC regulation.</w:t>
      </w:r>
      <w:r w:rsidR="00FA743E">
        <w:rPr>
          <w:rFonts w:ascii="Georgia" w:hAnsi="Georgia"/>
          <w:sz w:val="24"/>
          <w:szCs w:val="24"/>
        </w:rPr>
        <w:t xml:space="preserve"> </w:t>
      </w:r>
    </w:p>
    <w:p w14:paraId="1673A4E8" w14:textId="1FC52C48" w:rsidR="00363277" w:rsidRDefault="00FA743E" w:rsidP="00443AD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752FCF">
        <w:rPr>
          <w:rFonts w:ascii="Georgia" w:hAnsi="Georgia"/>
          <w:sz w:val="24"/>
          <w:szCs w:val="24"/>
        </w:rPr>
        <w:t>provide the Commission with</w:t>
      </w:r>
      <w:r w:rsidR="00EE4DCA">
        <w:rPr>
          <w:rFonts w:ascii="Georgia" w:hAnsi="Georgia"/>
          <w:sz w:val="24"/>
          <w:szCs w:val="24"/>
        </w:rPr>
        <w:t xml:space="preserve"> a clear idea</w:t>
      </w:r>
      <w:r>
        <w:rPr>
          <w:rFonts w:ascii="Georgia" w:hAnsi="Georgia"/>
          <w:sz w:val="24"/>
          <w:szCs w:val="24"/>
        </w:rPr>
        <w:t xml:space="preserve"> of just how short</w:t>
      </w:r>
      <w:r w:rsidR="00EF28E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1,329 feet</w:t>
      </w:r>
      <w:r w:rsidR="00F62819">
        <w:rPr>
          <w:rFonts w:ascii="Georgia" w:hAnsi="Georgia"/>
          <w:sz w:val="24"/>
          <w:szCs w:val="24"/>
        </w:rPr>
        <w:t xml:space="preserve"> is</w:t>
      </w:r>
      <w:r w:rsidR="00EF28EA">
        <w:rPr>
          <w:rFonts w:ascii="Georgia" w:hAnsi="Georgia"/>
          <w:sz w:val="24"/>
          <w:szCs w:val="24"/>
        </w:rPr>
        <w:t xml:space="preserve">, it is almost exactly the distance from FERC’s front door at </w:t>
      </w:r>
      <w:r w:rsidR="00400E1B" w:rsidRPr="00400E1B">
        <w:rPr>
          <w:rFonts w:ascii="Georgia" w:hAnsi="Georgia"/>
          <w:sz w:val="24"/>
          <w:szCs w:val="24"/>
        </w:rPr>
        <w:t>888 First St</w:t>
      </w:r>
      <w:r w:rsidR="00235AC6">
        <w:rPr>
          <w:rFonts w:ascii="Georgia" w:hAnsi="Georgia"/>
          <w:sz w:val="24"/>
          <w:szCs w:val="24"/>
        </w:rPr>
        <w:t>reet</w:t>
      </w:r>
      <w:r w:rsidR="00400E1B" w:rsidRPr="00400E1B">
        <w:rPr>
          <w:rFonts w:ascii="Georgia" w:hAnsi="Georgia"/>
          <w:sz w:val="24"/>
          <w:szCs w:val="24"/>
        </w:rPr>
        <w:t xml:space="preserve"> NE</w:t>
      </w:r>
      <w:r w:rsidR="00400E1B">
        <w:rPr>
          <w:rFonts w:ascii="Georgia" w:hAnsi="Georgia"/>
          <w:sz w:val="24"/>
          <w:szCs w:val="24"/>
        </w:rPr>
        <w:t xml:space="preserve"> to </w:t>
      </w:r>
      <w:r w:rsidR="00A53B8A">
        <w:rPr>
          <w:rFonts w:ascii="Georgia" w:hAnsi="Georgia"/>
          <w:sz w:val="24"/>
          <w:szCs w:val="24"/>
        </w:rPr>
        <w:t xml:space="preserve">Union Station’s </w:t>
      </w:r>
      <w:r w:rsidR="001B4EDB">
        <w:rPr>
          <w:rFonts w:ascii="Georgia" w:hAnsi="Georgia"/>
          <w:sz w:val="24"/>
          <w:szCs w:val="24"/>
        </w:rPr>
        <w:t xml:space="preserve">Metro </w:t>
      </w:r>
      <w:r w:rsidR="00F2170B">
        <w:rPr>
          <w:rFonts w:ascii="Georgia" w:hAnsi="Georgia"/>
          <w:sz w:val="24"/>
          <w:szCs w:val="24"/>
        </w:rPr>
        <w:t xml:space="preserve">side entrance on </w:t>
      </w:r>
      <w:r w:rsidR="00A7323F">
        <w:rPr>
          <w:rFonts w:ascii="Georgia" w:hAnsi="Georgia"/>
          <w:sz w:val="24"/>
          <w:szCs w:val="24"/>
        </w:rPr>
        <w:t>First St</w:t>
      </w:r>
      <w:r w:rsidR="00235AC6">
        <w:rPr>
          <w:rFonts w:ascii="Georgia" w:hAnsi="Georgia"/>
          <w:sz w:val="24"/>
          <w:szCs w:val="24"/>
        </w:rPr>
        <w:t>reet</w:t>
      </w:r>
      <w:r w:rsidR="00A7323F">
        <w:rPr>
          <w:rFonts w:ascii="Georgia" w:hAnsi="Georgia"/>
          <w:sz w:val="24"/>
          <w:szCs w:val="24"/>
        </w:rPr>
        <w:t xml:space="preserve"> NE</w:t>
      </w:r>
      <w:r w:rsidR="00EE4DCA">
        <w:rPr>
          <w:rFonts w:ascii="Georgia" w:hAnsi="Georgia"/>
          <w:sz w:val="24"/>
          <w:szCs w:val="24"/>
        </w:rPr>
        <w:t>.</w:t>
      </w:r>
      <w:r w:rsidR="00400E1B">
        <w:rPr>
          <w:rFonts w:ascii="Georgia" w:hAnsi="Georgia"/>
          <w:sz w:val="24"/>
          <w:szCs w:val="24"/>
        </w:rPr>
        <w:t xml:space="preserve"> </w:t>
      </w:r>
    </w:p>
    <w:p w14:paraId="21DDF7C3" w14:textId="67EF4E58" w:rsidR="004F27D0" w:rsidRDefault="00544A24" w:rsidP="009221AD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Should the Nopetro petition succeed, th</w:t>
      </w:r>
      <w:r w:rsidR="00985317">
        <w:rPr>
          <w:rFonts w:ascii="Georgia" w:hAnsi="Georgia"/>
          <w:sz w:val="24"/>
          <w:szCs w:val="24"/>
        </w:rPr>
        <w:t xml:space="preserve">ere </w:t>
      </w:r>
      <w:r>
        <w:rPr>
          <w:rFonts w:ascii="Georgia" w:hAnsi="Georgia"/>
          <w:sz w:val="24"/>
          <w:szCs w:val="24"/>
        </w:rPr>
        <w:t>will be nothing stopping liquification developer</w:t>
      </w:r>
      <w:r w:rsidR="00473679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from placing</w:t>
      </w:r>
      <w:r w:rsidR="004F2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facilit</w:t>
      </w:r>
      <w:r w:rsidR="004F22CB">
        <w:rPr>
          <w:rFonts w:ascii="Georgia" w:hAnsi="Georgia"/>
          <w:sz w:val="24"/>
          <w:szCs w:val="24"/>
        </w:rPr>
        <w:t>ies</w:t>
      </w:r>
      <w:r>
        <w:rPr>
          <w:rFonts w:ascii="Georgia" w:hAnsi="Georgia"/>
          <w:sz w:val="24"/>
          <w:szCs w:val="24"/>
        </w:rPr>
        <w:t xml:space="preserve"> 500 feet or </w:t>
      </w:r>
      <w:r w:rsidR="004F22CB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 feet from export dock</w:t>
      </w:r>
      <w:r w:rsidR="004F22CB">
        <w:rPr>
          <w:rFonts w:ascii="Georgia" w:hAnsi="Georgia"/>
          <w:sz w:val="24"/>
          <w:szCs w:val="24"/>
        </w:rPr>
        <w:t xml:space="preserve">s to </w:t>
      </w:r>
      <w:r w:rsidR="00473679">
        <w:rPr>
          <w:rFonts w:ascii="Georgia" w:hAnsi="Georgia"/>
          <w:sz w:val="24"/>
          <w:szCs w:val="24"/>
        </w:rPr>
        <w:t>exploit</w:t>
      </w:r>
      <w:r w:rsidR="004F22CB">
        <w:rPr>
          <w:rFonts w:ascii="Georgia" w:hAnsi="Georgia"/>
          <w:sz w:val="24"/>
          <w:szCs w:val="24"/>
        </w:rPr>
        <w:t xml:space="preserve"> the Nopetro Loophole</w:t>
      </w:r>
      <w:r>
        <w:rPr>
          <w:rFonts w:ascii="Georgia" w:hAnsi="Georgia"/>
          <w:sz w:val="24"/>
          <w:szCs w:val="24"/>
        </w:rPr>
        <w:t>.</w:t>
      </w:r>
      <w:r w:rsidR="001D6A54">
        <w:rPr>
          <w:rFonts w:ascii="Georgia" w:hAnsi="Georgia"/>
          <w:sz w:val="24"/>
          <w:szCs w:val="24"/>
        </w:rPr>
        <w:t xml:space="preserve"> </w:t>
      </w:r>
      <w:r w:rsidR="00465240">
        <w:rPr>
          <w:rFonts w:ascii="Georgia" w:hAnsi="Georgia"/>
          <w:sz w:val="24"/>
          <w:szCs w:val="24"/>
        </w:rPr>
        <w:t xml:space="preserve">To preserve the Commission’s </w:t>
      </w:r>
      <w:r w:rsidR="001D6C18">
        <w:rPr>
          <w:rFonts w:ascii="Georgia" w:hAnsi="Georgia"/>
          <w:sz w:val="24"/>
          <w:szCs w:val="24"/>
        </w:rPr>
        <w:t>Natural Gas Act authority over LNG export terminals, the petition must be denied.</w:t>
      </w:r>
    </w:p>
    <w:p w14:paraId="7602B1CC" w14:textId="7803D3D6" w:rsidR="004F27D0" w:rsidRDefault="00B72FCD" w:rsidP="00544A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45E2BB0B" w14:textId="77777777" w:rsidR="003C734C" w:rsidRDefault="003C734C" w:rsidP="00544A24">
      <w:pPr>
        <w:rPr>
          <w:rFonts w:ascii="Georgia" w:hAnsi="Georgia"/>
          <w:sz w:val="24"/>
          <w:szCs w:val="24"/>
        </w:rPr>
      </w:pPr>
    </w:p>
    <w:p w14:paraId="6C92430A" w14:textId="2E16F5FA" w:rsidR="00C1025E" w:rsidRPr="009221AD" w:rsidRDefault="00F50431" w:rsidP="009221AD">
      <w:pPr>
        <w:jc w:val="center"/>
        <w:rPr>
          <w:rFonts w:ascii="Georgia" w:hAnsi="Georgia"/>
          <w:b/>
          <w:bCs/>
          <w:sz w:val="24"/>
          <w:szCs w:val="24"/>
        </w:rPr>
      </w:pPr>
      <w:r w:rsidRPr="009221AD">
        <w:rPr>
          <w:rFonts w:ascii="Georgia" w:hAnsi="Georgia"/>
          <w:b/>
          <w:bCs/>
          <w:sz w:val="24"/>
          <w:szCs w:val="24"/>
        </w:rPr>
        <w:t>About Public Citizen</w:t>
      </w:r>
    </w:p>
    <w:p w14:paraId="41E7381C" w14:textId="77777777" w:rsidR="00F50431" w:rsidRDefault="00F50431">
      <w:pPr>
        <w:rPr>
          <w:rFonts w:ascii="Georgia" w:hAnsi="Georgia"/>
          <w:sz w:val="24"/>
          <w:szCs w:val="24"/>
        </w:rPr>
      </w:pPr>
    </w:p>
    <w:p w14:paraId="09E9AF8C" w14:textId="77777777" w:rsidR="006C7A97" w:rsidRPr="006C7A97" w:rsidRDefault="006C7A97" w:rsidP="001D6C1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Established in 1971, Public Citizen is a national, not-for-profit, non-partisan,</w:t>
      </w:r>
    </w:p>
    <w:p w14:paraId="65004681" w14:textId="77777777" w:rsidR="006C7A97" w:rsidRPr="006C7A97" w:rsidRDefault="006C7A97" w:rsidP="001D6C18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research and advocacy organization representing the interests of household consumers.</w:t>
      </w:r>
    </w:p>
    <w:p w14:paraId="569DA8FD" w14:textId="77777777" w:rsidR="006C7A97" w:rsidRPr="006C7A97" w:rsidRDefault="006C7A97" w:rsidP="001D6C18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lastRenderedPageBreak/>
        <w:t>Public Citizen is active before FERC promoting just and reasonable rates, and</w:t>
      </w:r>
    </w:p>
    <w:p w14:paraId="7968E1DA" w14:textId="77777777" w:rsidR="006C7A97" w:rsidRPr="006C7A97" w:rsidRDefault="006C7A97" w:rsidP="001D6C18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supporting efforts for utilities to be accountable to the public interest. Our financial</w:t>
      </w:r>
    </w:p>
    <w:p w14:paraId="4C371152" w14:textId="1BDAC94F" w:rsidR="00C1025E" w:rsidRDefault="006C7A97" w:rsidP="001D6C18">
      <w:pPr>
        <w:spacing w:line="360" w:lineRule="auto"/>
        <w:rPr>
          <w:rFonts w:ascii="Georgia" w:hAnsi="Georgia"/>
          <w:sz w:val="24"/>
          <w:szCs w:val="24"/>
        </w:rPr>
      </w:pPr>
      <w:r w:rsidRPr="006C7A97">
        <w:rPr>
          <w:rFonts w:ascii="Georgia" w:hAnsi="Georgia"/>
          <w:sz w:val="24"/>
          <w:szCs w:val="24"/>
        </w:rPr>
        <w:t>details are located on our web site.</w:t>
      </w:r>
      <w:r w:rsidR="00F66498"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33698D14" w14:textId="262E6A0B" w:rsidR="006F7357" w:rsidRDefault="006F7357" w:rsidP="006C7A97">
      <w:pPr>
        <w:rPr>
          <w:rFonts w:ascii="Georgia" w:hAnsi="Georgia"/>
          <w:sz w:val="24"/>
          <w:szCs w:val="24"/>
        </w:rPr>
      </w:pPr>
    </w:p>
    <w:p w14:paraId="5DA6E1B0" w14:textId="77777777" w:rsidR="003C734C" w:rsidRDefault="003C734C" w:rsidP="006C7A97">
      <w:pPr>
        <w:rPr>
          <w:rFonts w:ascii="Georgia" w:hAnsi="Georgia"/>
          <w:sz w:val="24"/>
          <w:szCs w:val="24"/>
        </w:rPr>
      </w:pPr>
    </w:p>
    <w:p w14:paraId="009D04FD" w14:textId="568FC7D0" w:rsidR="006F7357" w:rsidRPr="009221AD" w:rsidRDefault="006F7357" w:rsidP="009221AD">
      <w:pPr>
        <w:jc w:val="center"/>
        <w:rPr>
          <w:rFonts w:ascii="Georgia" w:hAnsi="Georgia"/>
          <w:b/>
          <w:bCs/>
          <w:sz w:val="24"/>
          <w:szCs w:val="24"/>
        </w:rPr>
      </w:pPr>
      <w:r w:rsidRPr="009221AD">
        <w:rPr>
          <w:rFonts w:ascii="Georgia" w:hAnsi="Georgia"/>
          <w:b/>
          <w:bCs/>
          <w:sz w:val="24"/>
          <w:szCs w:val="24"/>
        </w:rPr>
        <w:t>Public Citizen Protest</w:t>
      </w:r>
    </w:p>
    <w:p w14:paraId="64F15E69" w14:textId="77777777" w:rsidR="006F7357" w:rsidRDefault="006F7357" w:rsidP="006C7A97">
      <w:pPr>
        <w:rPr>
          <w:rFonts w:ascii="Georgia" w:hAnsi="Georgia"/>
          <w:sz w:val="24"/>
          <w:szCs w:val="24"/>
        </w:rPr>
      </w:pPr>
    </w:p>
    <w:p w14:paraId="16621393" w14:textId="77777777" w:rsidR="00A4429D" w:rsidRPr="00A4429D" w:rsidRDefault="00A4429D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 w:rsidRPr="00A4429D">
        <w:rPr>
          <w:rFonts w:ascii="Georgia" w:hAnsi="Georgia"/>
          <w:sz w:val="24"/>
          <w:szCs w:val="24"/>
        </w:rPr>
        <w:t>Section 3 of the Natural Gas Act states that “no person shall export any natural</w:t>
      </w:r>
    </w:p>
    <w:p w14:paraId="6B74B687" w14:textId="0157E271" w:rsidR="00CE62C6" w:rsidRDefault="00A4429D" w:rsidP="00A31AB2">
      <w:pPr>
        <w:spacing w:line="360" w:lineRule="auto"/>
        <w:rPr>
          <w:rFonts w:ascii="Georgia" w:hAnsi="Georgia"/>
          <w:sz w:val="24"/>
          <w:szCs w:val="24"/>
        </w:rPr>
      </w:pPr>
      <w:r w:rsidRPr="00A4429D">
        <w:rPr>
          <w:rFonts w:ascii="Georgia" w:hAnsi="Georgia"/>
          <w:sz w:val="24"/>
          <w:szCs w:val="24"/>
        </w:rPr>
        <w:t xml:space="preserve">gas from the United States to a foreign country </w:t>
      </w:r>
      <w:r w:rsidR="00DF7740">
        <w:rPr>
          <w:rFonts w:ascii="Georgia" w:hAnsi="Georgia"/>
          <w:sz w:val="24"/>
          <w:szCs w:val="24"/>
        </w:rPr>
        <w:t>. . .</w:t>
      </w:r>
      <w:r w:rsidRPr="00A4429D">
        <w:rPr>
          <w:rFonts w:ascii="Georgia" w:hAnsi="Georgia"/>
          <w:sz w:val="24"/>
          <w:szCs w:val="24"/>
        </w:rPr>
        <w:t xml:space="preserve"> without first having secured an order of the Commission authorizing it to do</w:t>
      </w:r>
      <w:r w:rsidR="00B37C27">
        <w:rPr>
          <w:rFonts w:ascii="Georgia" w:hAnsi="Georgia"/>
          <w:sz w:val="24"/>
          <w:szCs w:val="24"/>
        </w:rPr>
        <w:t xml:space="preserve"> </w:t>
      </w:r>
      <w:r w:rsidRPr="00A4429D">
        <w:rPr>
          <w:rFonts w:ascii="Georgia" w:hAnsi="Georgia"/>
          <w:sz w:val="24"/>
          <w:szCs w:val="24"/>
        </w:rPr>
        <w:t>so”</w:t>
      </w:r>
      <w:r w:rsidR="00435D40">
        <w:rPr>
          <w:rFonts w:ascii="Georgia" w:hAnsi="Georgia"/>
          <w:sz w:val="24"/>
          <w:szCs w:val="24"/>
        </w:rPr>
        <w:t>.</w:t>
      </w:r>
      <w:r w:rsidR="00435D40">
        <w:rPr>
          <w:rStyle w:val="FootnoteReference"/>
          <w:rFonts w:ascii="Georgia" w:hAnsi="Georgia"/>
          <w:sz w:val="24"/>
          <w:szCs w:val="24"/>
        </w:rPr>
        <w:footnoteReference w:id="3"/>
      </w:r>
      <w:r w:rsidR="00435D40">
        <w:rPr>
          <w:rFonts w:ascii="Georgia" w:hAnsi="Georgia"/>
          <w:sz w:val="24"/>
          <w:szCs w:val="24"/>
        </w:rPr>
        <w:t xml:space="preserve"> </w:t>
      </w:r>
      <w:r w:rsidR="00CE62C6" w:rsidRPr="00CE62C6">
        <w:rPr>
          <w:rFonts w:ascii="Georgia" w:hAnsi="Georgia"/>
          <w:sz w:val="24"/>
          <w:szCs w:val="24"/>
        </w:rPr>
        <w:t xml:space="preserve">Federal law defines </w:t>
      </w:r>
      <w:r w:rsidR="00CE62C6" w:rsidRPr="006F7357">
        <w:rPr>
          <w:rFonts w:ascii="Georgia" w:hAnsi="Georgia"/>
          <w:i/>
          <w:iCs/>
          <w:sz w:val="24"/>
          <w:szCs w:val="24"/>
        </w:rPr>
        <w:t>LNG terminal</w:t>
      </w:r>
      <w:r w:rsidR="00CE62C6" w:rsidRPr="00CE62C6">
        <w:rPr>
          <w:rFonts w:ascii="Georgia" w:hAnsi="Georgia"/>
          <w:sz w:val="24"/>
          <w:szCs w:val="24"/>
        </w:rPr>
        <w:t xml:space="preserve"> as </w:t>
      </w:r>
      <w:r w:rsidR="0005729F">
        <w:rPr>
          <w:rFonts w:ascii="Georgia" w:hAnsi="Georgia"/>
          <w:sz w:val="24"/>
          <w:szCs w:val="24"/>
        </w:rPr>
        <w:t>“</w:t>
      </w:r>
      <w:r w:rsidR="00CE62C6" w:rsidRPr="00CE62C6">
        <w:rPr>
          <w:rFonts w:ascii="Georgia" w:hAnsi="Georgia"/>
          <w:sz w:val="24"/>
          <w:szCs w:val="24"/>
        </w:rPr>
        <w:t>all natural gas facilities located onshore or in State waters that are used to receive, unload, load, store, transport, gasify, liquefy, or process natural gas that is . . . exported to a foreign country from the United States</w:t>
      </w:r>
      <w:r w:rsidR="0005729F">
        <w:rPr>
          <w:rFonts w:ascii="Georgia" w:hAnsi="Georgia"/>
          <w:sz w:val="24"/>
          <w:szCs w:val="24"/>
        </w:rPr>
        <w:t>”</w:t>
      </w:r>
      <w:r w:rsidR="00701F8F">
        <w:rPr>
          <w:rStyle w:val="FootnoteReference"/>
          <w:rFonts w:ascii="Georgia" w:hAnsi="Georgia"/>
          <w:sz w:val="24"/>
          <w:szCs w:val="24"/>
        </w:rPr>
        <w:footnoteReference w:id="4"/>
      </w:r>
      <w:r w:rsidR="007B67EC">
        <w:rPr>
          <w:rFonts w:ascii="Georgia" w:hAnsi="Georgia"/>
          <w:sz w:val="24"/>
          <w:szCs w:val="24"/>
        </w:rPr>
        <w:t>,</w:t>
      </w:r>
      <w:r w:rsidR="0005729F">
        <w:rPr>
          <w:rFonts w:ascii="Georgia" w:hAnsi="Georgia"/>
          <w:sz w:val="24"/>
          <w:szCs w:val="24"/>
        </w:rPr>
        <w:t xml:space="preserve"> and further states that</w:t>
      </w:r>
      <w:r w:rsidR="00DD2F14">
        <w:rPr>
          <w:rFonts w:ascii="Georgia" w:hAnsi="Georgia"/>
          <w:sz w:val="24"/>
          <w:szCs w:val="24"/>
        </w:rPr>
        <w:t xml:space="preserve"> FERC</w:t>
      </w:r>
      <w:r w:rsidR="0005729F" w:rsidRPr="0005729F">
        <w:rPr>
          <w:rFonts w:ascii="Georgia" w:hAnsi="Georgia"/>
          <w:sz w:val="24"/>
          <w:szCs w:val="24"/>
        </w:rPr>
        <w:t xml:space="preserve"> </w:t>
      </w:r>
      <w:r w:rsidR="00DD2F14">
        <w:rPr>
          <w:rFonts w:ascii="Georgia" w:hAnsi="Georgia"/>
          <w:sz w:val="24"/>
          <w:szCs w:val="24"/>
        </w:rPr>
        <w:t>“</w:t>
      </w:r>
      <w:r w:rsidR="0005729F" w:rsidRPr="0005729F">
        <w:rPr>
          <w:rFonts w:ascii="Georgia" w:hAnsi="Georgia"/>
          <w:sz w:val="24"/>
          <w:szCs w:val="24"/>
        </w:rPr>
        <w:t>shall have the exclusive authority to approve or deny an application for the siting, construction, expansion, or operation of an LNG terminal</w:t>
      </w:r>
      <w:r w:rsidR="003E6701">
        <w:rPr>
          <w:rFonts w:ascii="Georgia" w:hAnsi="Georgia"/>
          <w:sz w:val="24"/>
          <w:szCs w:val="24"/>
        </w:rPr>
        <w:t>”.</w:t>
      </w:r>
      <w:r w:rsidR="003E6701">
        <w:rPr>
          <w:rStyle w:val="FootnoteReference"/>
          <w:rFonts w:ascii="Georgia" w:hAnsi="Georgia"/>
          <w:sz w:val="24"/>
          <w:szCs w:val="24"/>
        </w:rPr>
        <w:footnoteReference w:id="5"/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Section 7 of the Natural Gas Act states that “No natural-gas company or person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which will be a natural-gas company upon completion of any proposed construction or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extension shall engage in the transportation or sale of natural gas, subject to the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jurisdiction of the Commission, or undertake the construction or extension of any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facilities therefor, or acquire or operate any such facilities or extensions thereof, unless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there is in force with respect to such natural-gas company a certificate of public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convenience and necessity issued by the Commission authorizing such acts or</w:t>
      </w:r>
      <w:r w:rsidR="002F1D73">
        <w:rPr>
          <w:rFonts w:ascii="Georgia" w:hAnsi="Georgia"/>
          <w:sz w:val="24"/>
          <w:szCs w:val="24"/>
        </w:rPr>
        <w:t xml:space="preserve"> </w:t>
      </w:r>
      <w:r w:rsidR="002F1D73" w:rsidRPr="002F1D73">
        <w:rPr>
          <w:rFonts w:ascii="Georgia" w:hAnsi="Georgia"/>
          <w:sz w:val="24"/>
          <w:szCs w:val="24"/>
        </w:rPr>
        <w:t>operations.”</w:t>
      </w:r>
      <w:r w:rsidR="00D44824">
        <w:rPr>
          <w:rStyle w:val="FootnoteReference"/>
          <w:rFonts w:ascii="Georgia" w:hAnsi="Georgia"/>
          <w:sz w:val="24"/>
          <w:szCs w:val="24"/>
        </w:rPr>
        <w:footnoteReference w:id="6"/>
      </w:r>
    </w:p>
    <w:p w14:paraId="2396BF00" w14:textId="692A3472" w:rsidR="006C5CF3" w:rsidRDefault="006C5CF3" w:rsidP="00A31AB2">
      <w:pPr>
        <w:spacing w:line="360" w:lineRule="auto"/>
        <w:rPr>
          <w:rFonts w:ascii="Georgia" w:hAnsi="Georgia"/>
          <w:sz w:val="24"/>
          <w:szCs w:val="24"/>
        </w:rPr>
      </w:pPr>
    </w:p>
    <w:p w14:paraId="05DECC0D" w14:textId="492B4B8B" w:rsidR="003B5F32" w:rsidRDefault="006C5CF3" w:rsidP="006C5CF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Nopetro’s </w:t>
      </w:r>
      <w:r w:rsidR="002C58CB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etition provides </w:t>
      </w:r>
      <w:r w:rsidR="00690D60">
        <w:rPr>
          <w:rFonts w:ascii="Georgia" w:hAnsi="Georgia"/>
          <w:sz w:val="24"/>
          <w:szCs w:val="24"/>
        </w:rPr>
        <w:t>sparse</w:t>
      </w:r>
      <w:r>
        <w:rPr>
          <w:rFonts w:ascii="Georgia" w:hAnsi="Georgia"/>
          <w:sz w:val="24"/>
          <w:szCs w:val="24"/>
        </w:rPr>
        <w:t xml:space="preserve"> information on its ownership, identifying only a series of </w:t>
      </w:r>
      <w:r w:rsidR="0027304B">
        <w:rPr>
          <w:rFonts w:ascii="Georgia" w:hAnsi="Georgia"/>
          <w:sz w:val="24"/>
          <w:szCs w:val="24"/>
        </w:rPr>
        <w:t>limited liability corporations as the ultimate upstream owners</w:t>
      </w:r>
      <w:r>
        <w:rPr>
          <w:rFonts w:ascii="Georgia" w:hAnsi="Georgia"/>
          <w:sz w:val="24"/>
          <w:szCs w:val="24"/>
        </w:rPr>
        <w:t xml:space="preserve">. </w:t>
      </w:r>
      <w:r w:rsidR="003B5F32">
        <w:rPr>
          <w:rFonts w:ascii="Georgia" w:hAnsi="Georgia"/>
          <w:sz w:val="24"/>
          <w:szCs w:val="24"/>
        </w:rPr>
        <w:t>The p</w:t>
      </w:r>
      <w:r>
        <w:rPr>
          <w:rFonts w:ascii="Georgia" w:hAnsi="Georgia"/>
          <w:sz w:val="24"/>
          <w:szCs w:val="24"/>
        </w:rPr>
        <w:t xml:space="preserve">etition states that Nopetro LNG LLC </w:t>
      </w:r>
      <w:r w:rsidRPr="008C5B88">
        <w:rPr>
          <w:rFonts w:ascii="Georgia" w:hAnsi="Georgia"/>
          <w:sz w:val="24"/>
          <w:szCs w:val="24"/>
        </w:rPr>
        <w:t>is a wholly-owned subsidiary of</w:t>
      </w:r>
      <w:r>
        <w:rPr>
          <w:rFonts w:ascii="Georgia" w:hAnsi="Georgia"/>
          <w:sz w:val="24"/>
          <w:szCs w:val="24"/>
        </w:rPr>
        <w:t xml:space="preserve"> </w:t>
      </w:r>
      <w:r w:rsidRPr="008C5B88">
        <w:rPr>
          <w:rFonts w:ascii="Georgia" w:hAnsi="Georgia"/>
          <w:sz w:val="24"/>
          <w:szCs w:val="24"/>
        </w:rPr>
        <w:t xml:space="preserve">Nopetro-CH4 Holdings, LLC, which </w:t>
      </w:r>
      <w:r>
        <w:rPr>
          <w:rFonts w:ascii="Georgia" w:hAnsi="Georgia"/>
          <w:sz w:val="24"/>
          <w:szCs w:val="24"/>
        </w:rPr>
        <w:t xml:space="preserve">in turn </w:t>
      </w:r>
      <w:r w:rsidRPr="008C5B88">
        <w:rPr>
          <w:rFonts w:ascii="Georgia" w:hAnsi="Georgia"/>
          <w:sz w:val="24"/>
          <w:szCs w:val="24"/>
        </w:rPr>
        <w:t>is owned by</w:t>
      </w:r>
      <w:r>
        <w:rPr>
          <w:rFonts w:ascii="Georgia" w:hAnsi="Georgia"/>
          <w:sz w:val="24"/>
          <w:szCs w:val="24"/>
        </w:rPr>
        <w:t xml:space="preserve"> </w:t>
      </w:r>
      <w:r w:rsidRPr="008C5B88">
        <w:rPr>
          <w:rFonts w:ascii="Georgia" w:hAnsi="Georgia"/>
          <w:sz w:val="24"/>
          <w:szCs w:val="24"/>
        </w:rPr>
        <w:t>CH4 Venture, LLC (38.1759%), Nopetro, LLC (36.8241%) and TLW CNG, LLC (25%)</w:t>
      </w:r>
      <w:r>
        <w:rPr>
          <w:rFonts w:ascii="Georgia" w:hAnsi="Georgia"/>
          <w:sz w:val="24"/>
          <w:szCs w:val="24"/>
        </w:rPr>
        <w:t>.</w:t>
      </w:r>
      <w:r>
        <w:rPr>
          <w:rStyle w:val="FootnoteReference"/>
          <w:rFonts w:ascii="Georgia" w:hAnsi="Georgia"/>
          <w:sz w:val="24"/>
          <w:szCs w:val="24"/>
        </w:rPr>
        <w:footnoteReference w:id="7"/>
      </w:r>
      <w:r>
        <w:rPr>
          <w:rFonts w:ascii="Georgia" w:hAnsi="Georgia"/>
          <w:sz w:val="24"/>
          <w:szCs w:val="24"/>
        </w:rPr>
        <w:t xml:space="preserve"> </w:t>
      </w:r>
    </w:p>
    <w:p w14:paraId="132AEFC4" w14:textId="67C26350" w:rsidR="006C5CF3" w:rsidRDefault="006C5CF3" w:rsidP="006C5CF3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Nopetro’s U.S. Department of Energy application</w:t>
      </w:r>
      <w:r w:rsidR="003B5F32">
        <w:rPr>
          <w:rFonts w:ascii="Georgia" w:hAnsi="Georgia"/>
          <w:sz w:val="24"/>
          <w:szCs w:val="24"/>
        </w:rPr>
        <w:t>, however,</w:t>
      </w:r>
      <w:r>
        <w:rPr>
          <w:rFonts w:ascii="Georgia" w:hAnsi="Georgia"/>
          <w:sz w:val="24"/>
          <w:szCs w:val="24"/>
        </w:rPr>
        <w:t xml:space="preserve"> contains far more </w:t>
      </w:r>
      <w:r w:rsidR="007933C1">
        <w:rPr>
          <w:rFonts w:ascii="Georgia" w:hAnsi="Georgia"/>
          <w:sz w:val="24"/>
          <w:szCs w:val="24"/>
        </w:rPr>
        <w:t>necessary</w:t>
      </w:r>
      <w:r>
        <w:rPr>
          <w:rFonts w:ascii="Georgia" w:hAnsi="Georgia"/>
          <w:sz w:val="24"/>
          <w:szCs w:val="24"/>
        </w:rPr>
        <w:t xml:space="preserve"> detail, noting that </w:t>
      </w:r>
      <w:r w:rsidRPr="002324E9">
        <w:rPr>
          <w:rFonts w:ascii="Georgia" w:hAnsi="Georgia"/>
          <w:sz w:val="24"/>
          <w:szCs w:val="24"/>
        </w:rPr>
        <w:t>CH4 Venture, LLC is owned by Jay Demetree and Hawley Smith</w:t>
      </w:r>
      <w:r>
        <w:rPr>
          <w:rFonts w:ascii="Georgia" w:hAnsi="Georgia"/>
          <w:sz w:val="24"/>
          <w:szCs w:val="24"/>
        </w:rPr>
        <w:t>;</w:t>
      </w:r>
      <w:r w:rsidRPr="002324E9">
        <w:rPr>
          <w:rFonts w:ascii="Georgia" w:hAnsi="Georgia"/>
          <w:sz w:val="24"/>
          <w:szCs w:val="24"/>
        </w:rPr>
        <w:t xml:space="preserve"> Nopetro, LLC is </w:t>
      </w:r>
      <w:r>
        <w:rPr>
          <w:rFonts w:ascii="Georgia" w:hAnsi="Georgia"/>
          <w:sz w:val="24"/>
          <w:szCs w:val="24"/>
        </w:rPr>
        <w:t xml:space="preserve">owned by </w:t>
      </w:r>
      <w:r w:rsidRPr="002324E9">
        <w:rPr>
          <w:rFonts w:ascii="Georgia" w:hAnsi="Georgia"/>
          <w:sz w:val="24"/>
          <w:szCs w:val="24"/>
        </w:rPr>
        <w:t>Jorge Herrera and Jonathan “Jack” Locke</w:t>
      </w:r>
      <w:r w:rsidR="00D52092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and</w:t>
      </w:r>
      <w:r w:rsidRPr="002324E9">
        <w:rPr>
          <w:rFonts w:ascii="Georgia" w:hAnsi="Georgia"/>
          <w:sz w:val="24"/>
          <w:szCs w:val="24"/>
        </w:rPr>
        <w:t xml:space="preserve"> TLW CNG, LLC is owned by Tom Ward</w:t>
      </w:r>
      <w:r>
        <w:rPr>
          <w:rFonts w:ascii="Georgia" w:hAnsi="Georgia"/>
          <w:sz w:val="24"/>
          <w:szCs w:val="24"/>
        </w:rPr>
        <w:t>,</w:t>
      </w:r>
      <w:r>
        <w:rPr>
          <w:rStyle w:val="FootnoteReference"/>
          <w:rFonts w:ascii="Georgia" w:hAnsi="Georgia"/>
          <w:sz w:val="24"/>
          <w:szCs w:val="24"/>
        </w:rPr>
        <w:footnoteReference w:id="8"/>
      </w:r>
      <w:r>
        <w:rPr>
          <w:rFonts w:ascii="Georgia" w:hAnsi="Georgia"/>
          <w:sz w:val="24"/>
          <w:szCs w:val="24"/>
        </w:rPr>
        <w:t xml:space="preserve"> with media reports describing Mr. Ward as a “natural gas icon”.</w:t>
      </w:r>
      <w:r>
        <w:rPr>
          <w:rStyle w:val="FootnoteReference"/>
          <w:rFonts w:ascii="Georgia" w:hAnsi="Georgia"/>
          <w:sz w:val="24"/>
          <w:szCs w:val="24"/>
        </w:rPr>
        <w:footnoteReference w:id="9"/>
      </w:r>
    </w:p>
    <w:p w14:paraId="1F8B3EE2" w14:textId="77777777" w:rsidR="009C2844" w:rsidRDefault="009C2844" w:rsidP="006C5CF3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51E4F202" w14:textId="3EF3DD54" w:rsidR="00DD2F14" w:rsidRDefault="00DD2F14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Nopetro LNG</w:t>
      </w:r>
      <w:r w:rsidR="00A06122">
        <w:rPr>
          <w:rFonts w:ascii="Georgia" w:hAnsi="Georgia"/>
          <w:sz w:val="24"/>
          <w:szCs w:val="24"/>
        </w:rPr>
        <w:t xml:space="preserve"> plans to construct, finance and operate a natural gas liquification </w:t>
      </w:r>
      <w:r w:rsidR="006548B8">
        <w:rPr>
          <w:rFonts w:ascii="Georgia" w:hAnsi="Georgia"/>
          <w:sz w:val="24"/>
          <w:szCs w:val="24"/>
        </w:rPr>
        <w:t>term</w:t>
      </w:r>
      <w:r w:rsidR="00512E38">
        <w:rPr>
          <w:rFonts w:ascii="Georgia" w:hAnsi="Georgia"/>
          <w:sz w:val="24"/>
          <w:szCs w:val="24"/>
        </w:rPr>
        <w:t>inal</w:t>
      </w:r>
      <w:r w:rsidR="00A06122">
        <w:rPr>
          <w:rFonts w:ascii="Georgia" w:hAnsi="Georgia"/>
          <w:sz w:val="24"/>
          <w:szCs w:val="24"/>
        </w:rPr>
        <w:t xml:space="preserve"> on 60 acres </w:t>
      </w:r>
      <w:r w:rsidR="009A40C0">
        <w:rPr>
          <w:rFonts w:ascii="Georgia" w:hAnsi="Georgia"/>
          <w:sz w:val="24"/>
          <w:szCs w:val="24"/>
        </w:rPr>
        <w:t>in the Florida</w:t>
      </w:r>
      <w:r w:rsidR="005068AA">
        <w:rPr>
          <w:rFonts w:ascii="Georgia" w:hAnsi="Georgia"/>
          <w:sz w:val="24"/>
          <w:szCs w:val="24"/>
        </w:rPr>
        <w:t xml:space="preserve"> </w:t>
      </w:r>
      <w:r w:rsidR="004576F7">
        <w:rPr>
          <w:rFonts w:ascii="Georgia" w:hAnsi="Georgia"/>
          <w:sz w:val="24"/>
          <w:szCs w:val="24"/>
        </w:rPr>
        <w:t>g</w:t>
      </w:r>
      <w:r w:rsidR="005068AA">
        <w:rPr>
          <w:rFonts w:ascii="Georgia" w:hAnsi="Georgia"/>
          <w:sz w:val="24"/>
          <w:szCs w:val="24"/>
        </w:rPr>
        <w:t xml:space="preserve">ulf </w:t>
      </w:r>
      <w:r w:rsidR="004576F7">
        <w:rPr>
          <w:rFonts w:ascii="Georgia" w:hAnsi="Georgia"/>
          <w:sz w:val="24"/>
          <w:szCs w:val="24"/>
        </w:rPr>
        <w:t>c</w:t>
      </w:r>
      <w:r w:rsidR="005068AA">
        <w:rPr>
          <w:rFonts w:ascii="Georgia" w:hAnsi="Georgia"/>
          <w:sz w:val="24"/>
          <w:szCs w:val="24"/>
        </w:rPr>
        <w:t xml:space="preserve">oast </w:t>
      </w:r>
      <w:r w:rsidR="000E52B6">
        <w:rPr>
          <w:rFonts w:ascii="Georgia" w:hAnsi="Georgia"/>
          <w:sz w:val="24"/>
          <w:szCs w:val="24"/>
        </w:rPr>
        <w:t>town of</w:t>
      </w:r>
      <w:r w:rsidR="005068AA">
        <w:rPr>
          <w:rFonts w:ascii="Georgia" w:hAnsi="Georgia"/>
          <w:sz w:val="24"/>
          <w:szCs w:val="24"/>
        </w:rPr>
        <w:t xml:space="preserve"> </w:t>
      </w:r>
      <w:r w:rsidR="006E3AB9" w:rsidRPr="006E3AB9">
        <w:rPr>
          <w:rFonts w:ascii="Georgia" w:hAnsi="Georgia"/>
          <w:sz w:val="24"/>
          <w:szCs w:val="24"/>
        </w:rPr>
        <w:t>Port St. Joe</w:t>
      </w:r>
      <w:r w:rsidR="006E3AB9">
        <w:rPr>
          <w:rFonts w:ascii="Georgia" w:hAnsi="Georgia"/>
          <w:sz w:val="24"/>
          <w:szCs w:val="24"/>
        </w:rPr>
        <w:t>.</w:t>
      </w:r>
      <w:r w:rsidR="006548B8">
        <w:rPr>
          <w:rFonts w:ascii="Georgia" w:hAnsi="Georgia"/>
          <w:sz w:val="24"/>
          <w:szCs w:val="24"/>
        </w:rPr>
        <w:t xml:space="preserve"> The gas will be delivered to Nopetro’s liquificat</w:t>
      </w:r>
      <w:r w:rsidR="00512E38">
        <w:rPr>
          <w:rFonts w:ascii="Georgia" w:hAnsi="Georgia"/>
          <w:sz w:val="24"/>
          <w:szCs w:val="24"/>
        </w:rPr>
        <w:t>ion terminal via pipeline.</w:t>
      </w:r>
      <w:r w:rsidR="00D538F5">
        <w:rPr>
          <w:rFonts w:ascii="Georgia" w:hAnsi="Georgia"/>
          <w:sz w:val="24"/>
          <w:szCs w:val="24"/>
        </w:rPr>
        <w:t xml:space="preserve"> The LNG will be offloaded from Nopetro’s liquification terminal</w:t>
      </w:r>
      <w:r w:rsidR="00C841E3">
        <w:rPr>
          <w:rFonts w:ascii="Georgia" w:hAnsi="Georgia"/>
          <w:sz w:val="24"/>
          <w:szCs w:val="24"/>
        </w:rPr>
        <w:t xml:space="preserve"> via shipping container, </w:t>
      </w:r>
      <w:r w:rsidR="00067157">
        <w:rPr>
          <w:rFonts w:ascii="Georgia" w:hAnsi="Georgia"/>
          <w:sz w:val="24"/>
          <w:szCs w:val="24"/>
        </w:rPr>
        <w:t xml:space="preserve">and </w:t>
      </w:r>
      <w:r w:rsidR="00C841E3">
        <w:rPr>
          <w:rFonts w:ascii="Georgia" w:hAnsi="Georgia"/>
          <w:sz w:val="24"/>
          <w:szCs w:val="24"/>
        </w:rPr>
        <w:t>delivered via truck to an export port 1,329 feet away from the liquification terminal.</w:t>
      </w:r>
      <w:r w:rsidR="00A45131">
        <w:rPr>
          <w:rFonts w:ascii="Georgia" w:hAnsi="Georgia"/>
          <w:sz w:val="24"/>
          <w:szCs w:val="24"/>
        </w:rPr>
        <w:t xml:space="preserve"> The </w:t>
      </w:r>
      <w:r w:rsidR="00774234">
        <w:rPr>
          <w:rFonts w:ascii="Georgia" w:hAnsi="Georgia"/>
          <w:sz w:val="24"/>
          <w:szCs w:val="24"/>
        </w:rPr>
        <w:t>petition does not indicate whether these trucks will traverse a public road to reach the export dock, or whether</w:t>
      </w:r>
      <w:r w:rsidR="008943F3">
        <w:rPr>
          <w:rFonts w:ascii="Georgia" w:hAnsi="Georgia"/>
          <w:sz w:val="24"/>
          <w:szCs w:val="24"/>
        </w:rPr>
        <w:t xml:space="preserve"> the journey will occur entirely on private land.</w:t>
      </w:r>
      <w:r w:rsidR="00ED43AF">
        <w:rPr>
          <w:rFonts w:ascii="Georgia" w:hAnsi="Georgia"/>
          <w:sz w:val="24"/>
          <w:szCs w:val="24"/>
        </w:rPr>
        <w:t xml:space="preserve"> The LNG containers will be loaded on to ships for</w:t>
      </w:r>
      <w:r w:rsidR="00074F62">
        <w:rPr>
          <w:rFonts w:ascii="Georgia" w:hAnsi="Georgia"/>
          <w:sz w:val="24"/>
          <w:szCs w:val="24"/>
        </w:rPr>
        <w:t xml:space="preserve"> export</w:t>
      </w:r>
      <w:r w:rsidR="004742CF">
        <w:rPr>
          <w:rFonts w:ascii="Georgia" w:hAnsi="Georgia"/>
          <w:sz w:val="24"/>
          <w:szCs w:val="24"/>
        </w:rPr>
        <w:t xml:space="preserve"> by a crane constructed and owned by Nopetro</w:t>
      </w:r>
      <w:r w:rsidR="004A2181">
        <w:rPr>
          <w:rFonts w:ascii="Georgia" w:hAnsi="Georgia"/>
          <w:sz w:val="24"/>
          <w:szCs w:val="24"/>
        </w:rPr>
        <w:t>.</w:t>
      </w:r>
      <w:r w:rsidR="000D7345">
        <w:rPr>
          <w:rStyle w:val="FootnoteReference"/>
          <w:rFonts w:ascii="Georgia" w:hAnsi="Georgia"/>
          <w:sz w:val="24"/>
          <w:szCs w:val="24"/>
        </w:rPr>
        <w:footnoteReference w:id="10"/>
      </w:r>
      <w:r w:rsidR="00074F62">
        <w:rPr>
          <w:rFonts w:ascii="Georgia" w:hAnsi="Georgia"/>
          <w:sz w:val="24"/>
          <w:szCs w:val="24"/>
        </w:rPr>
        <w:t xml:space="preserve"> Nopetro has already obtained the necessary LNG export authorization from the U.S. Department of Energy</w:t>
      </w:r>
      <w:r w:rsidR="004A2181">
        <w:rPr>
          <w:rFonts w:ascii="Georgia" w:hAnsi="Georgia"/>
          <w:sz w:val="24"/>
          <w:szCs w:val="24"/>
        </w:rPr>
        <w:t xml:space="preserve">, and so the </w:t>
      </w:r>
      <w:r w:rsidR="00B476B4">
        <w:rPr>
          <w:rFonts w:ascii="Georgia" w:hAnsi="Georgia"/>
          <w:sz w:val="24"/>
          <w:szCs w:val="24"/>
        </w:rPr>
        <w:t>natural gas liquified at Nopet</w:t>
      </w:r>
      <w:r w:rsidR="00F2477B">
        <w:rPr>
          <w:rFonts w:ascii="Georgia" w:hAnsi="Georgia"/>
          <w:sz w:val="24"/>
          <w:szCs w:val="24"/>
        </w:rPr>
        <w:t>r</w:t>
      </w:r>
      <w:r w:rsidR="00B476B4">
        <w:rPr>
          <w:rFonts w:ascii="Georgia" w:hAnsi="Georgia"/>
          <w:sz w:val="24"/>
          <w:szCs w:val="24"/>
        </w:rPr>
        <w:t xml:space="preserve">o’s terminal </w:t>
      </w:r>
      <w:r w:rsidR="004A2181">
        <w:rPr>
          <w:rFonts w:ascii="Georgia" w:hAnsi="Georgia"/>
          <w:sz w:val="24"/>
          <w:szCs w:val="24"/>
        </w:rPr>
        <w:t>at Port St. Joe will be e</w:t>
      </w:r>
      <w:r w:rsidR="007F2DA9">
        <w:rPr>
          <w:rFonts w:ascii="Georgia" w:hAnsi="Georgia"/>
          <w:sz w:val="24"/>
          <w:szCs w:val="24"/>
        </w:rPr>
        <w:t>xported by Nopetro.</w:t>
      </w:r>
    </w:p>
    <w:p w14:paraId="28359DF4" w14:textId="2D167DD8" w:rsidR="0037636E" w:rsidRDefault="0037636E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Nopetro claims that, according to FERC precedent, </w:t>
      </w:r>
      <w:r w:rsidR="00275459">
        <w:rPr>
          <w:rFonts w:ascii="Georgia" w:hAnsi="Georgia"/>
          <w:sz w:val="24"/>
          <w:szCs w:val="24"/>
        </w:rPr>
        <w:t xml:space="preserve">its liquification terminal and its export operations at a dock 1,329 feet away </w:t>
      </w:r>
      <w:r w:rsidR="00CD6757">
        <w:rPr>
          <w:rFonts w:ascii="Georgia" w:hAnsi="Georgia"/>
          <w:sz w:val="24"/>
          <w:szCs w:val="24"/>
        </w:rPr>
        <w:t>are not an LNG terminal as defined by federal law</w:t>
      </w:r>
      <w:r w:rsidR="001406C6">
        <w:rPr>
          <w:rFonts w:ascii="Georgia" w:hAnsi="Georgia"/>
          <w:sz w:val="24"/>
          <w:szCs w:val="24"/>
        </w:rPr>
        <w:t xml:space="preserve"> because the exports are not being delivered to marine </w:t>
      </w:r>
      <w:r w:rsidR="007F7637">
        <w:rPr>
          <w:rFonts w:ascii="Georgia" w:hAnsi="Georgia"/>
          <w:sz w:val="24"/>
          <w:szCs w:val="24"/>
        </w:rPr>
        <w:t>vessels</w:t>
      </w:r>
      <w:r w:rsidR="001406C6">
        <w:rPr>
          <w:rFonts w:ascii="Georgia" w:hAnsi="Georgia"/>
          <w:sz w:val="24"/>
          <w:szCs w:val="24"/>
        </w:rPr>
        <w:t xml:space="preserve"> via pipeline.</w:t>
      </w:r>
      <w:r w:rsidR="008F687F">
        <w:rPr>
          <w:rFonts w:ascii="Georgia" w:hAnsi="Georgia"/>
          <w:sz w:val="24"/>
          <w:szCs w:val="24"/>
        </w:rPr>
        <w:t xml:space="preserve">  </w:t>
      </w:r>
      <w:r w:rsidR="000D66D3">
        <w:rPr>
          <w:rFonts w:ascii="Georgia" w:hAnsi="Georgia"/>
          <w:sz w:val="24"/>
          <w:szCs w:val="24"/>
        </w:rPr>
        <w:t>Nopetro seeks a determination from the Commission that its proposed Port St. Joe liquification and export operations are</w:t>
      </w:r>
      <w:r w:rsidR="0029389B">
        <w:rPr>
          <w:rFonts w:ascii="Georgia" w:hAnsi="Georgia"/>
          <w:sz w:val="24"/>
          <w:szCs w:val="24"/>
        </w:rPr>
        <w:t xml:space="preserve"> </w:t>
      </w:r>
      <w:r w:rsidR="0029389B" w:rsidRPr="0029389B">
        <w:rPr>
          <w:rFonts w:ascii="Georgia" w:hAnsi="Georgia"/>
          <w:sz w:val="24"/>
          <w:szCs w:val="24"/>
        </w:rPr>
        <w:t xml:space="preserve">not subject to </w:t>
      </w:r>
      <w:r w:rsidR="0029389B">
        <w:rPr>
          <w:rFonts w:ascii="Georgia" w:hAnsi="Georgia"/>
          <w:sz w:val="24"/>
          <w:szCs w:val="24"/>
        </w:rPr>
        <w:t xml:space="preserve">FERC’s </w:t>
      </w:r>
      <w:r w:rsidR="0029389B" w:rsidRPr="0029389B">
        <w:rPr>
          <w:rFonts w:ascii="Georgia" w:hAnsi="Georgia"/>
          <w:sz w:val="24"/>
          <w:szCs w:val="24"/>
        </w:rPr>
        <w:t>jurisdiction under sections 3 or 7 of the N</w:t>
      </w:r>
      <w:r w:rsidR="0029389B">
        <w:rPr>
          <w:rFonts w:ascii="Georgia" w:hAnsi="Georgia"/>
          <w:sz w:val="24"/>
          <w:szCs w:val="24"/>
        </w:rPr>
        <w:t>atural Gas Act.</w:t>
      </w:r>
      <w:r w:rsidR="008F687F">
        <w:rPr>
          <w:rStyle w:val="FootnoteReference"/>
          <w:rFonts w:ascii="Georgia" w:hAnsi="Georgia"/>
          <w:sz w:val="24"/>
          <w:szCs w:val="24"/>
        </w:rPr>
        <w:footnoteReference w:id="11"/>
      </w:r>
    </w:p>
    <w:p w14:paraId="35F76E23" w14:textId="49A7CD07" w:rsidR="00CE62C6" w:rsidRDefault="00CE62C6" w:rsidP="00A31AB2">
      <w:pPr>
        <w:spacing w:line="360" w:lineRule="auto"/>
        <w:rPr>
          <w:rFonts w:ascii="Georgia" w:hAnsi="Georgia"/>
          <w:sz w:val="24"/>
          <w:szCs w:val="24"/>
        </w:rPr>
      </w:pPr>
    </w:p>
    <w:p w14:paraId="0F275541" w14:textId="6057CDA2" w:rsidR="00B76D39" w:rsidRDefault="002D2D6F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BD0D16">
        <w:rPr>
          <w:rFonts w:ascii="Georgia" w:hAnsi="Georgia"/>
          <w:sz w:val="24"/>
          <w:szCs w:val="24"/>
        </w:rPr>
        <w:t>unambiguous</w:t>
      </w:r>
      <w:r>
        <w:rPr>
          <w:rFonts w:ascii="Georgia" w:hAnsi="Georgia"/>
          <w:sz w:val="24"/>
          <w:szCs w:val="24"/>
        </w:rPr>
        <w:t xml:space="preserve"> intent of the Natural Gas Act is </w:t>
      </w:r>
      <w:r w:rsidR="00213361">
        <w:rPr>
          <w:rFonts w:ascii="Georgia" w:hAnsi="Georgia"/>
          <w:sz w:val="24"/>
          <w:szCs w:val="24"/>
        </w:rPr>
        <w:t xml:space="preserve">that </w:t>
      </w:r>
      <w:r w:rsidR="00213361" w:rsidRPr="00A4429D">
        <w:rPr>
          <w:rFonts w:ascii="Georgia" w:hAnsi="Georgia"/>
          <w:sz w:val="24"/>
          <w:szCs w:val="24"/>
        </w:rPr>
        <w:t>that “no person shall export any natural</w:t>
      </w:r>
      <w:r w:rsidR="00213361">
        <w:rPr>
          <w:rFonts w:ascii="Georgia" w:hAnsi="Georgia"/>
          <w:sz w:val="24"/>
          <w:szCs w:val="24"/>
        </w:rPr>
        <w:t xml:space="preserve"> </w:t>
      </w:r>
      <w:r w:rsidR="00213361" w:rsidRPr="00A4429D">
        <w:rPr>
          <w:rFonts w:ascii="Georgia" w:hAnsi="Georgia"/>
          <w:sz w:val="24"/>
          <w:szCs w:val="24"/>
        </w:rPr>
        <w:t xml:space="preserve">gas from the United States to a foreign country </w:t>
      </w:r>
      <w:r w:rsidR="00213361">
        <w:rPr>
          <w:rFonts w:ascii="Georgia" w:hAnsi="Georgia"/>
          <w:sz w:val="24"/>
          <w:szCs w:val="24"/>
        </w:rPr>
        <w:t>. . .</w:t>
      </w:r>
      <w:r w:rsidR="00213361" w:rsidRPr="00A4429D">
        <w:rPr>
          <w:rFonts w:ascii="Georgia" w:hAnsi="Georgia"/>
          <w:sz w:val="24"/>
          <w:szCs w:val="24"/>
        </w:rPr>
        <w:t xml:space="preserve"> without first </w:t>
      </w:r>
      <w:r w:rsidR="00213361" w:rsidRPr="00A4429D">
        <w:rPr>
          <w:rFonts w:ascii="Georgia" w:hAnsi="Georgia"/>
          <w:sz w:val="24"/>
          <w:szCs w:val="24"/>
        </w:rPr>
        <w:lastRenderedPageBreak/>
        <w:t>having secured an order of the Commission authorizing it to do</w:t>
      </w:r>
      <w:r w:rsidR="00213361">
        <w:rPr>
          <w:rFonts w:ascii="Georgia" w:hAnsi="Georgia"/>
          <w:sz w:val="24"/>
          <w:szCs w:val="24"/>
        </w:rPr>
        <w:t xml:space="preserve"> </w:t>
      </w:r>
      <w:r w:rsidR="00213361" w:rsidRPr="00A4429D">
        <w:rPr>
          <w:rFonts w:ascii="Georgia" w:hAnsi="Georgia"/>
          <w:sz w:val="24"/>
          <w:szCs w:val="24"/>
        </w:rPr>
        <w:t>so”</w:t>
      </w:r>
      <w:r w:rsidR="00213361">
        <w:rPr>
          <w:rFonts w:ascii="Georgia" w:hAnsi="Georgia"/>
          <w:sz w:val="24"/>
          <w:szCs w:val="24"/>
        </w:rPr>
        <w:t>.</w:t>
      </w:r>
      <w:r w:rsidR="00213361">
        <w:rPr>
          <w:rStyle w:val="FootnoteReference"/>
          <w:rFonts w:ascii="Georgia" w:hAnsi="Georgia"/>
          <w:sz w:val="24"/>
          <w:szCs w:val="24"/>
        </w:rPr>
        <w:footnoteReference w:id="12"/>
      </w:r>
      <w:r w:rsidR="00D60BB3">
        <w:rPr>
          <w:rFonts w:ascii="Georgia" w:hAnsi="Georgia"/>
          <w:sz w:val="24"/>
          <w:szCs w:val="24"/>
        </w:rPr>
        <w:t xml:space="preserve"> The </w:t>
      </w:r>
      <w:r w:rsidR="005309E3">
        <w:rPr>
          <w:rFonts w:ascii="Georgia" w:hAnsi="Georgia"/>
          <w:sz w:val="24"/>
          <w:szCs w:val="24"/>
        </w:rPr>
        <w:t>Nopet</w:t>
      </w:r>
      <w:r w:rsidR="00F2477B">
        <w:rPr>
          <w:rFonts w:ascii="Georgia" w:hAnsi="Georgia"/>
          <w:sz w:val="24"/>
          <w:szCs w:val="24"/>
        </w:rPr>
        <w:t>r</w:t>
      </w:r>
      <w:r w:rsidR="005309E3">
        <w:rPr>
          <w:rFonts w:ascii="Georgia" w:hAnsi="Georgia"/>
          <w:sz w:val="24"/>
          <w:szCs w:val="24"/>
        </w:rPr>
        <w:t xml:space="preserve">o </w:t>
      </w:r>
      <w:r w:rsidR="002860A2">
        <w:rPr>
          <w:rFonts w:ascii="Georgia" w:hAnsi="Georgia"/>
          <w:sz w:val="24"/>
          <w:szCs w:val="24"/>
        </w:rPr>
        <w:t>p</w:t>
      </w:r>
      <w:r w:rsidR="008703BD" w:rsidRPr="002860A2">
        <w:rPr>
          <w:rFonts w:ascii="Georgia" w:hAnsi="Georgia"/>
          <w:sz w:val="24"/>
          <w:szCs w:val="24"/>
        </w:rPr>
        <w:t>etition</w:t>
      </w:r>
      <w:r w:rsidR="005309E3">
        <w:rPr>
          <w:rFonts w:ascii="Georgia" w:hAnsi="Georgia"/>
          <w:sz w:val="24"/>
          <w:szCs w:val="24"/>
        </w:rPr>
        <w:t xml:space="preserve"> </w:t>
      </w:r>
      <w:r w:rsidR="007F7637">
        <w:rPr>
          <w:rFonts w:ascii="Georgia" w:hAnsi="Georgia"/>
          <w:sz w:val="24"/>
          <w:szCs w:val="24"/>
        </w:rPr>
        <w:t>clearly</w:t>
      </w:r>
      <w:r w:rsidR="005309E3">
        <w:rPr>
          <w:rFonts w:ascii="Georgia" w:hAnsi="Georgia"/>
          <w:sz w:val="24"/>
          <w:szCs w:val="24"/>
        </w:rPr>
        <w:t xml:space="preserve"> states that its proposed natural gas liquification facility in </w:t>
      </w:r>
      <w:r w:rsidR="005309E3" w:rsidRPr="006E3AB9">
        <w:rPr>
          <w:rFonts w:ascii="Georgia" w:hAnsi="Georgia"/>
          <w:sz w:val="24"/>
          <w:szCs w:val="24"/>
        </w:rPr>
        <w:t>Port St. Joe</w:t>
      </w:r>
      <w:r w:rsidR="005309E3">
        <w:rPr>
          <w:rFonts w:ascii="Georgia" w:hAnsi="Georgia"/>
          <w:sz w:val="24"/>
          <w:szCs w:val="24"/>
        </w:rPr>
        <w:t xml:space="preserve"> is intended to </w:t>
      </w:r>
      <w:r w:rsidR="00050EED">
        <w:rPr>
          <w:rFonts w:ascii="Georgia" w:hAnsi="Georgia"/>
          <w:sz w:val="24"/>
          <w:szCs w:val="24"/>
        </w:rPr>
        <w:t>produce LNG destined for export</w:t>
      </w:r>
      <w:r w:rsidR="00B76D39">
        <w:rPr>
          <w:rFonts w:ascii="Cambria" w:hAnsi="Cambria"/>
          <w:sz w:val="24"/>
          <w:szCs w:val="24"/>
        </w:rPr>
        <w:t>—</w:t>
      </w:r>
      <w:r w:rsidR="00050EED">
        <w:rPr>
          <w:rFonts w:ascii="Georgia" w:hAnsi="Georgia"/>
          <w:sz w:val="24"/>
          <w:szCs w:val="24"/>
        </w:rPr>
        <w:t xml:space="preserve">and not for domestic </w:t>
      </w:r>
      <w:r w:rsidR="00706DB5">
        <w:rPr>
          <w:rFonts w:ascii="Georgia" w:hAnsi="Georgia"/>
          <w:sz w:val="24"/>
          <w:szCs w:val="24"/>
        </w:rPr>
        <w:t>consumption. Furthermore,</w:t>
      </w:r>
      <w:r w:rsidR="00397A67">
        <w:rPr>
          <w:rFonts w:ascii="Georgia" w:hAnsi="Georgia"/>
          <w:sz w:val="24"/>
          <w:szCs w:val="24"/>
        </w:rPr>
        <w:t xml:space="preserve"> the U.S. Department of Energy has granted authorization for Nopetro LNG LLC</w:t>
      </w:r>
      <w:r w:rsidR="001B0AF0">
        <w:rPr>
          <w:rFonts w:ascii="Georgia" w:hAnsi="Georgia"/>
          <w:sz w:val="24"/>
          <w:szCs w:val="24"/>
        </w:rPr>
        <w:t xml:space="preserve"> to export as much as </w:t>
      </w:r>
      <w:r w:rsidR="00994E7E" w:rsidRPr="00994E7E">
        <w:rPr>
          <w:rFonts w:ascii="Georgia" w:hAnsi="Georgia"/>
          <w:sz w:val="24"/>
          <w:szCs w:val="24"/>
        </w:rPr>
        <w:t>51.75 billion cubic feet</w:t>
      </w:r>
      <w:r w:rsidR="004C0CF6">
        <w:rPr>
          <w:rFonts w:ascii="Georgia" w:hAnsi="Georgia"/>
          <w:sz w:val="24"/>
          <w:szCs w:val="24"/>
        </w:rPr>
        <w:t xml:space="preserve"> of LNG</w:t>
      </w:r>
      <w:r w:rsidR="00994E7E" w:rsidRPr="00994E7E">
        <w:rPr>
          <w:rFonts w:ascii="Georgia" w:hAnsi="Georgia"/>
          <w:sz w:val="24"/>
          <w:szCs w:val="24"/>
        </w:rPr>
        <w:t xml:space="preserve"> per year</w:t>
      </w:r>
      <w:r w:rsidR="00036054">
        <w:rPr>
          <w:rFonts w:ascii="Georgia" w:hAnsi="Georgia"/>
          <w:sz w:val="24"/>
          <w:szCs w:val="24"/>
        </w:rPr>
        <w:t>.</w:t>
      </w:r>
      <w:r w:rsidR="00036054">
        <w:rPr>
          <w:rStyle w:val="FootnoteReference"/>
          <w:rFonts w:ascii="Georgia" w:hAnsi="Georgia"/>
          <w:sz w:val="24"/>
          <w:szCs w:val="24"/>
        </w:rPr>
        <w:footnoteReference w:id="13"/>
      </w:r>
      <w:r w:rsidR="004C0CF6">
        <w:rPr>
          <w:rFonts w:ascii="Georgia" w:hAnsi="Georgia"/>
          <w:sz w:val="24"/>
          <w:szCs w:val="24"/>
        </w:rPr>
        <w:t xml:space="preserve"> </w:t>
      </w:r>
    </w:p>
    <w:p w14:paraId="45716C7F" w14:textId="6A9CF807" w:rsidR="00F22DF2" w:rsidRDefault="00E35A5E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1,329 feet between Nopetro’s </w:t>
      </w:r>
      <w:r w:rsidR="00C70E07">
        <w:rPr>
          <w:rFonts w:ascii="Georgia" w:hAnsi="Georgia"/>
          <w:sz w:val="24"/>
          <w:szCs w:val="24"/>
        </w:rPr>
        <w:t xml:space="preserve">LNG terminal and the export dock </w:t>
      </w:r>
      <w:r w:rsidR="004A59CB">
        <w:rPr>
          <w:rFonts w:ascii="Georgia" w:hAnsi="Georgia"/>
          <w:sz w:val="24"/>
          <w:szCs w:val="24"/>
        </w:rPr>
        <w:t xml:space="preserve">is such a short distance that even in the Florida summer heat traversing the </w:t>
      </w:r>
      <w:r w:rsidR="00492E66">
        <w:rPr>
          <w:rFonts w:ascii="Georgia" w:hAnsi="Georgia"/>
          <w:sz w:val="24"/>
          <w:szCs w:val="24"/>
        </w:rPr>
        <w:t>route</w:t>
      </w:r>
      <w:r w:rsidR="004A59CB">
        <w:rPr>
          <w:rFonts w:ascii="Georgia" w:hAnsi="Georgia"/>
          <w:sz w:val="24"/>
          <w:szCs w:val="24"/>
        </w:rPr>
        <w:t xml:space="preserve"> by foot would be a </w:t>
      </w:r>
      <w:r w:rsidR="000A68F3">
        <w:rPr>
          <w:rFonts w:ascii="Georgia" w:hAnsi="Georgia"/>
          <w:sz w:val="24"/>
          <w:szCs w:val="24"/>
        </w:rPr>
        <w:t>brief</w:t>
      </w:r>
      <w:r w:rsidR="00D6253D">
        <w:rPr>
          <w:rFonts w:ascii="Georgia" w:hAnsi="Georgia"/>
          <w:sz w:val="24"/>
          <w:szCs w:val="24"/>
        </w:rPr>
        <w:t xml:space="preserve">, pleasant </w:t>
      </w:r>
      <w:r w:rsidR="004A59CB">
        <w:rPr>
          <w:rFonts w:ascii="Georgia" w:hAnsi="Georgia"/>
          <w:sz w:val="24"/>
          <w:szCs w:val="24"/>
        </w:rPr>
        <w:t>stroll.</w:t>
      </w:r>
      <w:r w:rsidR="000A68F3">
        <w:rPr>
          <w:rFonts w:ascii="Georgia" w:hAnsi="Georgia"/>
          <w:sz w:val="24"/>
          <w:szCs w:val="24"/>
        </w:rPr>
        <w:t xml:space="preserve"> To claim </w:t>
      </w:r>
      <w:r w:rsidR="00A551AE">
        <w:rPr>
          <w:rFonts w:ascii="Georgia" w:hAnsi="Georgia"/>
          <w:sz w:val="24"/>
          <w:szCs w:val="24"/>
        </w:rPr>
        <w:t xml:space="preserve">that an LNG terminal located a stone’s throw from an export dock renders the </w:t>
      </w:r>
      <w:r w:rsidR="00F1345C">
        <w:rPr>
          <w:rFonts w:ascii="Georgia" w:hAnsi="Georgia"/>
          <w:sz w:val="24"/>
          <w:szCs w:val="24"/>
        </w:rPr>
        <w:t xml:space="preserve">facility to not be subject to FERC’s regulation </w:t>
      </w:r>
      <w:r w:rsidR="00D6253D">
        <w:rPr>
          <w:rFonts w:ascii="Georgia" w:hAnsi="Georgia"/>
          <w:sz w:val="24"/>
          <w:szCs w:val="24"/>
        </w:rPr>
        <w:t>would eviscerate the Commission’s NGA authority and likely usher a wave of similar</w:t>
      </w:r>
      <w:r w:rsidR="00EA1B9B">
        <w:rPr>
          <w:rFonts w:ascii="Georgia" w:hAnsi="Georgia"/>
          <w:sz w:val="24"/>
          <w:szCs w:val="24"/>
        </w:rPr>
        <w:t xml:space="preserve"> LNG export terminals located </w:t>
      </w:r>
      <w:r w:rsidR="00AF3F38">
        <w:rPr>
          <w:rFonts w:ascii="Georgia" w:hAnsi="Georgia"/>
          <w:sz w:val="24"/>
          <w:szCs w:val="24"/>
        </w:rPr>
        <w:t>within shouting distance</w:t>
      </w:r>
      <w:r w:rsidR="00EA1B9B">
        <w:rPr>
          <w:rFonts w:ascii="Georgia" w:hAnsi="Georgia"/>
          <w:sz w:val="24"/>
          <w:szCs w:val="24"/>
        </w:rPr>
        <w:t xml:space="preserve"> from an export dock in an effort to evade Commission oversight.</w:t>
      </w:r>
    </w:p>
    <w:p w14:paraId="61FEABC5" w14:textId="2FAE0521" w:rsidR="00356DB7" w:rsidRPr="00356DB7" w:rsidRDefault="00356DB7" w:rsidP="00A31AB2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Nopetro</w:t>
      </w:r>
      <w:r w:rsidRPr="00356DB7">
        <w:rPr>
          <w:rFonts w:ascii="Georgia" w:hAnsi="Georgia"/>
          <w:sz w:val="24"/>
          <w:szCs w:val="24"/>
        </w:rPr>
        <w:t xml:space="preserve"> cite</w:t>
      </w:r>
      <w:r>
        <w:rPr>
          <w:rFonts w:ascii="Georgia" w:hAnsi="Georgia"/>
          <w:sz w:val="24"/>
          <w:szCs w:val="24"/>
        </w:rPr>
        <w:t>s</w:t>
      </w:r>
      <w:r w:rsidRPr="00356DB7">
        <w:rPr>
          <w:rFonts w:ascii="Georgia" w:hAnsi="Georgia"/>
          <w:sz w:val="24"/>
          <w:szCs w:val="24"/>
        </w:rPr>
        <w:t xml:space="preserve"> previous Commission decisions in an </w:t>
      </w:r>
      <w:r w:rsidR="007C5002">
        <w:rPr>
          <w:rFonts w:ascii="Georgia" w:hAnsi="Georgia"/>
          <w:sz w:val="24"/>
          <w:szCs w:val="24"/>
        </w:rPr>
        <w:t>attempt</w:t>
      </w:r>
      <w:r w:rsidRPr="00356DB7">
        <w:rPr>
          <w:rFonts w:ascii="Georgia" w:hAnsi="Georgia"/>
          <w:sz w:val="24"/>
          <w:szCs w:val="24"/>
        </w:rPr>
        <w:t xml:space="preserve"> to justify their claim</w:t>
      </w:r>
    </w:p>
    <w:p w14:paraId="6A334E3C" w14:textId="5C04971B" w:rsidR="00754663" w:rsidRDefault="00356DB7" w:rsidP="00A31AB2">
      <w:pPr>
        <w:spacing w:line="360" w:lineRule="auto"/>
        <w:rPr>
          <w:rFonts w:ascii="Georgia" w:hAnsi="Georgia"/>
          <w:sz w:val="24"/>
          <w:szCs w:val="24"/>
        </w:rPr>
      </w:pPr>
      <w:r w:rsidRPr="00356DB7">
        <w:rPr>
          <w:rFonts w:ascii="Georgia" w:hAnsi="Georgia"/>
          <w:sz w:val="24"/>
          <w:szCs w:val="24"/>
        </w:rPr>
        <w:t>that their</w:t>
      </w:r>
      <w:r w:rsidR="007C5002">
        <w:rPr>
          <w:rFonts w:ascii="Georgia" w:hAnsi="Georgia"/>
          <w:sz w:val="24"/>
          <w:szCs w:val="24"/>
        </w:rPr>
        <w:t xml:space="preserve"> natural gas liquification terminal</w:t>
      </w:r>
      <w:r w:rsidR="00F82A1C">
        <w:rPr>
          <w:rFonts w:ascii="Georgia" w:hAnsi="Georgia"/>
          <w:sz w:val="24"/>
          <w:szCs w:val="24"/>
        </w:rPr>
        <w:t xml:space="preserve"> located 1,329 feet from its export dock</w:t>
      </w:r>
      <w:r w:rsidRPr="00356DB7">
        <w:rPr>
          <w:rFonts w:ascii="Georgia" w:hAnsi="Georgia"/>
          <w:sz w:val="24"/>
          <w:szCs w:val="24"/>
        </w:rPr>
        <w:t xml:space="preserve"> should be exempt from oversight. Those </w:t>
      </w:r>
      <w:r w:rsidR="00F82A1C">
        <w:rPr>
          <w:rFonts w:ascii="Georgia" w:hAnsi="Georgia"/>
          <w:sz w:val="24"/>
          <w:szCs w:val="24"/>
        </w:rPr>
        <w:t xml:space="preserve">prior FERC </w:t>
      </w:r>
      <w:r w:rsidRPr="00356DB7">
        <w:rPr>
          <w:rFonts w:ascii="Georgia" w:hAnsi="Georgia"/>
          <w:sz w:val="24"/>
          <w:szCs w:val="24"/>
        </w:rPr>
        <w:t xml:space="preserve">decisions, however, </w:t>
      </w:r>
      <w:r w:rsidR="00A57514">
        <w:rPr>
          <w:rFonts w:ascii="Georgia" w:hAnsi="Georgia"/>
          <w:sz w:val="24"/>
          <w:szCs w:val="24"/>
        </w:rPr>
        <w:t>did not address a unique situation like Nopetro’s where</w:t>
      </w:r>
      <w:r w:rsidR="00195F52">
        <w:rPr>
          <w:rFonts w:ascii="Georgia" w:hAnsi="Georgia"/>
          <w:sz w:val="24"/>
          <w:szCs w:val="24"/>
        </w:rPr>
        <w:t xml:space="preserve"> a liquification terminal designed to export natural gas is located a short walk from the export dock. </w:t>
      </w:r>
      <w:r w:rsidRPr="00356DB7">
        <w:rPr>
          <w:rFonts w:ascii="Georgia" w:hAnsi="Georgia"/>
          <w:sz w:val="24"/>
          <w:szCs w:val="24"/>
        </w:rPr>
        <w:t xml:space="preserve">For example, </w:t>
      </w:r>
      <w:r w:rsidR="00195F52">
        <w:rPr>
          <w:rFonts w:ascii="Georgia" w:hAnsi="Georgia"/>
          <w:sz w:val="24"/>
          <w:szCs w:val="24"/>
        </w:rPr>
        <w:t xml:space="preserve">Nopetro </w:t>
      </w:r>
      <w:r w:rsidRPr="00356DB7">
        <w:rPr>
          <w:rFonts w:ascii="Georgia" w:hAnsi="Georgia"/>
          <w:sz w:val="24"/>
          <w:szCs w:val="24"/>
        </w:rPr>
        <w:t>cite</w:t>
      </w:r>
      <w:r w:rsidR="00195F52">
        <w:rPr>
          <w:rFonts w:ascii="Georgia" w:hAnsi="Georgia"/>
          <w:sz w:val="24"/>
          <w:szCs w:val="24"/>
        </w:rPr>
        <w:t>s</w:t>
      </w:r>
      <w:r w:rsidRPr="00356DB7">
        <w:rPr>
          <w:rFonts w:ascii="Georgia" w:hAnsi="Georgia"/>
          <w:sz w:val="24"/>
          <w:szCs w:val="24"/>
        </w:rPr>
        <w:t xml:space="preserve"> </w:t>
      </w:r>
      <w:r w:rsidRPr="00195F52">
        <w:rPr>
          <w:rFonts w:ascii="Georgia" w:hAnsi="Georgia"/>
          <w:i/>
          <w:iCs/>
          <w:sz w:val="24"/>
          <w:szCs w:val="24"/>
        </w:rPr>
        <w:t>Gulf Oil Limited Partnership</w:t>
      </w:r>
      <w:r w:rsidRPr="00356DB7">
        <w:rPr>
          <w:rFonts w:ascii="Georgia" w:hAnsi="Georgia"/>
          <w:sz w:val="24"/>
          <w:szCs w:val="24"/>
        </w:rPr>
        <w:t xml:space="preserve"> (148 FERC ¶ 61,029), in which the Commission stated</w:t>
      </w:r>
      <w:r w:rsidR="00195F52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that its “jurisdiction does not extend to deliveries of natural gas by truck, train, or</w:t>
      </w:r>
      <w:r w:rsidR="00B65174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barge.” But Gulf Oil concerned a company that was marketing the LNG only for</w:t>
      </w:r>
      <w:r w:rsidR="00B65174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domestic consumption and was not part of an affiliated LNG export</w:t>
      </w:r>
      <w:r w:rsidR="00B65174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 xml:space="preserve">operation. Petitioners also cite </w:t>
      </w:r>
      <w:r w:rsidRPr="00B65174">
        <w:rPr>
          <w:rFonts w:ascii="Georgia" w:hAnsi="Georgia"/>
          <w:i/>
          <w:iCs/>
          <w:sz w:val="24"/>
          <w:szCs w:val="24"/>
        </w:rPr>
        <w:t>Pivotal LNG, Inc.</w:t>
      </w:r>
      <w:r w:rsidRPr="00356DB7">
        <w:rPr>
          <w:rFonts w:ascii="Georgia" w:hAnsi="Georgia"/>
          <w:sz w:val="24"/>
          <w:szCs w:val="24"/>
        </w:rPr>
        <w:t xml:space="preserve"> (151 FERC ¶ 61,006), but that case</w:t>
      </w:r>
      <w:r w:rsidR="00B65174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 xml:space="preserve">exempted inland, landlocked LNG processing facilities that </w:t>
      </w:r>
      <w:r w:rsidR="00293C92">
        <w:rPr>
          <w:rFonts w:ascii="Georgia" w:hAnsi="Georgia"/>
          <w:sz w:val="24"/>
          <w:szCs w:val="24"/>
        </w:rPr>
        <w:t>were not 1,329 feet away from the export dock.</w:t>
      </w:r>
      <w:r w:rsidRPr="00356DB7">
        <w:rPr>
          <w:rFonts w:ascii="Georgia" w:hAnsi="Georgia"/>
          <w:sz w:val="24"/>
          <w:szCs w:val="24"/>
        </w:rPr>
        <w:t xml:space="preserve"> </w:t>
      </w:r>
      <w:r w:rsidR="00293C92">
        <w:rPr>
          <w:rFonts w:ascii="Georgia" w:hAnsi="Georgia"/>
          <w:sz w:val="24"/>
          <w:szCs w:val="24"/>
        </w:rPr>
        <w:t>Nopetro</w:t>
      </w:r>
      <w:r w:rsidRPr="00356DB7">
        <w:rPr>
          <w:rFonts w:ascii="Georgia" w:hAnsi="Georgia"/>
          <w:sz w:val="24"/>
          <w:szCs w:val="24"/>
        </w:rPr>
        <w:t xml:space="preserve"> cite</w:t>
      </w:r>
      <w:r w:rsidR="00293C92">
        <w:rPr>
          <w:rFonts w:ascii="Georgia" w:hAnsi="Georgia"/>
          <w:sz w:val="24"/>
          <w:szCs w:val="24"/>
        </w:rPr>
        <w:t>s</w:t>
      </w:r>
      <w:r w:rsidRPr="00356DB7">
        <w:rPr>
          <w:rFonts w:ascii="Georgia" w:hAnsi="Georgia"/>
          <w:sz w:val="24"/>
          <w:szCs w:val="24"/>
        </w:rPr>
        <w:t xml:space="preserve"> </w:t>
      </w:r>
      <w:r w:rsidRPr="00293C92">
        <w:rPr>
          <w:rFonts w:ascii="Georgia" w:hAnsi="Georgia"/>
          <w:i/>
          <w:iCs/>
          <w:sz w:val="24"/>
          <w:szCs w:val="24"/>
        </w:rPr>
        <w:t>Emera</w:t>
      </w:r>
      <w:r w:rsidR="00A12FD9">
        <w:rPr>
          <w:rFonts w:ascii="Georgia" w:hAnsi="Georgia"/>
          <w:i/>
          <w:iCs/>
          <w:sz w:val="24"/>
          <w:szCs w:val="24"/>
        </w:rPr>
        <w:t xml:space="preserve"> CNG LLC</w:t>
      </w:r>
      <w:r w:rsidRPr="00356DB7">
        <w:rPr>
          <w:rFonts w:ascii="Georgia" w:hAnsi="Georgia"/>
          <w:sz w:val="24"/>
          <w:szCs w:val="24"/>
        </w:rPr>
        <w:t xml:space="preserve"> (148 FERC</w:t>
      </w:r>
      <w:r w:rsidR="00A12FD9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¶ 61,219)</w:t>
      </w:r>
      <w:r w:rsidR="009F53AA">
        <w:rPr>
          <w:rFonts w:ascii="Georgia" w:hAnsi="Georgia"/>
          <w:sz w:val="24"/>
          <w:szCs w:val="24"/>
        </w:rPr>
        <w:t xml:space="preserve"> and </w:t>
      </w:r>
      <w:r w:rsidR="009F53AA" w:rsidRPr="00A31AB2">
        <w:rPr>
          <w:rFonts w:ascii="Georgia" w:hAnsi="Georgia"/>
          <w:i/>
          <w:iCs/>
          <w:sz w:val="24"/>
          <w:szCs w:val="24"/>
        </w:rPr>
        <w:t>Andalusian Energy, LLC</w:t>
      </w:r>
      <w:r w:rsidR="009F53AA" w:rsidRPr="009F53AA">
        <w:rPr>
          <w:rFonts w:ascii="Georgia" w:hAnsi="Georgia"/>
          <w:sz w:val="24"/>
          <w:szCs w:val="24"/>
        </w:rPr>
        <w:t xml:space="preserve"> (174 FERC ¶ 61,107)</w:t>
      </w:r>
      <w:r w:rsidR="009F53AA">
        <w:rPr>
          <w:rFonts w:ascii="Georgia" w:hAnsi="Georgia"/>
          <w:sz w:val="24"/>
          <w:szCs w:val="24"/>
        </w:rPr>
        <w:t>, both of</w:t>
      </w:r>
      <w:r w:rsidRPr="00356DB7">
        <w:rPr>
          <w:rFonts w:ascii="Georgia" w:hAnsi="Georgia"/>
          <w:sz w:val="24"/>
          <w:szCs w:val="24"/>
        </w:rPr>
        <w:t xml:space="preserve"> which involve a different product (CNG), so </w:t>
      </w:r>
      <w:r w:rsidR="009F53AA">
        <w:rPr>
          <w:rFonts w:ascii="Georgia" w:hAnsi="Georgia"/>
          <w:sz w:val="24"/>
          <w:szCs w:val="24"/>
        </w:rPr>
        <w:t>they are</w:t>
      </w:r>
      <w:r w:rsidRPr="00356DB7">
        <w:rPr>
          <w:rFonts w:ascii="Georgia" w:hAnsi="Georgia"/>
          <w:sz w:val="24"/>
          <w:szCs w:val="24"/>
        </w:rPr>
        <w:t xml:space="preserve"> not relevant here. Finally,</w:t>
      </w:r>
      <w:r w:rsidR="007C44C5">
        <w:rPr>
          <w:rFonts w:ascii="Georgia" w:hAnsi="Georgia"/>
          <w:sz w:val="24"/>
          <w:szCs w:val="24"/>
        </w:rPr>
        <w:t xml:space="preserve"> Nopetro</w:t>
      </w:r>
      <w:r w:rsidRPr="00356DB7">
        <w:rPr>
          <w:rFonts w:ascii="Georgia" w:hAnsi="Georgia"/>
          <w:sz w:val="24"/>
          <w:szCs w:val="24"/>
        </w:rPr>
        <w:t xml:space="preserve"> cite</w:t>
      </w:r>
      <w:r w:rsidR="007C44C5">
        <w:rPr>
          <w:rFonts w:ascii="Georgia" w:hAnsi="Georgia"/>
          <w:sz w:val="24"/>
          <w:szCs w:val="24"/>
        </w:rPr>
        <w:t>s</w:t>
      </w:r>
      <w:r w:rsidRPr="00356DB7">
        <w:rPr>
          <w:rFonts w:ascii="Georgia" w:hAnsi="Georgia"/>
          <w:sz w:val="24"/>
          <w:szCs w:val="24"/>
        </w:rPr>
        <w:t xml:space="preserve"> </w:t>
      </w:r>
      <w:r w:rsidRPr="007C44C5">
        <w:rPr>
          <w:rFonts w:ascii="Georgia" w:hAnsi="Georgia"/>
          <w:i/>
          <w:iCs/>
          <w:sz w:val="24"/>
          <w:szCs w:val="24"/>
        </w:rPr>
        <w:t>Shell U.S. Gas &amp; Power, LLC</w:t>
      </w:r>
      <w:r w:rsidRPr="00356DB7">
        <w:rPr>
          <w:rFonts w:ascii="Georgia" w:hAnsi="Georgia"/>
          <w:sz w:val="24"/>
          <w:szCs w:val="24"/>
        </w:rPr>
        <w:t xml:space="preserve"> (148 FERC ¶ 61,163). There, however, the</w:t>
      </w:r>
      <w:r w:rsidR="005F5D4D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Commission’s Order explicitly noted that “all the LNG leaving Geismar [Shell’s LNG</w:t>
      </w:r>
      <w:r w:rsidR="005F5D4D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facility] is delivered in its liquid state to the ultimate end users in the United States” [at</w:t>
      </w:r>
      <w:r w:rsidR="005F5D4D">
        <w:rPr>
          <w:rFonts w:ascii="Georgia" w:hAnsi="Georgia"/>
          <w:sz w:val="24"/>
          <w:szCs w:val="24"/>
        </w:rPr>
        <w:t xml:space="preserve"> </w:t>
      </w:r>
      <w:r w:rsidRPr="00356DB7">
        <w:rPr>
          <w:rFonts w:ascii="Georgia" w:hAnsi="Georgia"/>
          <w:sz w:val="24"/>
          <w:szCs w:val="24"/>
        </w:rPr>
        <w:t>47]</w:t>
      </w:r>
      <w:r w:rsidR="007B57A0">
        <w:rPr>
          <w:rFonts w:ascii="Georgia" w:hAnsi="Georgia"/>
          <w:sz w:val="24"/>
          <w:szCs w:val="24"/>
        </w:rPr>
        <w:t>.</w:t>
      </w:r>
      <w:r w:rsidRPr="00356DB7">
        <w:rPr>
          <w:rFonts w:ascii="Georgia" w:hAnsi="Georgia"/>
          <w:sz w:val="24"/>
          <w:szCs w:val="24"/>
        </w:rPr>
        <w:t xml:space="preserve"> Again, </w:t>
      </w:r>
      <w:r w:rsidRPr="005F5D4D">
        <w:rPr>
          <w:rFonts w:ascii="Georgia" w:hAnsi="Georgia"/>
          <w:i/>
          <w:iCs/>
          <w:sz w:val="24"/>
          <w:szCs w:val="24"/>
        </w:rPr>
        <w:t>Shell</w:t>
      </w:r>
      <w:r w:rsidRPr="00356DB7">
        <w:rPr>
          <w:rFonts w:ascii="Georgia" w:hAnsi="Georgia"/>
          <w:sz w:val="24"/>
          <w:szCs w:val="24"/>
        </w:rPr>
        <w:t xml:space="preserve"> was explicitly not part of an export operation.</w:t>
      </w:r>
    </w:p>
    <w:p w14:paraId="0E9E08DE" w14:textId="3B6B65C8" w:rsidR="00E7749D" w:rsidRDefault="00912F57" w:rsidP="00561D85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Moving LNG by truck 1,329 feet via shipping container, as Nopetro proposes, results in LNG</w:t>
      </w:r>
      <w:r w:rsidRPr="004F27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“</w:t>
      </w:r>
      <w:r w:rsidRPr="004F27D0">
        <w:rPr>
          <w:rFonts w:ascii="Georgia" w:hAnsi="Georgia"/>
          <w:sz w:val="24"/>
          <w:szCs w:val="24"/>
        </w:rPr>
        <w:t>directly</w:t>
      </w:r>
      <w:r>
        <w:rPr>
          <w:rFonts w:ascii="Georgia" w:hAnsi="Georgia"/>
          <w:sz w:val="24"/>
          <w:szCs w:val="24"/>
        </w:rPr>
        <w:t xml:space="preserve"> </w:t>
      </w:r>
      <w:r w:rsidRPr="004F27D0">
        <w:rPr>
          <w:rFonts w:ascii="Georgia" w:hAnsi="Georgia"/>
          <w:sz w:val="24"/>
          <w:szCs w:val="24"/>
        </w:rPr>
        <w:t>transferred to or from an ocean-going, bulk-carrier LNG tanker</w:t>
      </w:r>
      <w:r>
        <w:rPr>
          <w:rFonts w:ascii="Georgia" w:hAnsi="Georgia"/>
          <w:sz w:val="24"/>
          <w:szCs w:val="24"/>
        </w:rPr>
        <w:t>.”</w:t>
      </w:r>
      <w:r>
        <w:rPr>
          <w:rStyle w:val="FootnoteReference"/>
          <w:rFonts w:ascii="Georgia" w:hAnsi="Georgia"/>
          <w:sz w:val="24"/>
          <w:szCs w:val="24"/>
        </w:rPr>
        <w:footnoteReference w:id="14"/>
      </w:r>
    </w:p>
    <w:p w14:paraId="15CED082" w14:textId="3A21D242" w:rsidR="00A31AB2" w:rsidRDefault="00A31AB2">
      <w:pPr>
        <w:rPr>
          <w:rFonts w:ascii="Georgia" w:hAnsi="Georgia"/>
          <w:sz w:val="24"/>
          <w:szCs w:val="24"/>
        </w:rPr>
      </w:pPr>
    </w:p>
    <w:p w14:paraId="3E8C0F4F" w14:textId="2C592A9E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73C4B23B" w14:textId="5BF68289" w:rsidR="00A31AB2" w:rsidRDefault="00A31AB2">
      <w:pPr>
        <w:rPr>
          <w:rFonts w:ascii="Georgia" w:hAnsi="Georgia"/>
          <w:sz w:val="24"/>
          <w:szCs w:val="24"/>
        </w:rPr>
      </w:pPr>
    </w:p>
    <w:p w14:paraId="1AFA9A6A" w14:textId="3E99AB7C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285491C9" w14:textId="23B91158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0DDB30AB" w14:textId="1EF9F896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76C257B9" w14:textId="35B4C4C6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72EDB6D8" w14:textId="730B433D" w:rsidR="00A31AB2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121F7DB0" w14:textId="2E768BFC" w:rsidR="00A31AB2" w:rsidRPr="008112F0" w:rsidRDefault="00A31A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</w:p>
    <w:sectPr w:rsidR="00A31AB2" w:rsidRPr="008112F0" w:rsidSect="00B73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3B6" w14:textId="77777777" w:rsidR="00276132" w:rsidRDefault="00276132" w:rsidP="008E1D0B">
      <w:r>
        <w:separator/>
      </w:r>
    </w:p>
  </w:endnote>
  <w:endnote w:type="continuationSeparator" w:id="0">
    <w:p w14:paraId="37DEC376" w14:textId="77777777" w:rsidR="00276132" w:rsidRDefault="00276132" w:rsidP="008E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34FD" w14:textId="77777777" w:rsidR="00B73C7D" w:rsidRDefault="00B7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5420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55CF02" w14:textId="40C08F63" w:rsidR="00B73C7D" w:rsidRDefault="00B73C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CC5C2C" w14:textId="77777777" w:rsidR="00B73C7D" w:rsidRDefault="00B7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4A94" w14:textId="77777777" w:rsidR="00B73C7D" w:rsidRDefault="00B7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DFE2" w14:textId="77777777" w:rsidR="00276132" w:rsidRDefault="00276132" w:rsidP="008E1D0B">
      <w:r>
        <w:separator/>
      </w:r>
    </w:p>
  </w:footnote>
  <w:footnote w:type="continuationSeparator" w:id="0">
    <w:p w14:paraId="441102A9" w14:textId="77777777" w:rsidR="00276132" w:rsidRDefault="00276132" w:rsidP="008E1D0B">
      <w:r>
        <w:continuationSeparator/>
      </w:r>
    </w:p>
  </w:footnote>
  <w:footnote w:id="1">
    <w:p w14:paraId="384554A1" w14:textId="763A0BF0" w:rsidR="00363277" w:rsidRDefault="00363277" w:rsidP="003632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765B" w:rsidRPr="00A9385F">
        <w:rPr>
          <w:rFonts w:ascii="Georgia" w:hAnsi="Georgia"/>
        </w:rPr>
        <w:t>FE Docket No. 20-167-LNG, a</w:t>
      </w:r>
      <w:r w:rsidRPr="00A9385F">
        <w:rPr>
          <w:rFonts w:ascii="Georgia" w:hAnsi="Georgia"/>
        </w:rPr>
        <w:t>t page 3, www.energy.gov/sites/default/files/2021-03/ord4671.pdf</w:t>
      </w:r>
    </w:p>
  </w:footnote>
  <w:footnote w:id="2">
    <w:p w14:paraId="78420332" w14:textId="63DD988B" w:rsidR="00F66498" w:rsidRDefault="00F66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85F">
        <w:rPr>
          <w:rFonts w:ascii="Georgia" w:hAnsi="Georgia"/>
        </w:rPr>
        <w:t>www.citizen.org/about/annual-report</w:t>
      </w:r>
    </w:p>
  </w:footnote>
  <w:footnote w:id="3">
    <w:p w14:paraId="0ADCF52F" w14:textId="3F551650" w:rsidR="00435D40" w:rsidRDefault="00435D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717b(a).</w:t>
      </w:r>
    </w:p>
  </w:footnote>
  <w:footnote w:id="4">
    <w:p w14:paraId="754AB149" w14:textId="27600045" w:rsidR="00701F8F" w:rsidRDefault="00701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717a(11).</w:t>
      </w:r>
    </w:p>
  </w:footnote>
  <w:footnote w:id="5">
    <w:p w14:paraId="799B8007" w14:textId="75BCDDB7" w:rsidR="003E6701" w:rsidRDefault="003E6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717b(e)(1).</w:t>
      </w:r>
    </w:p>
  </w:footnote>
  <w:footnote w:id="6">
    <w:p w14:paraId="4AB67259" w14:textId="43ADB114" w:rsidR="00D44824" w:rsidRDefault="00D448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717f(c)(1)(A).</w:t>
      </w:r>
    </w:p>
  </w:footnote>
  <w:footnote w:id="7">
    <w:p w14:paraId="4A915B5F" w14:textId="77777777" w:rsidR="006C5CF3" w:rsidRDefault="006C5CF3" w:rsidP="006C5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 xml:space="preserve">Nopetro </w:t>
      </w:r>
      <w:r w:rsidRPr="007060D7">
        <w:rPr>
          <w:rFonts w:ascii="Georgia" w:hAnsi="Georgia"/>
          <w:i/>
          <w:iCs/>
        </w:rPr>
        <w:t>Petition</w:t>
      </w:r>
      <w:r w:rsidRPr="007060D7">
        <w:rPr>
          <w:rFonts w:ascii="Georgia" w:hAnsi="Georgia"/>
        </w:rPr>
        <w:t>, at page 3.</w:t>
      </w:r>
    </w:p>
  </w:footnote>
  <w:footnote w:id="8">
    <w:p w14:paraId="456B2427" w14:textId="77777777" w:rsidR="006C5CF3" w:rsidRDefault="006C5CF3" w:rsidP="006C5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Nopetro Application, FE Docket No. 20-167-LNG, at page 4, www.energy.gov/sites/prod/files/2021/01/f82/20-167-LNG.pdf</w:t>
      </w:r>
    </w:p>
  </w:footnote>
  <w:footnote w:id="9">
    <w:p w14:paraId="3A56C170" w14:textId="77777777" w:rsidR="006C5CF3" w:rsidRDefault="006C5CF3" w:rsidP="006C5C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 xml:space="preserve">Ryan Collins, “Tom Ward Sees an Opportunity in Shale His Old Company Spurned,” </w:t>
      </w:r>
      <w:r w:rsidRPr="007060D7">
        <w:rPr>
          <w:rFonts w:ascii="Georgia" w:hAnsi="Georgia"/>
          <w:i/>
          <w:iCs/>
        </w:rPr>
        <w:t>Bloomberg</w:t>
      </w:r>
      <w:r w:rsidRPr="007060D7">
        <w:rPr>
          <w:rFonts w:ascii="Georgia" w:hAnsi="Georgia"/>
        </w:rPr>
        <w:t>, April 26, 2017, www.bloomberg.com/news/articles/2017-04-26/tom-ward-sees-an-opportunity-in-shale-his-old-company-spurned</w:t>
      </w:r>
    </w:p>
  </w:footnote>
  <w:footnote w:id="10">
    <w:p w14:paraId="11837020" w14:textId="65920DFD" w:rsidR="000D7345" w:rsidRDefault="000D73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 xml:space="preserve">Nopetro </w:t>
      </w:r>
      <w:r w:rsidRPr="007060D7">
        <w:rPr>
          <w:rFonts w:ascii="Georgia" w:hAnsi="Georgia"/>
          <w:i/>
          <w:iCs/>
        </w:rPr>
        <w:t>Petition</w:t>
      </w:r>
      <w:r w:rsidRPr="007060D7">
        <w:rPr>
          <w:rFonts w:ascii="Georgia" w:hAnsi="Georgia"/>
        </w:rPr>
        <w:t>, at pages 3-5.</w:t>
      </w:r>
    </w:p>
  </w:footnote>
  <w:footnote w:id="11">
    <w:p w14:paraId="641FA9FE" w14:textId="0DCF6ADC" w:rsidR="008F687F" w:rsidRDefault="008F68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 xml:space="preserve">Nopetro </w:t>
      </w:r>
      <w:r w:rsidRPr="007060D7">
        <w:rPr>
          <w:rFonts w:ascii="Georgia" w:hAnsi="Georgia"/>
          <w:i/>
          <w:iCs/>
        </w:rPr>
        <w:t>Petition</w:t>
      </w:r>
      <w:r w:rsidRPr="007060D7">
        <w:rPr>
          <w:rFonts w:ascii="Georgia" w:hAnsi="Georgia"/>
        </w:rPr>
        <w:t>, at page 6.</w:t>
      </w:r>
    </w:p>
  </w:footnote>
  <w:footnote w:id="12">
    <w:p w14:paraId="3D7F80BA" w14:textId="77777777" w:rsidR="00213361" w:rsidRDefault="00213361" w:rsidP="00213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15 USC § 717b(a).</w:t>
      </w:r>
    </w:p>
  </w:footnote>
  <w:footnote w:id="13">
    <w:p w14:paraId="07057D21" w14:textId="4E65DAB6" w:rsidR="00036054" w:rsidRDefault="000360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</w:rPr>
        <w:t>FE Docket No. 20-167-LNG, at page 3, www.energy.gov/sites/default/files/2021-03/ord4671.pdf</w:t>
      </w:r>
    </w:p>
  </w:footnote>
  <w:footnote w:id="14">
    <w:p w14:paraId="0B21D50C" w14:textId="77777777" w:rsidR="00912F57" w:rsidRDefault="00912F57" w:rsidP="00912F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60D7">
        <w:rPr>
          <w:rFonts w:ascii="Georgia" w:hAnsi="Georgia"/>
          <w:i/>
          <w:iCs/>
        </w:rPr>
        <w:t>Pivotal</w:t>
      </w:r>
      <w:r w:rsidRPr="007060D7">
        <w:rPr>
          <w:rFonts w:ascii="Georgia" w:hAnsi="Georgia"/>
        </w:rPr>
        <w:t>, 151 FERC ¶ 61,006 at P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247C" w14:textId="77777777" w:rsidR="00B73C7D" w:rsidRDefault="00B7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5EB1" w14:textId="1FDBBFC7" w:rsidR="00574E43" w:rsidRPr="00574E43" w:rsidRDefault="00574E43" w:rsidP="00574E43">
    <w:pPr>
      <w:pStyle w:val="Header"/>
      <w:jc w:val="center"/>
      <w:rPr>
        <w:rFonts w:ascii="Georgia" w:hAnsi="Georgia"/>
        <w:i/>
        <w:iCs/>
      </w:rPr>
    </w:pPr>
    <w:r w:rsidRPr="00574E43">
      <w:rPr>
        <w:rFonts w:ascii="Georgia" w:hAnsi="Georgia"/>
        <w:i/>
        <w:iCs/>
      </w:rPr>
      <w:t>Public Citizen Protest • Docket No. CP21-179 • May 24, 2021</w:t>
    </w:r>
  </w:p>
  <w:p w14:paraId="651259C3" w14:textId="77777777" w:rsidR="00B73C7D" w:rsidRDefault="00B7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15B5" w14:textId="77777777" w:rsidR="00B73C7D" w:rsidRDefault="00B73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15"/>
    <w:rsid w:val="000240DF"/>
    <w:rsid w:val="00036054"/>
    <w:rsid w:val="0005074C"/>
    <w:rsid w:val="00050EED"/>
    <w:rsid w:val="0005729F"/>
    <w:rsid w:val="00067157"/>
    <w:rsid w:val="00074F62"/>
    <w:rsid w:val="000A68F3"/>
    <w:rsid w:val="000B6B15"/>
    <w:rsid w:val="000C02E3"/>
    <w:rsid w:val="000D2A5D"/>
    <w:rsid w:val="000D66D3"/>
    <w:rsid w:val="000D7345"/>
    <w:rsid w:val="000E07CE"/>
    <w:rsid w:val="000E15EC"/>
    <w:rsid w:val="000E52B6"/>
    <w:rsid w:val="000F15EA"/>
    <w:rsid w:val="00125E8B"/>
    <w:rsid w:val="00132DD2"/>
    <w:rsid w:val="001406C6"/>
    <w:rsid w:val="00140F85"/>
    <w:rsid w:val="00143768"/>
    <w:rsid w:val="00145F07"/>
    <w:rsid w:val="00146C0F"/>
    <w:rsid w:val="001629F7"/>
    <w:rsid w:val="001815AF"/>
    <w:rsid w:val="001874DE"/>
    <w:rsid w:val="001927F1"/>
    <w:rsid w:val="00195F52"/>
    <w:rsid w:val="001970C2"/>
    <w:rsid w:val="001B0AF0"/>
    <w:rsid w:val="001B4EDB"/>
    <w:rsid w:val="001D63DC"/>
    <w:rsid w:val="001D6A54"/>
    <w:rsid w:val="001D6A8F"/>
    <w:rsid w:val="001D6C18"/>
    <w:rsid w:val="001E01AF"/>
    <w:rsid w:val="001E68F3"/>
    <w:rsid w:val="00213361"/>
    <w:rsid w:val="002324E9"/>
    <w:rsid w:val="00235AC6"/>
    <w:rsid w:val="00263A3A"/>
    <w:rsid w:val="00267016"/>
    <w:rsid w:val="0027304B"/>
    <w:rsid w:val="00275459"/>
    <w:rsid w:val="00276132"/>
    <w:rsid w:val="002860A2"/>
    <w:rsid w:val="0029389B"/>
    <w:rsid w:val="00293C92"/>
    <w:rsid w:val="0029501B"/>
    <w:rsid w:val="002A68D9"/>
    <w:rsid w:val="002C485E"/>
    <w:rsid w:val="002C58CB"/>
    <w:rsid w:val="002D2D6F"/>
    <w:rsid w:val="002D70C1"/>
    <w:rsid w:val="002F1D73"/>
    <w:rsid w:val="00303520"/>
    <w:rsid w:val="00324849"/>
    <w:rsid w:val="003405C1"/>
    <w:rsid w:val="0035535A"/>
    <w:rsid w:val="00356DB7"/>
    <w:rsid w:val="00363277"/>
    <w:rsid w:val="0037636E"/>
    <w:rsid w:val="00382DC9"/>
    <w:rsid w:val="00397A67"/>
    <w:rsid w:val="003A701A"/>
    <w:rsid w:val="003B5F32"/>
    <w:rsid w:val="003C734C"/>
    <w:rsid w:val="003D70CB"/>
    <w:rsid w:val="003E6701"/>
    <w:rsid w:val="00400E1B"/>
    <w:rsid w:val="00413042"/>
    <w:rsid w:val="00435D40"/>
    <w:rsid w:val="00443AD2"/>
    <w:rsid w:val="00455529"/>
    <w:rsid w:val="004576F7"/>
    <w:rsid w:val="00460ECE"/>
    <w:rsid w:val="00465240"/>
    <w:rsid w:val="00473679"/>
    <w:rsid w:val="004742CF"/>
    <w:rsid w:val="0048330B"/>
    <w:rsid w:val="00486EB1"/>
    <w:rsid w:val="00492E66"/>
    <w:rsid w:val="004A0350"/>
    <w:rsid w:val="004A2181"/>
    <w:rsid w:val="004A59CB"/>
    <w:rsid w:val="004B1802"/>
    <w:rsid w:val="004C0CF6"/>
    <w:rsid w:val="004D1F2D"/>
    <w:rsid w:val="004F22CB"/>
    <w:rsid w:val="004F27D0"/>
    <w:rsid w:val="005068AA"/>
    <w:rsid w:val="00512E38"/>
    <w:rsid w:val="00521F35"/>
    <w:rsid w:val="00522C05"/>
    <w:rsid w:val="005309E3"/>
    <w:rsid w:val="00542A02"/>
    <w:rsid w:val="00544A24"/>
    <w:rsid w:val="0055366D"/>
    <w:rsid w:val="00553CA6"/>
    <w:rsid w:val="00561D85"/>
    <w:rsid w:val="00574E43"/>
    <w:rsid w:val="005B7D26"/>
    <w:rsid w:val="005D5766"/>
    <w:rsid w:val="005F5D4D"/>
    <w:rsid w:val="0060526D"/>
    <w:rsid w:val="006548B8"/>
    <w:rsid w:val="00662EDA"/>
    <w:rsid w:val="00665669"/>
    <w:rsid w:val="00690D60"/>
    <w:rsid w:val="006A30AD"/>
    <w:rsid w:val="006C5CF3"/>
    <w:rsid w:val="006C7A97"/>
    <w:rsid w:val="006E3AB9"/>
    <w:rsid w:val="006F7357"/>
    <w:rsid w:val="00701F8F"/>
    <w:rsid w:val="007060D7"/>
    <w:rsid w:val="00706DB5"/>
    <w:rsid w:val="007163C5"/>
    <w:rsid w:val="00752FCF"/>
    <w:rsid w:val="00754663"/>
    <w:rsid w:val="00774234"/>
    <w:rsid w:val="00775F84"/>
    <w:rsid w:val="00783A5F"/>
    <w:rsid w:val="00785CA0"/>
    <w:rsid w:val="007933C1"/>
    <w:rsid w:val="007A4C79"/>
    <w:rsid w:val="007B57A0"/>
    <w:rsid w:val="007B67EC"/>
    <w:rsid w:val="007B765B"/>
    <w:rsid w:val="007C44C5"/>
    <w:rsid w:val="007C5002"/>
    <w:rsid w:val="007F2DA9"/>
    <w:rsid w:val="007F7637"/>
    <w:rsid w:val="008112F0"/>
    <w:rsid w:val="00813302"/>
    <w:rsid w:val="0081333C"/>
    <w:rsid w:val="00815600"/>
    <w:rsid w:val="00827875"/>
    <w:rsid w:val="00851212"/>
    <w:rsid w:val="00861445"/>
    <w:rsid w:val="008703BD"/>
    <w:rsid w:val="00882765"/>
    <w:rsid w:val="008943F3"/>
    <w:rsid w:val="008C5B88"/>
    <w:rsid w:val="008E1D0B"/>
    <w:rsid w:val="008F687F"/>
    <w:rsid w:val="00912F57"/>
    <w:rsid w:val="009221AD"/>
    <w:rsid w:val="00955DFD"/>
    <w:rsid w:val="009572EB"/>
    <w:rsid w:val="009822A2"/>
    <w:rsid w:val="009831ED"/>
    <w:rsid w:val="00985317"/>
    <w:rsid w:val="00994E7E"/>
    <w:rsid w:val="009A40C0"/>
    <w:rsid w:val="009C0BF2"/>
    <w:rsid w:val="009C2844"/>
    <w:rsid w:val="009C5E0E"/>
    <w:rsid w:val="009F53AA"/>
    <w:rsid w:val="00A06122"/>
    <w:rsid w:val="00A12FD9"/>
    <w:rsid w:val="00A24477"/>
    <w:rsid w:val="00A31AB2"/>
    <w:rsid w:val="00A4429D"/>
    <w:rsid w:val="00A45131"/>
    <w:rsid w:val="00A53B8A"/>
    <w:rsid w:val="00A551AE"/>
    <w:rsid w:val="00A57514"/>
    <w:rsid w:val="00A7323F"/>
    <w:rsid w:val="00A858AA"/>
    <w:rsid w:val="00A87FE7"/>
    <w:rsid w:val="00A9385F"/>
    <w:rsid w:val="00AA329B"/>
    <w:rsid w:val="00AB4B5C"/>
    <w:rsid w:val="00AF157B"/>
    <w:rsid w:val="00AF2BC8"/>
    <w:rsid w:val="00AF3F38"/>
    <w:rsid w:val="00B01A11"/>
    <w:rsid w:val="00B37C27"/>
    <w:rsid w:val="00B476B4"/>
    <w:rsid w:val="00B62091"/>
    <w:rsid w:val="00B65174"/>
    <w:rsid w:val="00B71CC6"/>
    <w:rsid w:val="00B72FCD"/>
    <w:rsid w:val="00B73C7D"/>
    <w:rsid w:val="00B76D39"/>
    <w:rsid w:val="00B8584B"/>
    <w:rsid w:val="00BA3086"/>
    <w:rsid w:val="00BB4A59"/>
    <w:rsid w:val="00BC7BEB"/>
    <w:rsid w:val="00BD0D16"/>
    <w:rsid w:val="00C1025E"/>
    <w:rsid w:val="00C14E7A"/>
    <w:rsid w:val="00C1571E"/>
    <w:rsid w:val="00C42C64"/>
    <w:rsid w:val="00C46637"/>
    <w:rsid w:val="00C70E07"/>
    <w:rsid w:val="00C841E3"/>
    <w:rsid w:val="00C9611B"/>
    <w:rsid w:val="00CC518F"/>
    <w:rsid w:val="00CD6757"/>
    <w:rsid w:val="00CE62C6"/>
    <w:rsid w:val="00CF0F4F"/>
    <w:rsid w:val="00D109B8"/>
    <w:rsid w:val="00D2408C"/>
    <w:rsid w:val="00D44824"/>
    <w:rsid w:val="00D52092"/>
    <w:rsid w:val="00D538F5"/>
    <w:rsid w:val="00D60BB3"/>
    <w:rsid w:val="00D6253D"/>
    <w:rsid w:val="00D83EA4"/>
    <w:rsid w:val="00DD2F14"/>
    <w:rsid w:val="00DE4A23"/>
    <w:rsid w:val="00DF2C12"/>
    <w:rsid w:val="00DF541C"/>
    <w:rsid w:val="00DF7740"/>
    <w:rsid w:val="00E22F01"/>
    <w:rsid w:val="00E2357E"/>
    <w:rsid w:val="00E35A5E"/>
    <w:rsid w:val="00E7749D"/>
    <w:rsid w:val="00EA1B9B"/>
    <w:rsid w:val="00EB198E"/>
    <w:rsid w:val="00EC28BB"/>
    <w:rsid w:val="00ED314F"/>
    <w:rsid w:val="00ED43AF"/>
    <w:rsid w:val="00ED5913"/>
    <w:rsid w:val="00EE4DCA"/>
    <w:rsid w:val="00EF28EA"/>
    <w:rsid w:val="00EF363E"/>
    <w:rsid w:val="00EF47D0"/>
    <w:rsid w:val="00F00CFD"/>
    <w:rsid w:val="00F1345C"/>
    <w:rsid w:val="00F2170B"/>
    <w:rsid w:val="00F22DF2"/>
    <w:rsid w:val="00F2477B"/>
    <w:rsid w:val="00F425C0"/>
    <w:rsid w:val="00F50431"/>
    <w:rsid w:val="00F62819"/>
    <w:rsid w:val="00F66498"/>
    <w:rsid w:val="00F7130D"/>
    <w:rsid w:val="00F82A1C"/>
    <w:rsid w:val="00F920BD"/>
    <w:rsid w:val="00F96862"/>
    <w:rsid w:val="00FA06FF"/>
    <w:rsid w:val="00FA743E"/>
    <w:rsid w:val="00FD10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630F"/>
  <w15:chartTrackingRefBased/>
  <w15:docId w15:val="{B22E2AD2-7FD0-47CC-85BC-E0A26183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8E1D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4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6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7D"/>
  </w:style>
  <w:style w:type="paragraph" w:styleId="Footer">
    <w:name w:val="footer"/>
    <w:basedOn w:val="Normal"/>
    <w:link w:val="FooterChar"/>
    <w:uiPriority w:val="99"/>
    <w:unhideWhenUsed/>
    <w:rsid w:val="00B73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D19E-66D5-429B-BFE6-F0A729A9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235</cp:revision>
  <dcterms:created xsi:type="dcterms:W3CDTF">2021-05-21T19:28:00Z</dcterms:created>
  <dcterms:modified xsi:type="dcterms:W3CDTF">2021-05-24T10:01:00Z</dcterms:modified>
</cp:coreProperties>
</file>