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7110" w14:textId="66F20ECE" w:rsidR="006443BB" w:rsidRPr="0013195B" w:rsidRDefault="0013195B" w:rsidP="0013195B">
      <w:pPr>
        <w:jc w:val="center"/>
        <w:rPr>
          <w:rFonts w:ascii="Georgia" w:hAnsi="Georgia"/>
          <w:sz w:val="24"/>
          <w:szCs w:val="24"/>
        </w:rPr>
      </w:pPr>
      <w:r w:rsidRPr="0013195B">
        <w:rPr>
          <w:rFonts w:ascii="Georgia" w:hAnsi="Georgia"/>
          <w:sz w:val="24"/>
          <w:szCs w:val="24"/>
        </w:rPr>
        <w:t>UNITED STATES OF AMERICA</w:t>
      </w:r>
    </w:p>
    <w:p w14:paraId="6F2ED411" w14:textId="37CFE776" w:rsidR="0013195B" w:rsidRPr="0013195B" w:rsidRDefault="0013195B" w:rsidP="0013195B">
      <w:pPr>
        <w:jc w:val="center"/>
        <w:rPr>
          <w:rFonts w:ascii="Georgia" w:hAnsi="Georgia"/>
          <w:sz w:val="24"/>
          <w:szCs w:val="24"/>
        </w:rPr>
      </w:pPr>
      <w:r w:rsidRPr="0013195B">
        <w:rPr>
          <w:rFonts w:ascii="Georgia" w:hAnsi="Georgia"/>
          <w:sz w:val="24"/>
          <w:szCs w:val="24"/>
        </w:rPr>
        <w:t>BEFORE THE</w:t>
      </w:r>
    </w:p>
    <w:p w14:paraId="3DEF592F" w14:textId="0D5A61F5" w:rsidR="0013195B" w:rsidRPr="0013195B" w:rsidRDefault="0013195B" w:rsidP="0013195B">
      <w:pPr>
        <w:jc w:val="center"/>
        <w:rPr>
          <w:rFonts w:ascii="Georgia" w:hAnsi="Georgia"/>
          <w:sz w:val="24"/>
          <w:szCs w:val="24"/>
        </w:rPr>
      </w:pPr>
      <w:r w:rsidRPr="0013195B">
        <w:rPr>
          <w:rFonts w:ascii="Georgia" w:hAnsi="Georgia"/>
          <w:sz w:val="24"/>
          <w:szCs w:val="24"/>
        </w:rPr>
        <w:t>FEDERAL ENERGY REGULATORY COMMISSION</w:t>
      </w:r>
    </w:p>
    <w:p w14:paraId="5F6CA71A" w14:textId="66538C00" w:rsidR="0013195B" w:rsidRPr="0013195B" w:rsidRDefault="0013195B">
      <w:pPr>
        <w:rPr>
          <w:rFonts w:ascii="Georgia" w:hAnsi="Georgia"/>
          <w:sz w:val="24"/>
          <w:szCs w:val="24"/>
        </w:rPr>
      </w:pPr>
    </w:p>
    <w:p w14:paraId="2E2EC9FF" w14:textId="58AA7B14" w:rsidR="0013195B" w:rsidRPr="0013195B" w:rsidRDefault="0013195B">
      <w:pPr>
        <w:rPr>
          <w:rFonts w:ascii="Georgia" w:hAnsi="Georgia"/>
          <w:sz w:val="24"/>
          <w:szCs w:val="24"/>
        </w:rPr>
      </w:pPr>
      <w:r w:rsidRPr="0013195B">
        <w:rPr>
          <w:rFonts w:ascii="Georgia" w:hAnsi="Georgia"/>
          <w:sz w:val="24"/>
          <w:szCs w:val="24"/>
        </w:rPr>
        <w:t>National Grid LNG</w:t>
      </w:r>
      <w:r w:rsidRPr="0013195B">
        <w:rPr>
          <w:rFonts w:ascii="Georgia" w:hAnsi="Georgia"/>
          <w:sz w:val="24"/>
          <w:szCs w:val="24"/>
        </w:rPr>
        <w:tab/>
      </w:r>
      <w:r w:rsidRPr="0013195B">
        <w:rPr>
          <w:rFonts w:ascii="Georgia" w:hAnsi="Georgia"/>
          <w:sz w:val="24"/>
          <w:szCs w:val="24"/>
        </w:rPr>
        <w:tab/>
      </w:r>
      <w:r w:rsidRPr="0013195B">
        <w:rPr>
          <w:rFonts w:ascii="Georgia" w:hAnsi="Georgia"/>
          <w:sz w:val="24"/>
          <w:szCs w:val="24"/>
        </w:rPr>
        <w:tab/>
      </w:r>
      <w:r w:rsidRPr="0013195B">
        <w:rPr>
          <w:rFonts w:ascii="Georgia" w:hAnsi="Georgia"/>
          <w:sz w:val="24"/>
          <w:szCs w:val="24"/>
        </w:rPr>
        <w:tab/>
      </w:r>
      <w:r w:rsidRPr="0013195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3195B">
        <w:rPr>
          <w:rFonts w:ascii="Georgia" w:hAnsi="Georgia"/>
          <w:sz w:val="24"/>
          <w:szCs w:val="24"/>
        </w:rPr>
        <w:t xml:space="preserve">Docket No. </w:t>
      </w:r>
      <w:r w:rsidRPr="0013195B">
        <w:rPr>
          <w:rFonts w:ascii="Georgia" w:hAnsi="Georgia"/>
          <w:sz w:val="24"/>
          <w:szCs w:val="24"/>
        </w:rPr>
        <w:t>CP16-121-001</w:t>
      </w:r>
    </w:p>
    <w:p w14:paraId="1987188E" w14:textId="6EC5CAE3" w:rsidR="0013195B" w:rsidRPr="0013195B" w:rsidRDefault="0013195B">
      <w:pPr>
        <w:rPr>
          <w:rFonts w:ascii="Georgia" w:hAnsi="Georgia"/>
          <w:sz w:val="24"/>
          <w:szCs w:val="24"/>
        </w:rPr>
      </w:pPr>
    </w:p>
    <w:p w14:paraId="3505555C" w14:textId="06D26462" w:rsidR="0013195B" w:rsidRPr="00626700" w:rsidRDefault="0013195B" w:rsidP="0013195B">
      <w:pPr>
        <w:jc w:val="center"/>
        <w:rPr>
          <w:rFonts w:ascii="Georgia" w:hAnsi="Georgia"/>
          <w:b/>
          <w:bCs/>
          <w:sz w:val="24"/>
          <w:szCs w:val="24"/>
        </w:rPr>
      </w:pPr>
      <w:r w:rsidRPr="00626700">
        <w:rPr>
          <w:rFonts w:ascii="Georgia" w:hAnsi="Georgia"/>
          <w:b/>
          <w:bCs/>
          <w:sz w:val="24"/>
          <w:szCs w:val="24"/>
        </w:rPr>
        <w:t>Protest of Public Citizen, Inc.</w:t>
      </w:r>
    </w:p>
    <w:p w14:paraId="5061A5EB" w14:textId="4D27098D" w:rsidR="0013195B" w:rsidRPr="0013195B" w:rsidRDefault="0013195B">
      <w:pPr>
        <w:rPr>
          <w:rFonts w:ascii="Georgia" w:hAnsi="Georgia"/>
          <w:sz w:val="24"/>
          <w:szCs w:val="24"/>
        </w:rPr>
      </w:pPr>
    </w:p>
    <w:p w14:paraId="05FA97FE" w14:textId="77777777" w:rsidR="000E5ADA" w:rsidRDefault="0013195B" w:rsidP="0020146A">
      <w:pPr>
        <w:spacing w:line="360" w:lineRule="auto"/>
        <w:rPr>
          <w:rFonts w:ascii="Georgia" w:hAnsi="Georgia"/>
          <w:sz w:val="24"/>
          <w:szCs w:val="24"/>
        </w:rPr>
      </w:pPr>
      <w:r w:rsidRPr="0013195B">
        <w:rPr>
          <w:rFonts w:ascii="Georgia" w:hAnsi="Georgia"/>
          <w:sz w:val="24"/>
          <w:szCs w:val="24"/>
        </w:rPr>
        <w:tab/>
        <w:t>On April 15, National Grid LNG filed an a</w:t>
      </w:r>
      <w:r w:rsidRPr="0013195B">
        <w:rPr>
          <w:rFonts w:ascii="Georgia" w:hAnsi="Georgia"/>
          <w:sz w:val="24"/>
          <w:szCs w:val="24"/>
        </w:rPr>
        <w:t>pp</w:t>
      </w:r>
      <w:r w:rsidRPr="0013195B">
        <w:rPr>
          <w:rFonts w:ascii="Georgia" w:hAnsi="Georgia"/>
          <w:sz w:val="24"/>
          <w:szCs w:val="24"/>
        </w:rPr>
        <w:t xml:space="preserve">lication </w:t>
      </w:r>
      <w:r w:rsidR="00E84568">
        <w:rPr>
          <w:rFonts w:ascii="Georgia" w:hAnsi="Georgia"/>
          <w:sz w:val="24"/>
          <w:szCs w:val="24"/>
        </w:rPr>
        <w:t xml:space="preserve">to </w:t>
      </w:r>
      <w:r w:rsidRPr="0013195B">
        <w:rPr>
          <w:rFonts w:ascii="Georgia" w:hAnsi="Georgia"/>
          <w:sz w:val="24"/>
          <w:szCs w:val="24"/>
        </w:rPr>
        <w:t>a</w:t>
      </w:r>
      <w:r w:rsidRPr="0013195B">
        <w:rPr>
          <w:rFonts w:ascii="Georgia" w:hAnsi="Georgia"/>
          <w:sz w:val="24"/>
          <w:szCs w:val="24"/>
        </w:rPr>
        <w:t xml:space="preserve">mend </w:t>
      </w:r>
      <w:r w:rsidRPr="0013195B">
        <w:rPr>
          <w:rFonts w:ascii="Georgia" w:hAnsi="Georgia"/>
          <w:sz w:val="24"/>
          <w:szCs w:val="24"/>
        </w:rPr>
        <w:t>its c</w:t>
      </w:r>
      <w:r w:rsidRPr="0013195B">
        <w:rPr>
          <w:rFonts w:ascii="Georgia" w:hAnsi="Georgia"/>
          <w:sz w:val="24"/>
          <w:szCs w:val="24"/>
        </w:rPr>
        <w:t xml:space="preserve">ertificate of </w:t>
      </w:r>
      <w:r w:rsidRPr="0013195B">
        <w:rPr>
          <w:rFonts w:ascii="Georgia" w:hAnsi="Georgia"/>
          <w:sz w:val="24"/>
          <w:szCs w:val="24"/>
        </w:rPr>
        <w:t>p</w:t>
      </w:r>
      <w:r w:rsidRPr="0013195B">
        <w:rPr>
          <w:rFonts w:ascii="Georgia" w:hAnsi="Georgia"/>
          <w:sz w:val="24"/>
          <w:szCs w:val="24"/>
        </w:rPr>
        <w:t xml:space="preserve">ublic </w:t>
      </w:r>
      <w:r w:rsidRPr="0013195B">
        <w:rPr>
          <w:rFonts w:ascii="Georgia" w:hAnsi="Georgia"/>
          <w:sz w:val="24"/>
          <w:szCs w:val="24"/>
        </w:rPr>
        <w:t>c</w:t>
      </w:r>
      <w:r w:rsidRPr="0013195B">
        <w:rPr>
          <w:rFonts w:ascii="Georgia" w:hAnsi="Georgia"/>
          <w:sz w:val="24"/>
          <w:szCs w:val="24"/>
        </w:rPr>
        <w:t xml:space="preserve">onvenience and </w:t>
      </w:r>
      <w:r w:rsidRPr="0013195B">
        <w:rPr>
          <w:rFonts w:ascii="Georgia" w:hAnsi="Georgia"/>
          <w:sz w:val="24"/>
          <w:szCs w:val="24"/>
        </w:rPr>
        <w:t>n</w:t>
      </w:r>
      <w:r w:rsidRPr="0013195B">
        <w:rPr>
          <w:rFonts w:ascii="Georgia" w:hAnsi="Georgia"/>
          <w:sz w:val="24"/>
          <w:szCs w:val="24"/>
        </w:rPr>
        <w:t>ecessity</w:t>
      </w:r>
      <w:r w:rsidR="003166EB">
        <w:rPr>
          <w:rFonts w:ascii="Georgia" w:hAnsi="Georgia"/>
          <w:sz w:val="24"/>
          <w:szCs w:val="24"/>
        </w:rPr>
        <w:t xml:space="preserve"> </w:t>
      </w:r>
      <w:r w:rsidR="00484038">
        <w:rPr>
          <w:rFonts w:ascii="Georgia" w:hAnsi="Georgia"/>
          <w:sz w:val="24"/>
          <w:szCs w:val="24"/>
        </w:rPr>
        <w:t>“</w:t>
      </w:r>
      <w:r w:rsidR="00484038" w:rsidRPr="00484038">
        <w:rPr>
          <w:rFonts w:ascii="Georgia" w:hAnsi="Georgia"/>
          <w:sz w:val="24"/>
          <w:szCs w:val="24"/>
        </w:rPr>
        <w:t>to reflect substantial increases in the estimated cost of construction and</w:t>
      </w:r>
      <w:r w:rsidR="00384278">
        <w:rPr>
          <w:rFonts w:ascii="Georgia" w:hAnsi="Georgia"/>
          <w:sz w:val="24"/>
          <w:szCs w:val="24"/>
        </w:rPr>
        <w:t>”</w:t>
      </w:r>
      <w:r w:rsidR="00484038" w:rsidRPr="00484038">
        <w:rPr>
          <w:rFonts w:ascii="Georgia" w:hAnsi="Georgia"/>
          <w:sz w:val="24"/>
          <w:szCs w:val="24"/>
        </w:rPr>
        <w:t xml:space="preserve"> other </w:t>
      </w:r>
      <w:r w:rsidR="00384278">
        <w:rPr>
          <w:rFonts w:ascii="Georgia" w:hAnsi="Georgia"/>
          <w:sz w:val="24"/>
          <w:szCs w:val="24"/>
        </w:rPr>
        <w:t>“</w:t>
      </w:r>
      <w:r w:rsidR="00484038" w:rsidRPr="00484038">
        <w:rPr>
          <w:rFonts w:ascii="Georgia" w:hAnsi="Georgia"/>
          <w:sz w:val="24"/>
          <w:szCs w:val="24"/>
        </w:rPr>
        <w:t>increased costs</w:t>
      </w:r>
      <w:r w:rsidR="00384278">
        <w:rPr>
          <w:rFonts w:ascii="Georgia" w:hAnsi="Georgia"/>
          <w:sz w:val="24"/>
          <w:szCs w:val="24"/>
        </w:rPr>
        <w:t>”</w:t>
      </w:r>
      <w:r w:rsidR="00484038" w:rsidRPr="00484038">
        <w:rPr>
          <w:rFonts w:ascii="Georgia" w:hAnsi="Georgia"/>
          <w:sz w:val="24"/>
          <w:szCs w:val="24"/>
        </w:rPr>
        <w:t xml:space="preserve"> for its Fields Point Liquefaction facility in Providence, Rhode Island.</w:t>
      </w:r>
      <w:r w:rsidR="00384278">
        <w:rPr>
          <w:rStyle w:val="FootnoteReference"/>
          <w:rFonts w:ascii="Georgia" w:hAnsi="Georgia"/>
          <w:sz w:val="24"/>
          <w:szCs w:val="24"/>
        </w:rPr>
        <w:footnoteReference w:id="1"/>
      </w:r>
      <w:r w:rsidR="00A13A17">
        <w:rPr>
          <w:rFonts w:ascii="Georgia" w:hAnsi="Georgia"/>
          <w:sz w:val="24"/>
          <w:szCs w:val="24"/>
        </w:rPr>
        <w:t xml:space="preserve"> </w:t>
      </w:r>
      <w:r w:rsidR="004923F7">
        <w:rPr>
          <w:rFonts w:ascii="Georgia" w:hAnsi="Georgia"/>
          <w:sz w:val="24"/>
          <w:szCs w:val="24"/>
        </w:rPr>
        <w:t xml:space="preserve">FERC did not notice this filing </w:t>
      </w:r>
      <w:r w:rsidR="000E5ADA">
        <w:rPr>
          <w:rFonts w:ascii="Georgia" w:hAnsi="Georgia"/>
          <w:sz w:val="24"/>
          <w:szCs w:val="24"/>
        </w:rPr>
        <w:t xml:space="preserve">in the federal register </w:t>
      </w:r>
      <w:r w:rsidR="004923F7">
        <w:rPr>
          <w:rFonts w:ascii="Georgia" w:hAnsi="Georgia"/>
          <w:sz w:val="24"/>
          <w:szCs w:val="24"/>
        </w:rPr>
        <w:t>until April 26</w:t>
      </w:r>
      <w:r w:rsidR="000E5ADA">
        <w:rPr>
          <w:rFonts w:ascii="Georgia" w:hAnsi="Georgia"/>
          <w:sz w:val="24"/>
          <w:szCs w:val="24"/>
        </w:rPr>
        <w:t xml:space="preserve">. </w:t>
      </w:r>
    </w:p>
    <w:p w14:paraId="66477628" w14:textId="7FBEC0F9" w:rsidR="00F24105" w:rsidRDefault="00980C38" w:rsidP="000E5AD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Exhibit </w:t>
      </w:r>
      <w:r w:rsidR="004D127B">
        <w:rPr>
          <w:rFonts w:ascii="Georgia" w:hAnsi="Georgia"/>
          <w:sz w:val="24"/>
          <w:szCs w:val="24"/>
        </w:rPr>
        <w:t xml:space="preserve">K of the Application shows a 117% increase in construction costs, from </w:t>
      </w:r>
      <w:r w:rsidR="009251F1">
        <w:rPr>
          <w:rFonts w:ascii="Georgia" w:hAnsi="Georgia"/>
          <w:sz w:val="24"/>
          <w:szCs w:val="24"/>
        </w:rPr>
        <w:t xml:space="preserve">$180.3 million to a staggering $390.8 million. </w:t>
      </w:r>
      <w:r w:rsidR="00256B8F">
        <w:rPr>
          <w:rFonts w:ascii="Georgia" w:hAnsi="Georgia"/>
          <w:sz w:val="24"/>
          <w:szCs w:val="24"/>
        </w:rPr>
        <w:t>Exhibit N</w:t>
      </w:r>
      <w:r w:rsidR="00DD4301">
        <w:rPr>
          <w:rFonts w:ascii="Georgia" w:hAnsi="Georgia"/>
          <w:sz w:val="24"/>
          <w:szCs w:val="24"/>
        </w:rPr>
        <w:t xml:space="preserve"> shows that the total cost of service and revenue will increase by 74%, with the cost of service and revenue</w:t>
      </w:r>
      <w:r w:rsidR="00B3587F">
        <w:rPr>
          <w:rFonts w:ascii="Georgia" w:hAnsi="Georgia"/>
          <w:sz w:val="24"/>
          <w:szCs w:val="24"/>
        </w:rPr>
        <w:t xml:space="preserve"> spiking from $47 million to a whopping $82 million</w:t>
      </w:r>
      <w:r w:rsidR="00F430AC">
        <w:rPr>
          <w:rFonts w:ascii="Georgia" w:hAnsi="Georgia"/>
          <w:sz w:val="24"/>
          <w:szCs w:val="24"/>
        </w:rPr>
        <w:t xml:space="preserve"> in year one</w:t>
      </w:r>
      <w:r w:rsidR="00B3587F">
        <w:rPr>
          <w:rFonts w:ascii="Georgia" w:hAnsi="Georgia"/>
          <w:sz w:val="24"/>
          <w:szCs w:val="24"/>
        </w:rPr>
        <w:t xml:space="preserve">. </w:t>
      </w:r>
      <w:r w:rsidR="00D22E84">
        <w:rPr>
          <w:rFonts w:ascii="Georgia" w:hAnsi="Georgia"/>
          <w:sz w:val="24"/>
          <w:szCs w:val="24"/>
        </w:rPr>
        <w:t xml:space="preserve">Exhibit N then estimates that National Grid LNG will earn a massive financial windfall </w:t>
      </w:r>
      <w:proofErr w:type="gramStart"/>
      <w:r w:rsidR="00D22E84">
        <w:rPr>
          <w:rFonts w:ascii="Georgia" w:hAnsi="Georgia"/>
          <w:sz w:val="24"/>
          <w:szCs w:val="24"/>
        </w:rPr>
        <w:t>as a result of</w:t>
      </w:r>
      <w:proofErr w:type="gramEnd"/>
      <w:r w:rsidR="00D22E84">
        <w:rPr>
          <w:rFonts w:ascii="Georgia" w:hAnsi="Georgia"/>
          <w:sz w:val="24"/>
          <w:szCs w:val="24"/>
        </w:rPr>
        <w:t xml:space="preserve"> these cost overruns, </w:t>
      </w:r>
      <w:r w:rsidR="00E20510">
        <w:rPr>
          <w:rFonts w:ascii="Georgia" w:hAnsi="Georgia"/>
          <w:sz w:val="24"/>
          <w:szCs w:val="24"/>
        </w:rPr>
        <w:t xml:space="preserve">with its </w:t>
      </w:r>
      <w:r w:rsidR="00AD1157">
        <w:rPr>
          <w:rFonts w:ascii="Georgia" w:hAnsi="Georgia"/>
          <w:sz w:val="24"/>
          <w:szCs w:val="24"/>
        </w:rPr>
        <w:t xml:space="preserve">financial return to shareholders jumping </w:t>
      </w:r>
      <w:r w:rsidR="00BF1BB1">
        <w:rPr>
          <w:rFonts w:ascii="Georgia" w:hAnsi="Georgia"/>
          <w:sz w:val="24"/>
          <w:szCs w:val="24"/>
        </w:rPr>
        <w:t xml:space="preserve">117% from </w:t>
      </w:r>
      <w:r w:rsidR="00001E03">
        <w:rPr>
          <w:rFonts w:ascii="Georgia" w:hAnsi="Georgia"/>
          <w:sz w:val="24"/>
          <w:szCs w:val="24"/>
        </w:rPr>
        <w:t>$14.8 million to $32.2 million</w:t>
      </w:r>
      <w:r w:rsidR="00560C34">
        <w:rPr>
          <w:rFonts w:ascii="Georgia" w:hAnsi="Georgia"/>
          <w:sz w:val="24"/>
          <w:szCs w:val="24"/>
        </w:rPr>
        <w:t xml:space="preserve"> </w:t>
      </w:r>
      <w:r w:rsidR="00560C34">
        <w:rPr>
          <w:rFonts w:ascii="Georgia" w:hAnsi="Georgia"/>
          <w:sz w:val="24"/>
          <w:szCs w:val="24"/>
        </w:rPr>
        <w:t xml:space="preserve">in year </w:t>
      </w:r>
      <w:r w:rsidR="008E1EC5">
        <w:rPr>
          <w:rFonts w:ascii="Georgia" w:hAnsi="Georgia"/>
          <w:sz w:val="24"/>
          <w:szCs w:val="24"/>
        </w:rPr>
        <w:t>one</w:t>
      </w:r>
      <w:r w:rsidR="00001E03">
        <w:rPr>
          <w:rFonts w:ascii="Georgia" w:hAnsi="Georgia"/>
          <w:sz w:val="24"/>
          <w:szCs w:val="24"/>
        </w:rPr>
        <w:t>.</w:t>
      </w:r>
    </w:p>
    <w:p w14:paraId="6DA6569D" w14:textId="05AF1D17" w:rsidR="0013195B" w:rsidRDefault="00A13A17" w:rsidP="0020146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</w:t>
      </w:r>
      <w:r w:rsidR="00E71EF1">
        <w:rPr>
          <w:rFonts w:ascii="Georgia" w:hAnsi="Georgia"/>
          <w:sz w:val="24"/>
          <w:szCs w:val="24"/>
        </w:rPr>
        <w:t xml:space="preserve">e National Grid LNG facility’s rates are charged to </w:t>
      </w:r>
      <w:r w:rsidR="0073159F">
        <w:rPr>
          <w:rFonts w:ascii="Georgia" w:hAnsi="Georgia"/>
          <w:sz w:val="24"/>
          <w:szCs w:val="24"/>
        </w:rPr>
        <w:t xml:space="preserve">two of its </w:t>
      </w:r>
      <w:proofErr w:type="gramStart"/>
      <w:r w:rsidR="0073159F">
        <w:rPr>
          <w:rFonts w:ascii="Georgia" w:hAnsi="Georgia"/>
          <w:sz w:val="24"/>
          <w:szCs w:val="24"/>
        </w:rPr>
        <w:t>wholly-owned</w:t>
      </w:r>
      <w:proofErr w:type="gramEnd"/>
      <w:r w:rsidR="0073159F">
        <w:rPr>
          <w:rFonts w:ascii="Georgia" w:hAnsi="Georgia"/>
          <w:sz w:val="24"/>
          <w:szCs w:val="24"/>
        </w:rPr>
        <w:t xml:space="preserve"> </w:t>
      </w:r>
      <w:r w:rsidR="00E71EF1">
        <w:rPr>
          <w:rFonts w:ascii="Georgia" w:hAnsi="Georgia"/>
          <w:sz w:val="24"/>
          <w:szCs w:val="24"/>
        </w:rPr>
        <w:t>“</w:t>
      </w:r>
      <w:r w:rsidR="00E71EF1" w:rsidRPr="00E71EF1">
        <w:rPr>
          <w:rFonts w:ascii="Georgia" w:hAnsi="Georgia"/>
          <w:sz w:val="24"/>
          <w:szCs w:val="24"/>
        </w:rPr>
        <w:t>affiliated storage customers, Narragansett and Boston Gas</w:t>
      </w:r>
      <w:r w:rsidR="004C4BB1">
        <w:rPr>
          <w:rFonts w:ascii="Georgia" w:hAnsi="Georgia"/>
          <w:sz w:val="24"/>
          <w:szCs w:val="24"/>
        </w:rPr>
        <w:t>”</w:t>
      </w:r>
      <w:r w:rsidR="004C791E">
        <w:rPr>
          <w:rStyle w:val="FootnoteReference"/>
          <w:rFonts w:ascii="Georgia" w:hAnsi="Georgia"/>
          <w:sz w:val="24"/>
          <w:szCs w:val="24"/>
        </w:rPr>
        <w:footnoteReference w:id="2"/>
      </w:r>
      <w:r w:rsidR="004C4BB1">
        <w:rPr>
          <w:rFonts w:ascii="Georgia" w:hAnsi="Georgia"/>
          <w:sz w:val="24"/>
          <w:szCs w:val="24"/>
        </w:rPr>
        <w:t xml:space="preserve">, which in turn have </w:t>
      </w:r>
      <w:r w:rsidR="00CC1372">
        <w:rPr>
          <w:rFonts w:ascii="Georgia" w:hAnsi="Georgia"/>
          <w:sz w:val="24"/>
          <w:szCs w:val="24"/>
        </w:rPr>
        <w:t xml:space="preserve">hundreds of thousands of </w:t>
      </w:r>
      <w:r w:rsidR="004C4BB1">
        <w:rPr>
          <w:rFonts w:ascii="Georgia" w:hAnsi="Georgia"/>
          <w:sz w:val="24"/>
          <w:szCs w:val="24"/>
        </w:rPr>
        <w:t xml:space="preserve">captive </w:t>
      </w:r>
      <w:r w:rsidR="00CC1372">
        <w:rPr>
          <w:rFonts w:ascii="Georgia" w:hAnsi="Georgia"/>
          <w:sz w:val="24"/>
          <w:szCs w:val="24"/>
        </w:rPr>
        <w:t>household customers that w</w:t>
      </w:r>
      <w:r w:rsidR="00676162">
        <w:rPr>
          <w:rFonts w:ascii="Georgia" w:hAnsi="Georgia"/>
          <w:sz w:val="24"/>
          <w:szCs w:val="24"/>
        </w:rPr>
        <w:t>ill be responsible for paying</w:t>
      </w:r>
      <w:r w:rsidR="00626700">
        <w:rPr>
          <w:rFonts w:ascii="Georgia" w:hAnsi="Georgia"/>
          <w:sz w:val="24"/>
          <w:szCs w:val="24"/>
        </w:rPr>
        <w:t xml:space="preserve"> National Grid LNG’s filed rates</w:t>
      </w:r>
      <w:r w:rsidR="009F0B33">
        <w:rPr>
          <w:rFonts w:ascii="Georgia" w:hAnsi="Georgia"/>
          <w:sz w:val="24"/>
          <w:szCs w:val="24"/>
        </w:rPr>
        <w:t xml:space="preserve">―including these unprecedented and </w:t>
      </w:r>
      <w:r w:rsidR="00287CD2">
        <w:rPr>
          <w:rFonts w:ascii="Georgia" w:hAnsi="Georgia"/>
          <w:sz w:val="24"/>
          <w:szCs w:val="24"/>
        </w:rPr>
        <w:t>unsubstantiated</w:t>
      </w:r>
      <w:r w:rsidR="009F0B33">
        <w:rPr>
          <w:rFonts w:ascii="Georgia" w:hAnsi="Georgia"/>
          <w:sz w:val="24"/>
          <w:szCs w:val="24"/>
        </w:rPr>
        <w:t xml:space="preserve"> </w:t>
      </w:r>
      <w:r w:rsidR="00877B5F">
        <w:rPr>
          <w:rFonts w:ascii="Georgia" w:hAnsi="Georgia"/>
          <w:sz w:val="24"/>
          <w:szCs w:val="24"/>
        </w:rPr>
        <w:t>increases</w:t>
      </w:r>
      <w:r w:rsidR="00626700">
        <w:rPr>
          <w:rFonts w:ascii="Georgia" w:hAnsi="Georgia"/>
          <w:sz w:val="24"/>
          <w:szCs w:val="24"/>
        </w:rPr>
        <w:t>.</w:t>
      </w:r>
      <w:r w:rsidR="00877B5F">
        <w:rPr>
          <w:rFonts w:ascii="Georgia" w:hAnsi="Georgia"/>
          <w:sz w:val="24"/>
          <w:szCs w:val="24"/>
        </w:rPr>
        <w:t xml:space="preserve"> Thousands of National Grid’s customers are </w:t>
      </w:r>
      <w:r w:rsidR="00DD1DF9">
        <w:rPr>
          <w:rFonts w:ascii="Georgia" w:hAnsi="Georgia"/>
          <w:sz w:val="24"/>
          <w:szCs w:val="24"/>
        </w:rPr>
        <w:t>enduring</w:t>
      </w:r>
      <w:r w:rsidR="00877B5F">
        <w:rPr>
          <w:rFonts w:ascii="Georgia" w:hAnsi="Georgia"/>
          <w:sz w:val="24"/>
          <w:szCs w:val="24"/>
        </w:rPr>
        <w:t xml:space="preserve"> energy poverty from </w:t>
      </w:r>
      <w:r w:rsidR="001A08F4">
        <w:rPr>
          <w:rFonts w:ascii="Georgia" w:hAnsi="Georgia"/>
          <w:sz w:val="24"/>
          <w:szCs w:val="24"/>
        </w:rPr>
        <w:t xml:space="preserve">spiking energy prices </w:t>
      </w:r>
      <w:r w:rsidR="00AB3A85">
        <w:rPr>
          <w:rFonts w:ascii="Georgia" w:hAnsi="Georgia"/>
          <w:sz w:val="24"/>
          <w:szCs w:val="24"/>
        </w:rPr>
        <w:t>that</w:t>
      </w:r>
      <w:r w:rsidR="00AB3A85" w:rsidRPr="00AB3A85">
        <w:rPr>
          <w:rFonts w:ascii="Georgia" w:hAnsi="Georgia"/>
          <w:sz w:val="24"/>
          <w:szCs w:val="24"/>
        </w:rPr>
        <w:t xml:space="preserve"> are driving punishing inflation </w:t>
      </w:r>
      <w:r w:rsidR="00DD1DF9">
        <w:rPr>
          <w:rFonts w:ascii="Georgia" w:hAnsi="Georgia"/>
          <w:sz w:val="24"/>
          <w:szCs w:val="24"/>
        </w:rPr>
        <w:t>after</w:t>
      </w:r>
      <w:r w:rsidR="00AB3A85" w:rsidRPr="00AB3A85">
        <w:rPr>
          <w:rFonts w:ascii="Georgia" w:hAnsi="Georgia"/>
          <w:sz w:val="24"/>
          <w:szCs w:val="24"/>
        </w:rPr>
        <w:t xml:space="preserve"> already suffering from economic hardship under the COVID </w:t>
      </w:r>
      <w:proofErr w:type="gramStart"/>
      <w:r w:rsidR="00AB3A85" w:rsidRPr="00AB3A85">
        <w:rPr>
          <w:rFonts w:ascii="Georgia" w:hAnsi="Georgia"/>
          <w:sz w:val="24"/>
          <w:szCs w:val="24"/>
        </w:rPr>
        <w:t>pandemic</w:t>
      </w:r>
      <w:r w:rsidR="008E1EC5">
        <w:rPr>
          <w:rFonts w:ascii="Georgia" w:hAnsi="Georgia"/>
          <w:sz w:val="24"/>
          <w:szCs w:val="24"/>
        </w:rPr>
        <w:t>, and</w:t>
      </w:r>
      <w:proofErr w:type="gramEnd"/>
      <w:r w:rsidR="008E1EC5">
        <w:rPr>
          <w:rFonts w:ascii="Georgia" w:hAnsi="Georgia"/>
          <w:sz w:val="24"/>
          <w:szCs w:val="24"/>
        </w:rPr>
        <w:t xml:space="preserve"> cannot afford yet another rate increase</w:t>
      </w:r>
      <w:r w:rsidR="00AB3A85" w:rsidRPr="00AB3A85">
        <w:rPr>
          <w:rFonts w:ascii="Georgia" w:hAnsi="Georgia"/>
          <w:sz w:val="24"/>
          <w:szCs w:val="24"/>
        </w:rPr>
        <w:t>.</w:t>
      </w:r>
    </w:p>
    <w:p w14:paraId="1392E4EA" w14:textId="6723BF3F" w:rsidR="00001E03" w:rsidRDefault="00F52114" w:rsidP="0020146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These cost overruns and 117% increase in National Grid’s financial returns to its shareholders are not just and reasonable. </w:t>
      </w:r>
      <w:r w:rsidR="009A1442">
        <w:rPr>
          <w:rFonts w:ascii="Georgia" w:hAnsi="Georgia"/>
          <w:sz w:val="24"/>
          <w:szCs w:val="24"/>
        </w:rPr>
        <w:t xml:space="preserve">The cost overruns and more than doubling of </w:t>
      </w:r>
      <w:r w:rsidR="00287CD2">
        <w:rPr>
          <w:rFonts w:ascii="Georgia" w:hAnsi="Georgia"/>
          <w:sz w:val="24"/>
          <w:szCs w:val="24"/>
        </w:rPr>
        <w:t>National Grid’s</w:t>
      </w:r>
      <w:r w:rsidR="009A1442">
        <w:rPr>
          <w:rFonts w:ascii="Georgia" w:hAnsi="Georgia"/>
          <w:sz w:val="24"/>
          <w:szCs w:val="24"/>
        </w:rPr>
        <w:t xml:space="preserve"> financial return are unsupported by the application, and so t</w:t>
      </w:r>
      <w:r>
        <w:rPr>
          <w:rFonts w:ascii="Georgia" w:hAnsi="Georgia"/>
          <w:sz w:val="24"/>
          <w:szCs w:val="24"/>
        </w:rPr>
        <w:t xml:space="preserve">he </w:t>
      </w:r>
      <w:r>
        <w:rPr>
          <w:rFonts w:ascii="Georgia" w:hAnsi="Georgia"/>
          <w:sz w:val="24"/>
          <w:szCs w:val="24"/>
        </w:rPr>
        <w:lastRenderedPageBreak/>
        <w:t>Commission must set this matter for hearing</w:t>
      </w:r>
      <w:r w:rsidR="00EA05CD">
        <w:rPr>
          <w:rFonts w:ascii="Georgia" w:hAnsi="Georgia"/>
          <w:sz w:val="24"/>
          <w:szCs w:val="24"/>
        </w:rPr>
        <w:t xml:space="preserve"> to allow intervenors an opportunity for discovery.</w:t>
      </w:r>
    </w:p>
    <w:p w14:paraId="7B3D2C42" w14:textId="0B9823D5" w:rsidR="00BB6766" w:rsidRDefault="00EA05CD" w:rsidP="0020146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Finally, </w:t>
      </w:r>
      <w:r w:rsidR="00DD2DC3">
        <w:rPr>
          <w:rFonts w:ascii="Georgia" w:hAnsi="Georgia"/>
          <w:sz w:val="24"/>
          <w:szCs w:val="24"/>
        </w:rPr>
        <w:t xml:space="preserve">FERC provided public interest intervenors </w:t>
      </w:r>
      <w:r w:rsidR="003C3AC2">
        <w:rPr>
          <w:rFonts w:ascii="Georgia" w:hAnsi="Georgia"/>
          <w:sz w:val="24"/>
          <w:szCs w:val="24"/>
        </w:rPr>
        <w:t xml:space="preserve">a mere </w:t>
      </w:r>
      <w:r w:rsidR="00DD2DC3" w:rsidRPr="003C3AC2">
        <w:rPr>
          <w:rFonts w:ascii="Georgia" w:hAnsi="Georgia"/>
          <w:b/>
          <w:bCs/>
          <w:sz w:val="24"/>
          <w:szCs w:val="24"/>
          <w:u w:val="single"/>
        </w:rPr>
        <w:t>three days</w:t>
      </w:r>
      <w:r w:rsidR="00DD2DC3">
        <w:rPr>
          <w:rFonts w:ascii="Georgia" w:hAnsi="Georgia"/>
          <w:sz w:val="24"/>
          <w:szCs w:val="24"/>
        </w:rPr>
        <w:t xml:space="preserve"> to prepare for this filing. </w:t>
      </w:r>
      <w:r w:rsidR="00FF5F73">
        <w:rPr>
          <w:rFonts w:ascii="Georgia" w:hAnsi="Georgia"/>
          <w:sz w:val="24"/>
          <w:szCs w:val="24"/>
        </w:rPr>
        <w:t xml:space="preserve">FERC did not </w:t>
      </w:r>
      <w:r w:rsidR="00EB4CF3">
        <w:rPr>
          <w:rFonts w:ascii="Georgia" w:hAnsi="Georgia"/>
          <w:sz w:val="24"/>
          <w:szCs w:val="24"/>
        </w:rPr>
        <w:t xml:space="preserve">provide public </w:t>
      </w:r>
      <w:r w:rsidR="00FF5F73">
        <w:rPr>
          <w:rFonts w:ascii="Georgia" w:hAnsi="Georgia"/>
          <w:sz w:val="24"/>
          <w:szCs w:val="24"/>
        </w:rPr>
        <w:t>notice</w:t>
      </w:r>
      <w:r w:rsidR="004B2D5D">
        <w:rPr>
          <w:rFonts w:ascii="Georgia" w:hAnsi="Georgia"/>
          <w:sz w:val="24"/>
          <w:szCs w:val="24"/>
        </w:rPr>
        <w:t xml:space="preserve"> </w:t>
      </w:r>
      <w:r w:rsidR="00EB4CF3">
        <w:rPr>
          <w:rFonts w:ascii="Georgia" w:hAnsi="Georgia"/>
          <w:sz w:val="24"/>
          <w:szCs w:val="24"/>
        </w:rPr>
        <w:t xml:space="preserve">in the federal register of </w:t>
      </w:r>
      <w:r w:rsidR="004B2D5D">
        <w:rPr>
          <w:rFonts w:ascii="Georgia" w:hAnsi="Georgia"/>
          <w:sz w:val="24"/>
          <w:szCs w:val="24"/>
        </w:rPr>
        <w:t>National Grid LNG</w:t>
      </w:r>
      <w:r w:rsidR="00FF5F73">
        <w:rPr>
          <w:rFonts w:ascii="Georgia" w:hAnsi="Georgia"/>
          <w:sz w:val="24"/>
          <w:szCs w:val="24"/>
        </w:rPr>
        <w:t>’s</w:t>
      </w:r>
      <w:r w:rsidR="00EB4CF3">
        <w:rPr>
          <w:rFonts w:ascii="Georgia" w:hAnsi="Georgia"/>
          <w:sz w:val="24"/>
          <w:szCs w:val="24"/>
        </w:rPr>
        <w:t xml:space="preserve"> April 15 application until April 26―giving </w:t>
      </w:r>
      <w:r w:rsidR="003C3AC2">
        <w:rPr>
          <w:rFonts w:ascii="Georgia" w:hAnsi="Georgia"/>
          <w:sz w:val="24"/>
          <w:szCs w:val="24"/>
        </w:rPr>
        <w:t>us three days</w:t>
      </w:r>
      <w:r w:rsidR="00F8754D">
        <w:rPr>
          <w:rFonts w:ascii="Georgia" w:hAnsi="Georgia"/>
          <w:sz w:val="24"/>
          <w:szCs w:val="24"/>
        </w:rPr>
        <w:t xml:space="preserve"> until the April 29 deadline</w:t>
      </w:r>
      <w:r w:rsidR="00073652">
        <w:rPr>
          <w:rFonts w:ascii="Georgia" w:hAnsi="Georgia"/>
          <w:sz w:val="24"/>
          <w:szCs w:val="24"/>
        </w:rPr>
        <w:t xml:space="preserve"> to read</w:t>
      </w:r>
      <w:r w:rsidR="005D4811">
        <w:rPr>
          <w:rFonts w:ascii="Georgia" w:hAnsi="Georgia"/>
          <w:sz w:val="24"/>
          <w:szCs w:val="24"/>
        </w:rPr>
        <w:t xml:space="preserve"> </w:t>
      </w:r>
      <w:r w:rsidR="00BE3A7D">
        <w:rPr>
          <w:rFonts w:ascii="Georgia" w:hAnsi="Georgia"/>
          <w:sz w:val="24"/>
          <w:szCs w:val="24"/>
        </w:rPr>
        <w:t xml:space="preserve">it </w:t>
      </w:r>
      <w:r w:rsidR="00073652">
        <w:rPr>
          <w:rFonts w:ascii="Georgia" w:hAnsi="Georgia"/>
          <w:sz w:val="24"/>
          <w:szCs w:val="24"/>
        </w:rPr>
        <w:t>and prepare some sort of response.</w:t>
      </w:r>
      <w:r w:rsidR="00277EBD">
        <w:rPr>
          <w:rStyle w:val="FootnoteReference"/>
          <w:rFonts w:ascii="Georgia" w:hAnsi="Georgia"/>
          <w:sz w:val="24"/>
          <w:szCs w:val="24"/>
        </w:rPr>
        <w:footnoteReference w:id="3"/>
      </w:r>
      <w:r w:rsidR="00073652">
        <w:rPr>
          <w:rFonts w:ascii="Georgia" w:hAnsi="Georgia"/>
          <w:sz w:val="24"/>
          <w:szCs w:val="24"/>
        </w:rPr>
        <w:t xml:space="preserve"> </w:t>
      </w:r>
      <w:r w:rsidR="009D2D62">
        <w:rPr>
          <w:rFonts w:ascii="Georgia" w:hAnsi="Georgia"/>
          <w:sz w:val="24"/>
          <w:szCs w:val="24"/>
        </w:rPr>
        <w:t xml:space="preserve">This </w:t>
      </w:r>
      <w:r w:rsidR="00B26CC5">
        <w:rPr>
          <w:rFonts w:ascii="Georgia" w:hAnsi="Georgia"/>
          <w:sz w:val="24"/>
          <w:szCs w:val="24"/>
        </w:rPr>
        <w:t>absurdly</w:t>
      </w:r>
      <w:r w:rsidR="009D2D62">
        <w:rPr>
          <w:rFonts w:ascii="Georgia" w:hAnsi="Georgia"/>
          <w:sz w:val="24"/>
          <w:szCs w:val="24"/>
        </w:rPr>
        <w:t xml:space="preserve"> abridged </w:t>
      </w:r>
      <w:r w:rsidR="00592CDF">
        <w:rPr>
          <w:rFonts w:ascii="Georgia" w:hAnsi="Georgia"/>
          <w:sz w:val="24"/>
          <w:szCs w:val="24"/>
        </w:rPr>
        <w:t>timeline is aggravated by the fact that public interest intervenors face significant resource</w:t>
      </w:r>
      <w:r w:rsidR="00CF0BEA">
        <w:rPr>
          <w:rFonts w:ascii="Georgia" w:hAnsi="Georgia"/>
          <w:sz w:val="24"/>
          <w:szCs w:val="24"/>
        </w:rPr>
        <w:t xml:space="preserve"> challenges</w:t>
      </w:r>
      <w:r w:rsidR="00592CDF">
        <w:rPr>
          <w:rFonts w:ascii="Georgia" w:hAnsi="Georgia"/>
          <w:sz w:val="24"/>
          <w:szCs w:val="24"/>
        </w:rPr>
        <w:t xml:space="preserve"> to effectively cobble together an analysis and protest</w:t>
      </w:r>
      <w:r w:rsidR="003E4D50">
        <w:rPr>
          <w:rFonts w:ascii="Georgia" w:hAnsi="Georgia"/>
          <w:sz w:val="24"/>
          <w:szCs w:val="24"/>
        </w:rPr>
        <w:t>. Our</w:t>
      </w:r>
      <w:r w:rsidR="0020146A">
        <w:rPr>
          <w:rFonts w:ascii="Georgia" w:hAnsi="Georgia"/>
          <w:sz w:val="24"/>
          <w:szCs w:val="24"/>
        </w:rPr>
        <w:t xml:space="preserve"> strained</w:t>
      </w:r>
      <w:r w:rsidR="003E4D50">
        <w:rPr>
          <w:rFonts w:ascii="Georgia" w:hAnsi="Georgia"/>
          <w:sz w:val="24"/>
          <w:szCs w:val="24"/>
        </w:rPr>
        <w:t xml:space="preserve"> resources are in sharp contrast to National Grid LNG, which </w:t>
      </w:r>
      <w:r w:rsidR="006C7BE8">
        <w:rPr>
          <w:rFonts w:ascii="Georgia" w:hAnsi="Georgia"/>
          <w:sz w:val="24"/>
          <w:szCs w:val="24"/>
        </w:rPr>
        <w:t xml:space="preserve">is authorized to recover </w:t>
      </w:r>
      <w:proofErr w:type="gramStart"/>
      <w:r w:rsidR="006C7BE8">
        <w:rPr>
          <w:rFonts w:ascii="Georgia" w:hAnsi="Georgia"/>
          <w:sz w:val="24"/>
          <w:szCs w:val="24"/>
        </w:rPr>
        <w:t>all of</w:t>
      </w:r>
      <w:proofErr w:type="gramEnd"/>
      <w:r w:rsidR="006C7BE8">
        <w:rPr>
          <w:rFonts w:ascii="Georgia" w:hAnsi="Georgia"/>
          <w:sz w:val="24"/>
          <w:szCs w:val="24"/>
        </w:rPr>
        <w:t xml:space="preserve"> its FERC filing-related expenses from ratepayers. </w:t>
      </w:r>
      <w:r w:rsidR="008839A9">
        <w:rPr>
          <w:rFonts w:ascii="Georgia" w:hAnsi="Georgia"/>
          <w:sz w:val="24"/>
          <w:szCs w:val="24"/>
        </w:rPr>
        <w:t>As a result, we request that the Commission require National Grid LNG to itemize and detail all</w:t>
      </w:r>
      <w:r w:rsidR="00BB6766">
        <w:rPr>
          <w:rFonts w:ascii="Georgia" w:hAnsi="Georgia"/>
          <w:sz w:val="24"/>
          <w:szCs w:val="24"/>
        </w:rPr>
        <w:t xml:space="preserve"> </w:t>
      </w:r>
      <w:r w:rsidR="00530092">
        <w:rPr>
          <w:rFonts w:ascii="Georgia" w:hAnsi="Georgia"/>
          <w:sz w:val="24"/>
          <w:szCs w:val="24"/>
        </w:rPr>
        <w:t xml:space="preserve">legal, administrative and </w:t>
      </w:r>
      <w:r w:rsidR="00E545CF">
        <w:rPr>
          <w:rFonts w:ascii="Georgia" w:hAnsi="Georgia"/>
          <w:sz w:val="24"/>
          <w:szCs w:val="24"/>
        </w:rPr>
        <w:t xml:space="preserve">any other </w:t>
      </w:r>
      <w:r w:rsidR="00BB6766">
        <w:rPr>
          <w:rFonts w:ascii="Georgia" w:hAnsi="Georgia"/>
          <w:sz w:val="24"/>
          <w:szCs w:val="24"/>
        </w:rPr>
        <w:t>expenses related to this proceeding that National Grid LNG plans to recover from ratepayers.</w:t>
      </w:r>
    </w:p>
    <w:p w14:paraId="013D306D" w14:textId="77777777" w:rsidR="005D757F" w:rsidRDefault="005D757F" w:rsidP="0020146A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09E095A1" w14:textId="77777777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</w:p>
    <w:p w14:paraId="2A1D8F30" w14:textId="31F9F36F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Respectfully submitted,</w:t>
      </w:r>
    </w:p>
    <w:p w14:paraId="65319273" w14:textId="77777777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</w:p>
    <w:p w14:paraId="68D9EB91" w14:textId="7032B9A9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370CC6E3" w14:textId="462A42DD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Public Citizen, Inc.</w:t>
      </w:r>
    </w:p>
    <w:p w14:paraId="52D06613" w14:textId="55A1FCD0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215 </w:t>
      </w:r>
      <w:r w:rsidR="00A05C92">
        <w:rPr>
          <w:rFonts w:ascii="Georgia" w:hAnsi="Georgia"/>
          <w:sz w:val="24"/>
          <w:szCs w:val="24"/>
        </w:rPr>
        <w:t>Pennsylvania</w:t>
      </w:r>
      <w:r>
        <w:rPr>
          <w:rFonts w:ascii="Georgia" w:hAnsi="Georgia"/>
          <w:sz w:val="24"/>
          <w:szCs w:val="24"/>
        </w:rPr>
        <w:t xml:space="preserve"> Ave SE</w:t>
      </w:r>
    </w:p>
    <w:p w14:paraId="2643F787" w14:textId="12F7753B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Washington, DC  20003</w:t>
      </w:r>
    </w:p>
    <w:p w14:paraId="05CBB414" w14:textId="6EEAB729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(202) 454-5191</w:t>
      </w:r>
    </w:p>
    <w:p w14:paraId="2F3B642D" w14:textId="30B5871D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hyperlink r:id="rId7" w:history="1">
        <w:r w:rsidRPr="00811061">
          <w:rPr>
            <w:rStyle w:val="Hyperlink"/>
            <w:rFonts w:ascii="Georgia" w:hAnsi="Georgia"/>
            <w:sz w:val="24"/>
            <w:szCs w:val="24"/>
          </w:rPr>
          <w:t>tslocum@citizen.org</w:t>
        </w:r>
      </w:hyperlink>
    </w:p>
    <w:p w14:paraId="5BE7ED2D" w14:textId="77777777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</w:p>
    <w:p w14:paraId="3B4CA9FB" w14:textId="77777777" w:rsidR="005D757F" w:rsidRDefault="005D757F" w:rsidP="00DD2DC3">
      <w:pPr>
        <w:ind w:firstLine="720"/>
        <w:rPr>
          <w:rFonts w:ascii="Georgia" w:hAnsi="Georgia"/>
          <w:sz w:val="24"/>
          <w:szCs w:val="24"/>
        </w:rPr>
      </w:pPr>
    </w:p>
    <w:p w14:paraId="38BC465E" w14:textId="0675C4DD" w:rsidR="00097D15" w:rsidRDefault="00097D15" w:rsidP="00DD2DC3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Filed April 29, 2022</w:t>
      </w:r>
    </w:p>
    <w:p w14:paraId="7D320E74" w14:textId="77777777" w:rsidR="00947A8A" w:rsidRDefault="00947A8A" w:rsidP="0013195B">
      <w:pPr>
        <w:rPr>
          <w:rFonts w:ascii="Georgia" w:hAnsi="Georgia"/>
          <w:sz w:val="24"/>
          <w:szCs w:val="24"/>
        </w:rPr>
      </w:pPr>
    </w:p>
    <w:p w14:paraId="0131B277" w14:textId="74E677EB" w:rsidR="004B2D5D" w:rsidRPr="0013195B" w:rsidRDefault="004B2D5D" w:rsidP="0013195B">
      <w:pPr>
        <w:rPr>
          <w:rFonts w:ascii="Georgia" w:hAnsi="Georgia"/>
          <w:sz w:val="24"/>
          <w:szCs w:val="24"/>
        </w:rPr>
      </w:pPr>
    </w:p>
    <w:sectPr w:rsidR="004B2D5D" w:rsidRPr="0013195B" w:rsidSect="00A05C92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2AAD" w14:textId="77777777" w:rsidR="002B4226" w:rsidRDefault="002B4226" w:rsidP="00277EBD">
      <w:r>
        <w:separator/>
      </w:r>
    </w:p>
  </w:endnote>
  <w:endnote w:type="continuationSeparator" w:id="0">
    <w:p w14:paraId="53B005D7" w14:textId="77777777" w:rsidR="002B4226" w:rsidRDefault="002B4226" w:rsidP="0027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224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6CC4E9" w14:textId="6989574A" w:rsidR="00A05C92" w:rsidRDefault="00A05C9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A0E319" w14:textId="77777777" w:rsidR="00A05C92" w:rsidRDefault="00A05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B074" w14:textId="77777777" w:rsidR="002B4226" w:rsidRDefault="002B4226" w:rsidP="00277EBD">
      <w:r>
        <w:separator/>
      </w:r>
    </w:p>
  </w:footnote>
  <w:footnote w:type="continuationSeparator" w:id="0">
    <w:p w14:paraId="35833C87" w14:textId="77777777" w:rsidR="002B4226" w:rsidRDefault="002B4226" w:rsidP="00277EBD">
      <w:r>
        <w:continuationSeparator/>
      </w:r>
    </w:p>
  </w:footnote>
  <w:footnote w:id="1">
    <w:p w14:paraId="5A74F3A8" w14:textId="1E38F6B5" w:rsidR="00384278" w:rsidRDefault="003842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4278">
        <w:rPr>
          <w:rFonts w:ascii="Georgia" w:hAnsi="Georgia"/>
        </w:rPr>
        <w:t>Application, at page 1.</w:t>
      </w:r>
    </w:p>
  </w:footnote>
  <w:footnote w:id="2">
    <w:p w14:paraId="04A18236" w14:textId="038A6CE9" w:rsidR="004C791E" w:rsidRDefault="004C79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91E">
        <w:rPr>
          <w:rFonts w:ascii="Georgia" w:hAnsi="Georgia"/>
        </w:rPr>
        <w:t>Application, at page 3.</w:t>
      </w:r>
    </w:p>
  </w:footnote>
  <w:footnote w:id="3">
    <w:p w14:paraId="791335CC" w14:textId="04808EBC" w:rsidR="00277EBD" w:rsidRDefault="00277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7803" w:rsidRPr="00045C8D">
        <w:rPr>
          <w:rFonts w:ascii="Georgia" w:hAnsi="Georgia"/>
        </w:rPr>
        <w:t xml:space="preserve">Vol. 87, No. </w:t>
      </w:r>
      <w:proofErr w:type="gramStart"/>
      <w:r w:rsidR="00AD7803" w:rsidRPr="00045C8D">
        <w:rPr>
          <w:rFonts w:ascii="Georgia" w:hAnsi="Georgia"/>
        </w:rPr>
        <w:t>80,</w:t>
      </w:r>
      <w:r w:rsidR="00045C8D" w:rsidRPr="00045C8D">
        <w:rPr>
          <w:rFonts w:ascii="Georgia" w:hAnsi="Georgia"/>
        </w:rPr>
        <w:t>,</w:t>
      </w:r>
      <w:proofErr w:type="gramEnd"/>
      <w:r w:rsidR="00045C8D" w:rsidRPr="00045C8D">
        <w:rPr>
          <w:rFonts w:ascii="Georgia" w:hAnsi="Georgia"/>
        </w:rPr>
        <w:t xml:space="preserve"> </w:t>
      </w:r>
      <w:r w:rsidRPr="00045C8D">
        <w:rPr>
          <w:rFonts w:ascii="Georgia" w:hAnsi="Georgia"/>
        </w:rPr>
        <w:t>www.govinfo.gov/content/pkg/FR-2022-04-26/pdf/2022-08864.pdf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5B"/>
    <w:rsid w:val="00001E03"/>
    <w:rsid w:val="00045C8D"/>
    <w:rsid w:val="00073652"/>
    <w:rsid w:val="00097D15"/>
    <w:rsid w:val="000C1FD3"/>
    <w:rsid w:val="000E5ADA"/>
    <w:rsid w:val="000F4965"/>
    <w:rsid w:val="00111AF2"/>
    <w:rsid w:val="0013195B"/>
    <w:rsid w:val="001A08F4"/>
    <w:rsid w:val="0020146A"/>
    <w:rsid w:val="00256B8F"/>
    <w:rsid w:val="00277EBD"/>
    <w:rsid w:val="00287CD2"/>
    <w:rsid w:val="002B4226"/>
    <w:rsid w:val="002D53B4"/>
    <w:rsid w:val="003166EB"/>
    <w:rsid w:val="00327CF1"/>
    <w:rsid w:val="00384278"/>
    <w:rsid w:val="003C3AC2"/>
    <w:rsid w:val="003E4D50"/>
    <w:rsid w:val="00464BCA"/>
    <w:rsid w:val="00484038"/>
    <w:rsid w:val="004923F7"/>
    <w:rsid w:val="004A540F"/>
    <w:rsid w:val="004B2D5D"/>
    <w:rsid w:val="004C4BB1"/>
    <w:rsid w:val="004C791E"/>
    <w:rsid w:val="004D127B"/>
    <w:rsid w:val="00530092"/>
    <w:rsid w:val="00560C34"/>
    <w:rsid w:val="00592CDF"/>
    <w:rsid w:val="005D4811"/>
    <w:rsid w:val="005D757F"/>
    <w:rsid w:val="00626700"/>
    <w:rsid w:val="006443BB"/>
    <w:rsid w:val="00676162"/>
    <w:rsid w:val="006C7BE8"/>
    <w:rsid w:val="0073159F"/>
    <w:rsid w:val="00877B5F"/>
    <w:rsid w:val="008839A9"/>
    <w:rsid w:val="008E1EC5"/>
    <w:rsid w:val="009251F1"/>
    <w:rsid w:val="00947A8A"/>
    <w:rsid w:val="00980C38"/>
    <w:rsid w:val="00987C37"/>
    <w:rsid w:val="009A1442"/>
    <w:rsid w:val="009D2D62"/>
    <w:rsid w:val="009F0B33"/>
    <w:rsid w:val="00A05C92"/>
    <w:rsid w:val="00A13A17"/>
    <w:rsid w:val="00AB3A85"/>
    <w:rsid w:val="00AD1157"/>
    <w:rsid w:val="00AD7803"/>
    <w:rsid w:val="00B26CC5"/>
    <w:rsid w:val="00B3587F"/>
    <w:rsid w:val="00B937F2"/>
    <w:rsid w:val="00BB6766"/>
    <w:rsid w:val="00BE1CD2"/>
    <w:rsid w:val="00BE3A7D"/>
    <w:rsid w:val="00BF1BB1"/>
    <w:rsid w:val="00CC0717"/>
    <w:rsid w:val="00CC1372"/>
    <w:rsid w:val="00CF0BEA"/>
    <w:rsid w:val="00D20FDA"/>
    <w:rsid w:val="00D22E84"/>
    <w:rsid w:val="00DB6DAB"/>
    <w:rsid w:val="00DD1DF9"/>
    <w:rsid w:val="00DD2DC3"/>
    <w:rsid w:val="00DD4301"/>
    <w:rsid w:val="00E20510"/>
    <w:rsid w:val="00E545CF"/>
    <w:rsid w:val="00E705DB"/>
    <w:rsid w:val="00E71EF1"/>
    <w:rsid w:val="00E84568"/>
    <w:rsid w:val="00EA05CD"/>
    <w:rsid w:val="00EB4CF3"/>
    <w:rsid w:val="00F24105"/>
    <w:rsid w:val="00F430AC"/>
    <w:rsid w:val="00F52114"/>
    <w:rsid w:val="00F8754D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9360"/>
  <w15:chartTrackingRefBased/>
  <w15:docId w15:val="{28D608A2-89A3-4CEB-B141-88DB827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7E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E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E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7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5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92"/>
  </w:style>
  <w:style w:type="paragraph" w:styleId="Footer">
    <w:name w:val="footer"/>
    <w:basedOn w:val="Normal"/>
    <w:link w:val="FooterChar"/>
    <w:uiPriority w:val="99"/>
    <w:unhideWhenUsed/>
    <w:rsid w:val="00A0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F51C-3731-4CAE-8D59-BD40B2A7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T. Slocum</dc:creator>
  <cp:keywords/>
  <dc:description/>
  <cp:lastModifiedBy>Tyson T. Slocum</cp:lastModifiedBy>
  <cp:revision>78</cp:revision>
  <dcterms:created xsi:type="dcterms:W3CDTF">2022-04-29T11:04:00Z</dcterms:created>
  <dcterms:modified xsi:type="dcterms:W3CDTF">2022-04-29T16:12:00Z</dcterms:modified>
</cp:coreProperties>
</file>