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9746E" w14:textId="77173EFF" w:rsidR="006443BB" w:rsidRPr="00F7285A" w:rsidRDefault="00F7285A" w:rsidP="00F7285A">
      <w:pPr>
        <w:jc w:val="center"/>
        <w:rPr>
          <w:rFonts w:ascii="Georgia" w:hAnsi="Georgia"/>
          <w:sz w:val="24"/>
          <w:szCs w:val="24"/>
        </w:rPr>
      </w:pPr>
      <w:r w:rsidRPr="00F7285A">
        <w:rPr>
          <w:rFonts w:ascii="Georgia" w:hAnsi="Georgia"/>
          <w:sz w:val="24"/>
          <w:szCs w:val="24"/>
        </w:rPr>
        <w:t>UNITED STATES OF AMERICA</w:t>
      </w:r>
    </w:p>
    <w:p w14:paraId="51D8AEAD" w14:textId="2F9B4976" w:rsidR="00F7285A" w:rsidRPr="00F7285A" w:rsidRDefault="00F7285A" w:rsidP="00F7285A">
      <w:pPr>
        <w:jc w:val="center"/>
        <w:rPr>
          <w:rFonts w:ascii="Georgia" w:hAnsi="Georgia"/>
          <w:sz w:val="24"/>
          <w:szCs w:val="24"/>
        </w:rPr>
      </w:pPr>
      <w:r w:rsidRPr="00F7285A">
        <w:rPr>
          <w:rFonts w:ascii="Georgia" w:hAnsi="Georgia"/>
          <w:sz w:val="24"/>
          <w:szCs w:val="24"/>
        </w:rPr>
        <w:t>BEFORE THE</w:t>
      </w:r>
    </w:p>
    <w:p w14:paraId="735DFCD8" w14:textId="110D2292" w:rsidR="00F7285A" w:rsidRPr="00F7285A" w:rsidRDefault="00F7285A" w:rsidP="00F7285A">
      <w:pPr>
        <w:jc w:val="center"/>
        <w:rPr>
          <w:rFonts w:ascii="Georgia" w:hAnsi="Georgia"/>
          <w:sz w:val="24"/>
          <w:szCs w:val="24"/>
        </w:rPr>
      </w:pPr>
      <w:r w:rsidRPr="00F7285A">
        <w:rPr>
          <w:rFonts w:ascii="Georgia" w:hAnsi="Georgia"/>
          <w:sz w:val="24"/>
          <w:szCs w:val="24"/>
        </w:rPr>
        <w:t>FEDERAL ENERGY REGULATORY COMMISSION</w:t>
      </w:r>
    </w:p>
    <w:p w14:paraId="3FF3FDA7" w14:textId="0E56B581" w:rsidR="00F7285A" w:rsidRPr="00F7285A" w:rsidRDefault="00F7285A">
      <w:pPr>
        <w:rPr>
          <w:rFonts w:ascii="Georgia" w:hAnsi="Georgia"/>
          <w:sz w:val="24"/>
          <w:szCs w:val="24"/>
        </w:rPr>
      </w:pPr>
    </w:p>
    <w:p w14:paraId="13F80AD4" w14:textId="26EBC239" w:rsidR="00F7285A" w:rsidRDefault="00F7285A">
      <w:pPr>
        <w:rPr>
          <w:rFonts w:ascii="Georgia" w:hAnsi="Georgia"/>
          <w:sz w:val="24"/>
          <w:szCs w:val="24"/>
        </w:rPr>
      </w:pPr>
      <w:r w:rsidRPr="00F7285A">
        <w:rPr>
          <w:rFonts w:ascii="Georgia" w:hAnsi="Georgia"/>
          <w:sz w:val="24"/>
          <w:szCs w:val="24"/>
        </w:rPr>
        <w:t xml:space="preserve">Actions Regarding the Commission’s Policy </w:t>
      </w:r>
      <w:r w:rsidR="00E43493">
        <w:rPr>
          <w:rFonts w:ascii="Georgia" w:hAnsi="Georgia"/>
          <w:sz w:val="24"/>
          <w:szCs w:val="24"/>
        </w:rPr>
        <w:t>on</w:t>
      </w:r>
    </w:p>
    <w:p w14:paraId="14C12B64" w14:textId="0224649E" w:rsidR="00F7285A" w:rsidRDefault="00F7285A">
      <w:pPr>
        <w:rPr>
          <w:rFonts w:ascii="Georgia" w:hAnsi="Georgia"/>
          <w:sz w:val="24"/>
          <w:szCs w:val="24"/>
        </w:rPr>
      </w:pPr>
      <w:r w:rsidRPr="00F7285A">
        <w:rPr>
          <w:rFonts w:ascii="Georgia" w:hAnsi="Georgia"/>
          <w:sz w:val="24"/>
          <w:szCs w:val="24"/>
        </w:rPr>
        <w:t>Price Index Formation and Transparency,</w:t>
      </w:r>
      <w:r w:rsidR="00E43493">
        <w:rPr>
          <w:rFonts w:ascii="Georgia" w:hAnsi="Georgia"/>
          <w:sz w:val="24"/>
          <w:szCs w:val="24"/>
        </w:rPr>
        <w:t xml:space="preserve"> and</w:t>
      </w:r>
      <w:r w:rsidR="00E43493">
        <w:rPr>
          <w:rFonts w:ascii="Georgia" w:hAnsi="Georgia"/>
          <w:sz w:val="24"/>
          <w:szCs w:val="24"/>
        </w:rPr>
        <w:tab/>
      </w:r>
      <w:r w:rsidR="00E43493">
        <w:rPr>
          <w:rFonts w:ascii="Georgia" w:hAnsi="Georgia"/>
          <w:sz w:val="24"/>
          <w:szCs w:val="24"/>
        </w:rPr>
        <w:tab/>
      </w:r>
      <w:r w:rsidR="00E43493">
        <w:rPr>
          <w:rFonts w:ascii="Georgia" w:hAnsi="Georgia"/>
          <w:sz w:val="24"/>
          <w:szCs w:val="24"/>
        </w:rPr>
        <w:tab/>
      </w:r>
      <w:r w:rsidR="00E43493">
        <w:rPr>
          <w:rFonts w:ascii="Georgia" w:hAnsi="Georgia"/>
          <w:sz w:val="24"/>
          <w:szCs w:val="24"/>
        </w:rPr>
        <w:tab/>
      </w:r>
      <w:r w:rsidR="00E43493" w:rsidRPr="00F7285A">
        <w:rPr>
          <w:rFonts w:ascii="Georgia" w:hAnsi="Georgia"/>
          <w:sz w:val="24"/>
          <w:szCs w:val="24"/>
        </w:rPr>
        <w:t>Docket No. PL20-3</w:t>
      </w:r>
    </w:p>
    <w:p w14:paraId="05DDC91F" w14:textId="77777777" w:rsidR="00E43493" w:rsidRDefault="00F7285A">
      <w:pPr>
        <w:rPr>
          <w:rFonts w:ascii="Georgia" w:hAnsi="Georgia"/>
          <w:sz w:val="24"/>
          <w:szCs w:val="24"/>
        </w:rPr>
      </w:pPr>
      <w:r w:rsidRPr="00F7285A">
        <w:rPr>
          <w:rFonts w:ascii="Georgia" w:hAnsi="Georgia"/>
          <w:sz w:val="24"/>
          <w:szCs w:val="24"/>
        </w:rPr>
        <w:t>Indices Referenced in Natural Gas and Electric Tariffs</w:t>
      </w:r>
      <w:r w:rsidRPr="00F7285A">
        <w:rPr>
          <w:rFonts w:ascii="Georgia" w:hAnsi="Georgia"/>
          <w:sz w:val="24"/>
          <w:szCs w:val="24"/>
        </w:rPr>
        <w:tab/>
      </w:r>
    </w:p>
    <w:p w14:paraId="54D13907" w14:textId="77777777" w:rsidR="00E43493" w:rsidRDefault="00E43493">
      <w:pPr>
        <w:rPr>
          <w:rFonts w:ascii="Georgia" w:hAnsi="Georgia"/>
          <w:sz w:val="24"/>
          <w:szCs w:val="24"/>
        </w:rPr>
      </w:pPr>
    </w:p>
    <w:p w14:paraId="1F50DEB1" w14:textId="77777777" w:rsidR="00C229ED" w:rsidRDefault="00C229ED">
      <w:pPr>
        <w:rPr>
          <w:rFonts w:ascii="Georgia" w:hAnsi="Georgia"/>
          <w:sz w:val="24"/>
          <w:szCs w:val="24"/>
        </w:rPr>
      </w:pPr>
    </w:p>
    <w:p w14:paraId="02ACAF13" w14:textId="77777777" w:rsidR="00E43493" w:rsidRPr="00E43493" w:rsidRDefault="00E43493" w:rsidP="00E43493">
      <w:pPr>
        <w:jc w:val="center"/>
        <w:rPr>
          <w:rFonts w:ascii="Georgia" w:hAnsi="Georgia"/>
          <w:b/>
          <w:bCs/>
          <w:sz w:val="24"/>
          <w:szCs w:val="24"/>
        </w:rPr>
      </w:pPr>
      <w:r w:rsidRPr="00E43493">
        <w:rPr>
          <w:rFonts w:ascii="Georgia" w:hAnsi="Georgia"/>
          <w:b/>
          <w:bCs/>
          <w:sz w:val="24"/>
          <w:szCs w:val="24"/>
        </w:rPr>
        <w:t>Comment of Public Citizen, Inc.</w:t>
      </w:r>
    </w:p>
    <w:p w14:paraId="66D2F817" w14:textId="77777777" w:rsidR="00E43493" w:rsidRDefault="00E43493">
      <w:pPr>
        <w:rPr>
          <w:rFonts w:ascii="Georgia" w:hAnsi="Georgia"/>
          <w:sz w:val="24"/>
          <w:szCs w:val="24"/>
        </w:rPr>
      </w:pPr>
    </w:p>
    <w:p w14:paraId="38AED6AC" w14:textId="77777777" w:rsidR="00C229ED" w:rsidRDefault="00C229ED">
      <w:pPr>
        <w:rPr>
          <w:rFonts w:ascii="Georgia" w:hAnsi="Georgia"/>
          <w:sz w:val="24"/>
          <w:szCs w:val="24"/>
        </w:rPr>
      </w:pPr>
    </w:p>
    <w:p w14:paraId="1C31D2D8" w14:textId="77777777" w:rsidR="003F21C9" w:rsidRDefault="00E43493" w:rsidP="000D635A">
      <w:pPr>
        <w:spacing w:line="360" w:lineRule="auto"/>
        <w:rPr>
          <w:rFonts w:ascii="Georgia" w:hAnsi="Georgia"/>
          <w:sz w:val="24"/>
          <w:szCs w:val="24"/>
        </w:rPr>
      </w:pPr>
      <w:r>
        <w:rPr>
          <w:rFonts w:ascii="Georgia" w:hAnsi="Georgia"/>
          <w:sz w:val="24"/>
          <w:szCs w:val="24"/>
        </w:rPr>
        <w:tab/>
        <w:t xml:space="preserve">The Commission’s policy statement on natural gas price index formation and transparency, unfortunately, remains inadequate to address fundamental shortcomings of </w:t>
      </w:r>
      <w:proofErr w:type="gramStart"/>
      <w:r>
        <w:rPr>
          <w:rFonts w:ascii="Georgia" w:hAnsi="Georgia"/>
          <w:sz w:val="24"/>
          <w:szCs w:val="24"/>
        </w:rPr>
        <w:t>voluntarily-reported</w:t>
      </w:r>
      <w:proofErr w:type="gramEnd"/>
      <w:r>
        <w:rPr>
          <w:rFonts w:ascii="Georgia" w:hAnsi="Georgia"/>
          <w:sz w:val="24"/>
          <w:szCs w:val="24"/>
        </w:rPr>
        <w:t xml:space="preserve"> natural gas price indices to reflect</w:t>
      </w:r>
      <w:r w:rsidR="003F21C9">
        <w:rPr>
          <w:rFonts w:ascii="Georgia" w:hAnsi="Georgia"/>
          <w:sz w:val="24"/>
          <w:szCs w:val="24"/>
        </w:rPr>
        <w:t xml:space="preserve"> prices that accurately reflect market fundamentals. We ask the Commission to consider three improvements:</w:t>
      </w:r>
    </w:p>
    <w:p w14:paraId="2F7DD46E" w14:textId="03C478D5" w:rsidR="00F7285A" w:rsidRDefault="00F7285A" w:rsidP="003F21C9">
      <w:pPr>
        <w:rPr>
          <w:rFonts w:ascii="Georgia" w:hAnsi="Georgia"/>
          <w:sz w:val="24"/>
          <w:szCs w:val="24"/>
        </w:rPr>
      </w:pPr>
    </w:p>
    <w:p w14:paraId="235C3176" w14:textId="05B9EF13" w:rsidR="003F21C9" w:rsidRDefault="003F21C9" w:rsidP="003F21C9">
      <w:pPr>
        <w:pStyle w:val="ListParagraph"/>
        <w:numPr>
          <w:ilvl w:val="0"/>
          <w:numId w:val="2"/>
        </w:numPr>
        <w:rPr>
          <w:rFonts w:ascii="Georgia" w:hAnsi="Georgia"/>
          <w:sz w:val="24"/>
          <w:szCs w:val="24"/>
        </w:rPr>
      </w:pPr>
      <w:r>
        <w:rPr>
          <w:rFonts w:ascii="Georgia" w:hAnsi="Georgia"/>
          <w:sz w:val="24"/>
          <w:szCs w:val="24"/>
        </w:rPr>
        <w:t xml:space="preserve">Aggregate the data collected in the Form 552 </w:t>
      </w:r>
      <w:r w:rsidRPr="003F21C9">
        <w:rPr>
          <w:rFonts w:ascii="Georgia" w:hAnsi="Georgia"/>
          <w:sz w:val="24"/>
          <w:szCs w:val="24"/>
        </w:rPr>
        <w:t>Annual Report of Natural Gas Transactions</w:t>
      </w:r>
      <w:r>
        <w:rPr>
          <w:rFonts w:ascii="Georgia" w:hAnsi="Georgia"/>
          <w:sz w:val="24"/>
          <w:szCs w:val="24"/>
        </w:rPr>
        <w:t xml:space="preserve"> into a Microsoft Excel (or similarly compatible database program) to be made available to the public. Having the Commission </w:t>
      </w:r>
      <w:r w:rsidR="00153D0D">
        <w:rPr>
          <w:rFonts w:ascii="Georgia" w:hAnsi="Georgia"/>
          <w:sz w:val="24"/>
          <w:szCs w:val="24"/>
        </w:rPr>
        <w:t>compile and publish</w:t>
      </w:r>
      <w:r>
        <w:rPr>
          <w:rFonts w:ascii="Georgia" w:hAnsi="Georgia"/>
          <w:sz w:val="24"/>
          <w:szCs w:val="24"/>
        </w:rPr>
        <w:t xml:space="preserve"> all of the data reported in these forms in a spreadsheet will vastly improve public accessibility of the </w:t>
      </w:r>
      <w:proofErr w:type="gramStart"/>
      <w:r>
        <w:rPr>
          <w:rFonts w:ascii="Georgia" w:hAnsi="Georgia"/>
          <w:sz w:val="24"/>
          <w:szCs w:val="24"/>
        </w:rPr>
        <w:t>data, and</w:t>
      </w:r>
      <w:proofErr w:type="gramEnd"/>
      <w:r>
        <w:rPr>
          <w:rFonts w:ascii="Georgia" w:hAnsi="Georgia"/>
          <w:sz w:val="24"/>
          <w:szCs w:val="24"/>
        </w:rPr>
        <w:t xml:space="preserve"> </w:t>
      </w:r>
      <w:r w:rsidR="000B3CFA">
        <w:rPr>
          <w:rFonts w:ascii="Georgia" w:hAnsi="Georgia"/>
          <w:sz w:val="24"/>
          <w:szCs w:val="24"/>
        </w:rPr>
        <w:t xml:space="preserve">aggregating such data </w:t>
      </w:r>
      <w:r w:rsidR="00443F6C">
        <w:rPr>
          <w:rFonts w:ascii="Georgia" w:hAnsi="Georgia"/>
          <w:sz w:val="24"/>
          <w:szCs w:val="24"/>
        </w:rPr>
        <w:t>would likely present</w:t>
      </w:r>
      <w:r>
        <w:rPr>
          <w:rFonts w:ascii="Georgia" w:hAnsi="Georgia"/>
          <w:sz w:val="24"/>
          <w:szCs w:val="24"/>
        </w:rPr>
        <w:t xml:space="preserve"> minimal burdens upon Commission</w:t>
      </w:r>
      <w:r w:rsidR="000B3CFA">
        <w:rPr>
          <w:rFonts w:ascii="Georgia" w:hAnsi="Georgia"/>
          <w:sz w:val="24"/>
          <w:szCs w:val="24"/>
        </w:rPr>
        <w:t xml:space="preserve"> staff</w:t>
      </w:r>
      <w:r>
        <w:rPr>
          <w:rFonts w:ascii="Georgia" w:hAnsi="Georgia"/>
          <w:sz w:val="24"/>
          <w:szCs w:val="24"/>
        </w:rPr>
        <w:t>.</w:t>
      </w:r>
      <w:r w:rsidR="003E2F59">
        <w:rPr>
          <w:rFonts w:ascii="Georgia" w:hAnsi="Georgia"/>
          <w:sz w:val="24"/>
          <w:szCs w:val="24"/>
        </w:rPr>
        <w:t xml:space="preserve"> Currently, the</w:t>
      </w:r>
      <w:r w:rsidR="00771477">
        <w:rPr>
          <w:rFonts w:ascii="Georgia" w:hAnsi="Georgia"/>
          <w:sz w:val="24"/>
          <w:szCs w:val="24"/>
        </w:rPr>
        <w:t xml:space="preserve"> public is forced to </w:t>
      </w:r>
      <w:r w:rsidR="003E2F59">
        <w:rPr>
          <w:rFonts w:ascii="Georgia" w:hAnsi="Georgia"/>
          <w:sz w:val="24"/>
          <w:szCs w:val="24"/>
        </w:rPr>
        <w:t>manually compile data reported in the Form 552 reports</w:t>
      </w:r>
      <w:r w:rsidR="00771477">
        <w:rPr>
          <w:rFonts w:ascii="Georgia" w:hAnsi="Georgia"/>
          <w:sz w:val="24"/>
          <w:szCs w:val="24"/>
        </w:rPr>
        <w:t>, which is cumbersome and time-consuming.</w:t>
      </w:r>
    </w:p>
    <w:p w14:paraId="675414E1" w14:textId="761E34C8" w:rsidR="003F21C9" w:rsidRDefault="003F21C9" w:rsidP="003F21C9">
      <w:pPr>
        <w:pStyle w:val="ListParagraph"/>
        <w:numPr>
          <w:ilvl w:val="0"/>
          <w:numId w:val="2"/>
        </w:numPr>
        <w:rPr>
          <w:rFonts w:ascii="Georgia" w:hAnsi="Georgia"/>
          <w:sz w:val="24"/>
          <w:szCs w:val="24"/>
        </w:rPr>
      </w:pPr>
      <w:r>
        <w:rPr>
          <w:rFonts w:ascii="Georgia" w:hAnsi="Georgia"/>
          <w:sz w:val="24"/>
          <w:szCs w:val="24"/>
        </w:rPr>
        <w:t xml:space="preserve">Ensure that Form 552 reports include reference to </w:t>
      </w:r>
      <w:r w:rsidR="00285F86">
        <w:rPr>
          <w:rFonts w:ascii="Georgia" w:hAnsi="Georgia"/>
          <w:sz w:val="24"/>
          <w:szCs w:val="24"/>
        </w:rPr>
        <w:t xml:space="preserve">any </w:t>
      </w:r>
      <w:r>
        <w:rPr>
          <w:rFonts w:ascii="Georgia" w:hAnsi="Georgia"/>
          <w:sz w:val="24"/>
          <w:szCs w:val="24"/>
        </w:rPr>
        <w:t>affiliates fil</w:t>
      </w:r>
      <w:r w:rsidR="00285F86">
        <w:rPr>
          <w:rFonts w:ascii="Georgia" w:hAnsi="Georgia"/>
          <w:sz w:val="24"/>
          <w:szCs w:val="24"/>
        </w:rPr>
        <w:t>ing</w:t>
      </w:r>
      <w:r>
        <w:rPr>
          <w:rFonts w:ascii="Georgia" w:hAnsi="Georgia"/>
          <w:sz w:val="24"/>
          <w:szCs w:val="24"/>
        </w:rPr>
        <w:t xml:space="preserve"> separate Form 552 reports. At present, there are repeated instances of affiliates filing separate Form 552 reports that present challenges to the public (and possibly the Commission) to comprehensively identify physical gas trading by affiliates.</w:t>
      </w:r>
    </w:p>
    <w:p w14:paraId="4EE3D31E" w14:textId="2D393DB9" w:rsidR="003E2F59" w:rsidRDefault="003E2F59" w:rsidP="003F21C9">
      <w:pPr>
        <w:pStyle w:val="ListParagraph"/>
        <w:numPr>
          <w:ilvl w:val="0"/>
          <w:numId w:val="2"/>
        </w:numPr>
        <w:rPr>
          <w:rFonts w:ascii="Georgia" w:hAnsi="Georgia"/>
          <w:sz w:val="24"/>
          <w:szCs w:val="24"/>
        </w:rPr>
      </w:pPr>
      <w:r>
        <w:rPr>
          <w:rFonts w:ascii="Georgia" w:hAnsi="Georgia"/>
          <w:sz w:val="24"/>
          <w:szCs w:val="24"/>
        </w:rPr>
        <w:t>Initiate a rulemaking to “</w:t>
      </w:r>
      <w:r w:rsidRPr="003E2F59">
        <w:rPr>
          <w:rFonts w:ascii="Georgia" w:hAnsi="Georgia"/>
          <w:sz w:val="24"/>
          <w:szCs w:val="24"/>
        </w:rPr>
        <w:t>establish an electronic information system</w:t>
      </w:r>
      <w:r>
        <w:rPr>
          <w:rFonts w:ascii="Georgia" w:hAnsi="Georgia"/>
          <w:sz w:val="24"/>
          <w:szCs w:val="24"/>
        </w:rPr>
        <w:t xml:space="preserve">” pursuant to </w:t>
      </w:r>
      <w:r w:rsidRPr="003E2F59">
        <w:rPr>
          <w:rFonts w:ascii="Georgia" w:hAnsi="Georgia"/>
          <w:sz w:val="24"/>
          <w:szCs w:val="24"/>
        </w:rPr>
        <w:t>15 USC §</w:t>
      </w:r>
      <w:r w:rsidRPr="003E2F59">
        <w:rPr>
          <w:rFonts w:ascii="Times New Roman" w:hAnsi="Times New Roman" w:cs="Times New Roman"/>
          <w:sz w:val="24"/>
          <w:szCs w:val="24"/>
        </w:rPr>
        <w:t> </w:t>
      </w:r>
      <w:r w:rsidRPr="003E2F59">
        <w:rPr>
          <w:rFonts w:ascii="Georgia" w:hAnsi="Georgia"/>
          <w:sz w:val="24"/>
          <w:szCs w:val="24"/>
        </w:rPr>
        <w:t>717t</w:t>
      </w:r>
      <w:r w:rsidRPr="003E2F59">
        <w:rPr>
          <w:rFonts w:ascii="Georgia" w:hAnsi="Georgia" w:cs="Georgia"/>
          <w:sz w:val="24"/>
          <w:szCs w:val="24"/>
        </w:rPr>
        <w:t>–</w:t>
      </w:r>
      <w:r w:rsidRPr="003E2F59">
        <w:rPr>
          <w:rFonts w:ascii="Georgia" w:hAnsi="Georgia"/>
          <w:sz w:val="24"/>
          <w:szCs w:val="24"/>
        </w:rPr>
        <w:t xml:space="preserve">2(a)(4) </w:t>
      </w:r>
      <w:proofErr w:type="gramStart"/>
      <w:r>
        <w:rPr>
          <w:rFonts w:ascii="Georgia" w:hAnsi="Georgia"/>
          <w:sz w:val="24"/>
          <w:szCs w:val="24"/>
        </w:rPr>
        <w:t>in order to</w:t>
      </w:r>
      <w:proofErr w:type="gramEnd"/>
      <w:r>
        <w:rPr>
          <w:rFonts w:ascii="Georgia" w:hAnsi="Georgia"/>
          <w:sz w:val="24"/>
          <w:szCs w:val="24"/>
        </w:rPr>
        <w:t xml:space="preserve"> replace or supplement current price indices―sort of akin to the Commission establishing a type of RTO for natural gas.</w:t>
      </w:r>
      <w:r w:rsidR="00611D64">
        <w:rPr>
          <w:rStyle w:val="FootnoteReference"/>
          <w:rFonts w:ascii="Georgia" w:hAnsi="Georgia"/>
          <w:sz w:val="24"/>
          <w:szCs w:val="24"/>
        </w:rPr>
        <w:footnoteReference w:id="1"/>
      </w:r>
    </w:p>
    <w:p w14:paraId="3B7835AD" w14:textId="77777777" w:rsidR="003E2F59" w:rsidRDefault="003E2F59" w:rsidP="003E2F59">
      <w:pPr>
        <w:pStyle w:val="ListParagraph"/>
        <w:rPr>
          <w:rFonts w:ascii="Georgia" w:hAnsi="Georgia"/>
          <w:sz w:val="24"/>
          <w:szCs w:val="24"/>
        </w:rPr>
      </w:pPr>
    </w:p>
    <w:p w14:paraId="75F0E6BA" w14:textId="77777777" w:rsidR="003E2F59" w:rsidRDefault="003E2F59" w:rsidP="003E2F59">
      <w:pPr>
        <w:spacing w:line="360" w:lineRule="auto"/>
        <w:ind w:firstLine="720"/>
        <w:rPr>
          <w:rFonts w:ascii="Georgia" w:hAnsi="Georgia"/>
          <w:sz w:val="24"/>
          <w:szCs w:val="24"/>
        </w:rPr>
      </w:pPr>
      <w:r w:rsidRPr="009D0B30">
        <w:rPr>
          <w:rFonts w:ascii="Georgia" w:hAnsi="Georgia"/>
          <w:sz w:val="24"/>
          <w:szCs w:val="24"/>
        </w:rPr>
        <w:t xml:space="preserve">A natural gas index </w:t>
      </w:r>
      <w:r>
        <w:rPr>
          <w:rFonts w:ascii="Georgia" w:hAnsi="Georgia"/>
          <w:sz w:val="24"/>
          <w:szCs w:val="24"/>
        </w:rPr>
        <w:t xml:space="preserve">price </w:t>
      </w:r>
      <w:r w:rsidRPr="009D0B30">
        <w:rPr>
          <w:rFonts w:ascii="Georgia" w:hAnsi="Georgia"/>
          <w:sz w:val="24"/>
          <w:szCs w:val="24"/>
        </w:rPr>
        <w:t>is derived from</w:t>
      </w:r>
      <w:r>
        <w:rPr>
          <w:rFonts w:ascii="Georgia" w:hAnsi="Georgia"/>
          <w:sz w:val="24"/>
          <w:szCs w:val="24"/>
        </w:rPr>
        <w:t xml:space="preserve"> trades</w:t>
      </w:r>
      <w:r w:rsidRPr="009D0B30">
        <w:rPr>
          <w:rFonts w:ascii="Georgia" w:hAnsi="Georgia"/>
          <w:sz w:val="24"/>
          <w:szCs w:val="24"/>
        </w:rPr>
        <w:t xml:space="preserve"> within </w:t>
      </w:r>
      <w:r>
        <w:rPr>
          <w:rFonts w:ascii="Georgia" w:hAnsi="Georgia"/>
          <w:sz w:val="24"/>
          <w:szCs w:val="24"/>
        </w:rPr>
        <w:t>specific</w:t>
      </w:r>
      <w:r w:rsidRPr="009D0B30">
        <w:rPr>
          <w:rFonts w:ascii="Georgia" w:hAnsi="Georgia"/>
          <w:sz w:val="24"/>
          <w:szCs w:val="24"/>
        </w:rPr>
        <w:t xml:space="preserve"> geographical boundaries that market participants voluntarily report to a price index developer.</w:t>
      </w:r>
      <w:r>
        <w:rPr>
          <w:rFonts w:ascii="Georgia" w:hAnsi="Georgia"/>
          <w:sz w:val="24"/>
          <w:szCs w:val="24"/>
        </w:rPr>
        <w:t xml:space="preserve"> Price index developers are private, for-profit companies that classify most of the </w:t>
      </w:r>
      <w:proofErr w:type="gramStart"/>
      <w:r>
        <w:rPr>
          <w:rFonts w:ascii="Georgia" w:hAnsi="Georgia"/>
          <w:sz w:val="24"/>
          <w:szCs w:val="24"/>
        </w:rPr>
        <w:t>voluntarily-reported</w:t>
      </w:r>
      <w:proofErr w:type="gramEnd"/>
      <w:r>
        <w:rPr>
          <w:rFonts w:ascii="Georgia" w:hAnsi="Georgia"/>
          <w:sz w:val="24"/>
          <w:szCs w:val="24"/>
        </w:rPr>
        <w:t xml:space="preserve"> data as proprietary, that the index developers then commodify and sell only to those that can afford the very expensive subscription fees.</w:t>
      </w:r>
    </w:p>
    <w:p w14:paraId="35D069BA" w14:textId="77B85043" w:rsidR="003E2F59" w:rsidRDefault="003E2F59" w:rsidP="003E2F59">
      <w:pPr>
        <w:spacing w:line="360" w:lineRule="auto"/>
        <w:rPr>
          <w:rFonts w:ascii="Georgia" w:hAnsi="Georgia"/>
          <w:sz w:val="24"/>
          <w:szCs w:val="24"/>
        </w:rPr>
      </w:pPr>
      <w:r>
        <w:rPr>
          <w:rFonts w:ascii="Georgia" w:hAnsi="Georgia"/>
          <w:sz w:val="24"/>
          <w:szCs w:val="24"/>
        </w:rPr>
        <w:lastRenderedPageBreak/>
        <w:tab/>
        <w:t xml:space="preserve">These voluntarily-reported transactions determine the price of natural gas for millions of households and businesses across the country, as </w:t>
      </w:r>
      <w:r w:rsidRPr="000C73B8">
        <w:rPr>
          <w:rFonts w:ascii="Georgia" w:hAnsi="Georgia"/>
          <w:sz w:val="24"/>
          <w:szCs w:val="24"/>
        </w:rPr>
        <w:t>market participants reference index prices in their physical and financial transactions</w:t>
      </w:r>
      <w:r>
        <w:rPr>
          <w:rFonts w:ascii="Georgia" w:hAnsi="Georgia"/>
          <w:sz w:val="24"/>
          <w:szCs w:val="24"/>
        </w:rPr>
        <w:t>:</w:t>
      </w:r>
      <w:r w:rsidRPr="000C73B8">
        <w:rPr>
          <w:rFonts w:ascii="Georgia" w:hAnsi="Georgia"/>
          <w:sz w:val="24"/>
          <w:szCs w:val="24"/>
        </w:rPr>
        <w:t xml:space="preserve"> natural gas pipelines and Regional Transmission Organizations </w:t>
      </w:r>
      <w:r>
        <w:rPr>
          <w:rFonts w:ascii="Georgia" w:hAnsi="Georgia"/>
          <w:sz w:val="24"/>
          <w:szCs w:val="24"/>
        </w:rPr>
        <w:t>feature</w:t>
      </w:r>
      <w:r w:rsidRPr="000C73B8">
        <w:rPr>
          <w:rFonts w:ascii="Georgia" w:hAnsi="Georgia"/>
          <w:sz w:val="24"/>
          <w:szCs w:val="24"/>
        </w:rPr>
        <w:t xml:space="preserve"> natural gas indices in their FERC-jurisdictional tariffs for various terms and conditions of service</w:t>
      </w:r>
      <w:r>
        <w:rPr>
          <w:rFonts w:ascii="Georgia" w:hAnsi="Georgia"/>
          <w:sz w:val="24"/>
          <w:szCs w:val="24"/>
        </w:rPr>
        <w:t>;</w:t>
      </w:r>
      <w:r w:rsidRPr="000C73B8">
        <w:rPr>
          <w:rFonts w:ascii="Georgia" w:hAnsi="Georgia"/>
          <w:sz w:val="24"/>
          <w:szCs w:val="24"/>
        </w:rPr>
        <w:t xml:space="preserve"> </w:t>
      </w:r>
      <w:r>
        <w:rPr>
          <w:rFonts w:ascii="Georgia" w:hAnsi="Georgia"/>
          <w:sz w:val="24"/>
          <w:szCs w:val="24"/>
        </w:rPr>
        <w:t>s</w:t>
      </w:r>
      <w:r w:rsidRPr="000C73B8">
        <w:rPr>
          <w:rFonts w:ascii="Georgia" w:hAnsi="Georgia"/>
          <w:sz w:val="24"/>
          <w:szCs w:val="24"/>
        </w:rPr>
        <w:t xml:space="preserve">tate </w:t>
      </w:r>
      <w:r>
        <w:rPr>
          <w:rFonts w:ascii="Georgia" w:hAnsi="Georgia"/>
          <w:sz w:val="24"/>
          <w:szCs w:val="24"/>
        </w:rPr>
        <w:t>utility commissions</w:t>
      </w:r>
      <w:r w:rsidRPr="000C73B8">
        <w:rPr>
          <w:rFonts w:ascii="Georgia" w:hAnsi="Georgia"/>
          <w:sz w:val="24"/>
          <w:szCs w:val="24"/>
        </w:rPr>
        <w:t xml:space="preserve"> </w:t>
      </w:r>
      <w:r>
        <w:rPr>
          <w:rFonts w:ascii="Georgia" w:hAnsi="Georgia"/>
          <w:sz w:val="24"/>
          <w:szCs w:val="24"/>
        </w:rPr>
        <w:t>rely on</w:t>
      </w:r>
      <w:r w:rsidRPr="000C73B8">
        <w:rPr>
          <w:rFonts w:ascii="Georgia" w:hAnsi="Georgia"/>
          <w:sz w:val="24"/>
          <w:szCs w:val="24"/>
        </w:rPr>
        <w:t xml:space="preserve"> natural gas indices as benchmarks when </w:t>
      </w:r>
      <w:r>
        <w:rPr>
          <w:rFonts w:ascii="Georgia" w:hAnsi="Georgia"/>
          <w:sz w:val="24"/>
          <w:szCs w:val="24"/>
        </w:rPr>
        <w:t>setting rates; and</w:t>
      </w:r>
      <w:r w:rsidRPr="000C73B8">
        <w:rPr>
          <w:rFonts w:ascii="Georgia" w:hAnsi="Georgia"/>
          <w:sz w:val="24"/>
          <w:szCs w:val="24"/>
        </w:rPr>
        <w:t xml:space="preserve"> many natural gas financial derivative contracts used in hedging and speculation settle against the natural gas price indices.</w:t>
      </w:r>
      <w:r>
        <w:rPr>
          <w:rStyle w:val="FootnoteReference"/>
          <w:rFonts w:ascii="Georgia" w:hAnsi="Georgia"/>
          <w:sz w:val="24"/>
          <w:szCs w:val="24"/>
        </w:rPr>
        <w:footnoteReference w:id="2"/>
      </w:r>
      <w:r>
        <w:rPr>
          <w:rFonts w:ascii="Georgia" w:hAnsi="Georgia"/>
          <w:sz w:val="24"/>
          <w:szCs w:val="24"/>
        </w:rPr>
        <w:t xml:space="preserve"> In a way, hundreds of billions of dollars of energy transactions rely upon voluntarily-reported price indexes</w:t>
      </w:r>
      <w:r>
        <w:rPr>
          <w:rFonts w:ascii="Cambria" w:hAnsi="Cambria"/>
          <w:sz w:val="24"/>
          <w:szCs w:val="24"/>
        </w:rPr>
        <w:t>—</w:t>
      </w:r>
      <w:r>
        <w:rPr>
          <w:rFonts w:ascii="Georgia" w:hAnsi="Georgia"/>
          <w:sz w:val="24"/>
          <w:szCs w:val="24"/>
        </w:rPr>
        <w:t>a 21</w:t>
      </w:r>
      <w:r w:rsidRPr="00BD1ED1">
        <w:rPr>
          <w:rFonts w:ascii="Georgia" w:hAnsi="Georgia"/>
          <w:sz w:val="24"/>
          <w:szCs w:val="24"/>
          <w:vertAlign w:val="superscript"/>
        </w:rPr>
        <w:t>st</w:t>
      </w:r>
      <w:r>
        <w:rPr>
          <w:rFonts w:ascii="Georgia" w:hAnsi="Georgia"/>
          <w:sz w:val="24"/>
          <w:szCs w:val="24"/>
        </w:rPr>
        <w:t xml:space="preserve"> century version of a smoke-filled, price-fixing establishment.</w:t>
      </w:r>
    </w:p>
    <w:p w14:paraId="1F1C8B2E" w14:textId="09C3E02D" w:rsidR="007E540B" w:rsidRDefault="006B2741" w:rsidP="006026F8">
      <w:pPr>
        <w:spacing w:line="360" w:lineRule="auto"/>
        <w:ind w:firstLine="720"/>
        <w:rPr>
          <w:rFonts w:ascii="Georgia" w:hAnsi="Georgia"/>
          <w:sz w:val="24"/>
          <w:szCs w:val="24"/>
        </w:rPr>
      </w:pPr>
      <w:r>
        <w:rPr>
          <w:rFonts w:ascii="Georgia" w:hAnsi="Georgia"/>
          <w:sz w:val="24"/>
          <w:szCs w:val="24"/>
        </w:rPr>
        <w:t xml:space="preserve">Federal law requires the Commission to ensure that spot natural gas price indices feature adequate </w:t>
      </w:r>
      <w:r w:rsidRPr="00C15ECE">
        <w:rPr>
          <w:rFonts w:ascii="Georgia" w:hAnsi="Georgia"/>
          <w:sz w:val="24"/>
          <w:szCs w:val="24"/>
        </w:rPr>
        <w:t xml:space="preserve">price discovery </w:t>
      </w:r>
      <w:r>
        <w:rPr>
          <w:rFonts w:ascii="Georgia" w:hAnsi="Georgia"/>
          <w:sz w:val="24"/>
          <w:szCs w:val="24"/>
        </w:rPr>
        <w:t>and</w:t>
      </w:r>
      <w:r w:rsidRPr="00C15ECE">
        <w:rPr>
          <w:rFonts w:ascii="Georgia" w:hAnsi="Georgia"/>
          <w:sz w:val="24"/>
          <w:szCs w:val="24"/>
        </w:rPr>
        <w:t xml:space="preserve"> market transparency</w:t>
      </w:r>
      <w:r>
        <w:rPr>
          <w:rFonts w:ascii="Georgia" w:hAnsi="Georgia"/>
          <w:sz w:val="24"/>
          <w:szCs w:val="24"/>
        </w:rPr>
        <w:t xml:space="preserve">. Spot natural gas price indices are structurally </w:t>
      </w:r>
      <w:proofErr w:type="gramStart"/>
      <w:r>
        <w:rPr>
          <w:rFonts w:ascii="Georgia" w:hAnsi="Georgia"/>
          <w:sz w:val="24"/>
          <w:szCs w:val="24"/>
        </w:rPr>
        <w:t>non-competitive</w:t>
      </w:r>
      <w:proofErr w:type="gramEnd"/>
      <w:r>
        <w:rPr>
          <w:rFonts w:ascii="Georgia" w:hAnsi="Georgia"/>
          <w:sz w:val="24"/>
          <w:szCs w:val="24"/>
        </w:rPr>
        <w:t xml:space="preserve"> and the voluntary nature of reporting trades renders them susceptible to market manipulation. The rest of the world has been replacing voluntary price indices for benchmarks with far larger economic impacts that U.S. natural gas spot prices</w:t>
      </w:r>
      <w:r w:rsidR="0031390F">
        <w:rPr>
          <w:rFonts w:ascii="Georgia" w:hAnsi="Georgia"/>
          <w:sz w:val="24"/>
          <w:szCs w:val="24"/>
        </w:rPr>
        <w:t xml:space="preserve"> (such as replacing </w:t>
      </w:r>
      <w:r w:rsidR="00573850">
        <w:rPr>
          <w:rFonts w:ascii="Georgia" w:hAnsi="Georgia"/>
          <w:sz w:val="24"/>
          <w:szCs w:val="24"/>
        </w:rPr>
        <w:t xml:space="preserve">the </w:t>
      </w:r>
      <w:r w:rsidR="00573850" w:rsidRPr="00F5173C">
        <w:rPr>
          <w:rFonts w:ascii="Georgia" w:hAnsi="Georgia"/>
          <w:sz w:val="24"/>
          <w:szCs w:val="24"/>
        </w:rPr>
        <w:t>London Interbank Offered Rate</w:t>
      </w:r>
      <w:r w:rsidR="00573850">
        <w:rPr>
          <w:rFonts w:ascii="Georgia" w:hAnsi="Georgia"/>
          <w:sz w:val="24"/>
          <w:szCs w:val="24"/>
        </w:rPr>
        <w:t xml:space="preserve"> </w:t>
      </w:r>
      <w:r w:rsidR="00D13DA3">
        <w:rPr>
          <w:rFonts w:ascii="Georgia" w:hAnsi="Georgia"/>
          <w:sz w:val="24"/>
          <w:szCs w:val="24"/>
        </w:rPr>
        <w:t>(</w:t>
      </w:r>
      <w:r w:rsidR="00573850">
        <w:rPr>
          <w:rFonts w:ascii="Georgia" w:hAnsi="Georgia"/>
          <w:sz w:val="24"/>
          <w:szCs w:val="24"/>
        </w:rPr>
        <w:t>LIBOR</w:t>
      </w:r>
      <w:r w:rsidR="00D13DA3">
        <w:rPr>
          <w:rFonts w:ascii="Georgia" w:hAnsi="Georgia"/>
          <w:sz w:val="24"/>
          <w:szCs w:val="24"/>
        </w:rPr>
        <w:t xml:space="preserve">) with </w:t>
      </w:r>
      <w:r w:rsidR="00FE0BC4">
        <w:rPr>
          <w:rFonts w:ascii="Georgia" w:hAnsi="Georgia"/>
          <w:sz w:val="24"/>
          <w:szCs w:val="24"/>
        </w:rPr>
        <w:t xml:space="preserve">the </w:t>
      </w:r>
      <w:r w:rsidR="00FE0BC4" w:rsidRPr="00FE0BC4">
        <w:rPr>
          <w:rFonts w:ascii="Georgia" w:hAnsi="Georgia"/>
          <w:sz w:val="24"/>
          <w:szCs w:val="24"/>
        </w:rPr>
        <w:t>Secured Overnight Financing Rate</w:t>
      </w:r>
      <w:r>
        <w:rPr>
          <w:rFonts w:ascii="Georgia" w:hAnsi="Georgia"/>
          <w:sz w:val="24"/>
          <w:szCs w:val="24"/>
        </w:rPr>
        <w:t xml:space="preserve"> </w:t>
      </w:r>
      <w:r w:rsidR="00FE0BC4">
        <w:rPr>
          <w:rFonts w:ascii="Georgia" w:hAnsi="Georgia"/>
          <w:sz w:val="24"/>
          <w:szCs w:val="24"/>
        </w:rPr>
        <w:t>(SOFR))</w:t>
      </w:r>
      <w:r w:rsidR="00AD0460">
        <w:rPr>
          <w:rFonts w:ascii="Georgia" w:hAnsi="Georgia"/>
          <w:sz w:val="24"/>
          <w:szCs w:val="24"/>
        </w:rPr>
        <w:t>. T</w:t>
      </w:r>
      <w:r>
        <w:rPr>
          <w:rFonts w:ascii="Georgia" w:hAnsi="Georgia"/>
          <w:sz w:val="24"/>
          <w:szCs w:val="24"/>
        </w:rPr>
        <w:t xml:space="preserve">he Commission should </w:t>
      </w:r>
      <w:r w:rsidR="00AD0460">
        <w:rPr>
          <w:rFonts w:ascii="Georgia" w:hAnsi="Georgia"/>
          <w:sz w:val="24"/>
          <w:szCs w:val="24"/>
        </w:rPr>
        <w:t>therefore</w:t>
      </w:r>
      <w:r>
        <w:rPr>
          <w:rFonts w:ascii="Georgia" w:hAnsi="Georgia"/>
          <w:sz w:val="24"/>
          <w:szCs w:val="24"/>
        </w:rPr>
        <w:t xml:space="preserve"> </w:t>
      </w:r>
      <w:r w:rsidRPr="00EF7488">
        <w:rPr>
          <w:rFonts w:ascii="Georgia" w:hAnsi="Georgia"/>
          <w:sz w:val="24"/>
          <w:szCs w:val="24"/>
        </w:rPr>
        <w:t>establish an electronic information system</w:t>
      </w:r>
      <w:r>
        <w:rPr>
          <w:rFonts w:ascii="Georgia" w:hAnsi="Georgia"/>
          <w:sz w:val="24"/>
          <w:szCs w:val="24"/>
        </w:rPr>
        <w:t xml:space="preserve">, as authorized by </w:t>
      </w:r>
      <w:r w:rsidRPr="00EF7488">
        <w:rPr>
          <w:rFonts w:ascii="Georgia" w:hAnsi="Georgia"/>
          <w:sz w:val="24"/>
          <w:szCs w:val="24"/>
        </w:rPr>
        <w:t>15 USC §</w:t>
      </w:r>
      <w:r w:rsidRPr="00EF7488">
        <w:rPr>
          <w:rFonts w:ascii="Times New Roman" w:hAnsi="Times New Roman" w:cs="Times New Roman"/>
          <w:sz w:val="24"/>
          <w:szCs w:val="24"/>
        </w:rPr>
        <w:t> </w:t>
      </w:r>
      <w:r w:rsidRPr="00EF7488">
        <w:rPr>
          <w:rFonts w:ascii="Georgia" w:hAnsi="Georgia"/>
          <w:sz w:val="24"/>
          <w:szCs w:val="24"/>
        </w:rPr>
        <w:t>717t</w:t>
      </w:r>
      <w:r w:rsidRPr="00EF7488">
        <w:rPr>
          <w:rFonts w:ascii="Georgia" w:hAnsi="Georgia" w:cs="Georgia"/>
          <w:sz w:val="24"/>
          <w:szCs w:val="24"/>
        </w:rPr>
        <w:t>–</w:t>
      </w:r>
      <w:r w:rsidRPr="00EF7488">
        <w:rPr>
          <w:rFonts w:ascii="Georgia" w:hAnsi="Georgia"/>
          <w:sz w:val="24"/>
          <w:szCs w:val="24"/>
        </w:rPr>
        <w:t>2(a)(4)</w:t>
      </w:r>
      <w:r w:rsidR="006026F8">
        <w:rPr>
          <w:rFonts w:ascii="Georgia" w:hAnsi="Georgia"/>
          <w:sz w:val="24"/>
          <w:szCs w:val="24"/>
        </w:rPr>
        <w:t>, which states</w:t>
      </w:r>
      <w:r w:rsidR="007E540B">
        <w:rPr>
          <w:rFonts w:ascii="Georgia" w:hAnsi="Georgia"/>
          <w:sz w:val="24"/>
          <w:szCs w:val="24"/>
        </w:rPr>
        <w:t xml:space="preserve"> that </w:t>
      </w:r>
      <w:r w:rsidR="007E540B" w:rsidRPr="00D02316">
        <w:rPr>
          <w:rFonts w:ascii="Georgia" w:hAnsi="Georgia"/>
          <w:sz w:val="24"/>
          <w:szCs w:val="24"/>
        </w:rPr>
        <w:t xml:space="preserve">“the Commission shall consider the degree of price transparency provided by existing price publishers and providers of trade processing services . . . </w:t>
      </w:r>
      <w:r w:rsidR="007E540B" w:rsidRPr="00EF110D">
        <w:rPr>
          <w:rFonts w:ascii="Georgia" w:hAnsi="Georgia"/>
          <w:b/>
          <w:bCs/>
          <w:i/>
          <w:iCs/>
          <w:sz w:val="24"/>
          <w:szCs w:val="24"/>
        </w:rPr>
        <w:t xml:space="preserve">The Commission may establish an electronic information system if it determines that existing price publications are not adequately providing </w:t>
      </w:r>
      <w:bookmarkStart w:id="0" w:name="_Hlk73429149"/>
      <w:r w:rsidR="007E540B" w:rsidRPr="00EF110D">
        <w:rPr>
          <w:rFonts w:ascii="Georgia" w:hAnsi="Georgia"/>
          <w:b/>
          <w:bCs/>
          <w:i/>
          <w:iCs/>
          <w:sz w:val="24"/>
          <w:szCs w:val="24"/>
        </w:rPr>
        <w:t>price discovery or market transparency</w:t>
      </w:r>
      <w:bookmarkEnd w:id="0"/>
      <w:r w:rsidR="007E540B">
        <w:rPr>
          <w:rFonts w:ascii="Georgia" w:hAnsi="Georgia"/>
          <w:sz w:val="24"/>
          <w:szCs w:val="24"/>
        </w:rPr>
        <w:t xml:space="preserve">” [emphasis added]. Such “an electronic information system” could be based on </w:t>
      </w:r>
      <w:r w:rsidR="007E540B" w:rsidRPr="00155CA4">
        <w:rPr>
          <w:rFonts w:ascii="Georgia" w:hAnsi="Georgia"/>
          <w:sz w:val="24"/>
          <w:szCs w:val="24"/>
          <w:u w:val="single"/>
        </w:rPr>
        <w:t>actual</w:t>
      </w:r>
      <w:r w:rsidR="007E540B">
        <w:rPr>
          <w:rFonts w:ascii="Georgia" w:hAnsi="Georgia"/>
          <w:sz w:val="24"/>
          <w:szCs w:val="24"/>
        </w:rPr>
        <w:t xml:space="preserve"> transactions, and not limited to those voluntarily reported, and would be freely available to all interested parties through a platform hosted by the Commission, rather than the proprietary, commodified data model of the index publishers.</w:t>
      </w:r>
    </w:p>
    <w:p w14:paraId="3D63A3D9" w14:textId="00A988AC" w:rsidR="006026F8" w:rsidRDefault="00BD2610" w:rsidP="006026F8">
      <w:pPr>
        <w:spacing w:line="360" w:lineRule="auto"/>
        <w:ind w:firstLine="720"/>
        <w:rPr>
          <w:rFonts w:ascii="Georgia" w:hAnsi="Georgia"/>
          <w:sz w:val="24"/>
          <w:szCs w:val="24"/>
        </w:rPr>
      </w:pPr>
      <w:r w:rsidRPr="00BD2610">
        <w:rPr>
          <w:rFonts w:ascii="Georgia" w:hAnsi="Georgia"/>
          <w:sz w:val="24"/>
          <w:szCs w:val="24"/>
        </w:rPr>
        <w:t xml:space="preserve">Indeed, </w:t>
      </w:r>
      <w:r w:rsidR="00B8088B">
        <w:rPr>
          <w:rFonts w:ascii="Georgia" w:hAnsi="Georgia"/>
          <w:sz w:val="24"/>
          <w:szCs w:val="24"/>
        </w:rPr>
        <w:t xml:space="preserve">FERC </w:t>
      </w:r>
      <w:r w:rsidR="008C7CFA">
        <w:rPr>
          <w:rFonts w:ascii="Georgia" w:hAnsi="Georgia"/>
          <w:sz w:val="24"/>
          <w:szCs w:val="24"/>
        </w:rPr>
        <w:t>conceived</w:t>
      </w:r>
      <w:r w:rsidR="00B8088B">
        <w:rPr>
          <w:rFonts w:ascii="Georgia" w:hAnsi="Georgia"/>
          <w:sz w:val="24"/>
          <w:szCs w:val="24"/>
        </w:rPr>
        <w:t xml:space="preserve"> of the idea of having</w:t>
      </w:r>
      <w:r w:rsidRPr="00BD2610">
        <w:rPr>
          <w:rFonts w:ascii="Georgia" w:hAnsi="Georgia"/>
          <w:sz w:val="24"/>
          <w:szCs w:val="24"/>
        </w:rPr>
        <w:t xml:space="preserve"> authority to create its own electronic natural gas price </w:t>
      </w:r>
      <w:r w:rsidRPr="00BD2610">
        <w:rPr>
          <w:rFonts w:ascii="Georgia" w:hAnsi="Georgia"/>
          <w:sz w:val="24"/>
          <w:szCs w:val="24"/>
        </w:rPr>
        <w:t>reporting</w:t>
      </w:r>
      <w:r w:rsidRPr="00BD2610">
        <w:rPr>
          <w:rFonts w:ascii="Georgia" w:hAnsi="Georgia"/>
          <w:sz w:val="24"/>
          <w:szCs w:val="24"/>
        </w:rPr>
        <w:t xml:space="preserve"> system</w:t>
      </w:r>
      <w:r w:rsidR="008C7CFA">
        <w:rPr>
          <w:rFonts w:ascii="Georgia" w:hAnsi="Georgia"/>
          <w:sz w:val="24"/>
          <w:szCs w:val="24"/>
        </w:rPr>
        <w:t>.</w:t>
      </w:r>
      <w:r w:rsidRPr="00BD2610">
        <w:rPr>
          <w:rFonts w:ascii="Georgia" w:hAnsi="Georgia"/>
          <w:sz w:val="24"/>
          <w:szCs w:val="24"/>
        </w:rPr>
        <w:t xml:space="preserve"> In testimony before the House Committee on Energy and Commerce on February 10, 2005, FERC's general counsel Cynthia A. </w:t>
      </w:r>
      <w:r w:rsidRPr="00BD2610">
        <w:rPr>
          <w:rFonts w:ascii="Georgia" w:hAnsi="Georgia"/>
          <w:sz w:val="24"/>
          <w:szCs w:val="24"/>
        </w:rPr>
        <w:lastRenderedPageBreak/>
        <w:t xml:space="preserve">Marlette included in her prepared testimony a section entitled </w:t>
      </w:r>
      <w:r w:rsidRPr="00471338">
        <w:rPr>
          <w:rFonts w:ascii="Georgia" w:hAnsi="Georgia"/>
          <w:sz w:val="24"/>
          <w:szCs w:val="24"/>
          <w:u w:val="single"/>
        </w:rPr>
        <w:t>Price Transparency in Natural Gas and Electric Markets</w:t>
      </w:r>
      <w:r w:rsidR="001C026E">
        <w:rPr>
          <w:rFonts w:ascii="Georgia" w:hAnsi="Georgia"/>
          <w:sz w:val="24"/>
          <w:szCs w:val="24"/>
        </w:rPr>
        <w:t>, where she declared:</w:t>
      </w:r>
    </w:p>
    <w:p w14:paraId="5B982469" w14:textId="77777777" w:rsidR="00471338" w:rsidRDefault="00471338" w:rsidP="006026F8">
      <w:pPr>
        <w:spacing w:line="360" w:lineRule="auto"/>
        <w:ind w:firstLine="720"/>
        <w:rPr>
          <w:rFonts w:ascii="Georgia" w:hAnsi="Georgia"/>
          <w:sz w:val="24"/>
          <w:szCs w:val="24"/>
        </w:rPr>
      </w:pPr>
    </w:p>
    <w:p w14:paraId="0EB1379A" w14:textId="2AF399D2" w:rsidR="00672D9C" w:rsidRDefault="00672D9C" w:rsidP="00C229ED">
      <w:pPr>
        <w:ind w:left="720"/>
        <w:rPr>
          <w:rFonts w:ascii="Georgia" w:hAnsi="Georgia"/>
          <w:sz w:val="24"/>
          <w:szCs w:val="24"/>
        </w:rPr>
      </w:pPr>
      <w:r w:rsidRPr="00C229ED">
        <w:rPr>
          <w:rFonts w:ascii="Georgia" w:hAnsi="Georgia"/>
          <w:i/>
          <w:iCs/>
        </w:rPr>
        <w:t>It would be helpful if the Congress clarified the Commission’s authority to require the development of an electronic price reporting system,</w:t>
      </w:r>
      <w:r w:rsidRPr="00C229ED">
        <w:rPr>
          <w:rFonts w:ascii="Georgia" w:hAnsi="Georgia"/>
          <w:i/>
          <w:iCs/>
        </w:rPr>
        <w:t xml:space="preserve"> </w:t>
      </w:r>
      <w:r w:rsidRPr="00C229ED">
        <w:rPr>
          <w:rFonts w:ascii="Georgia" w:hAnsi="Georgia"/>
          <w:i/>
          <w:iCs/>
        </w:rPr>
        <w:t>and if the Congress gave the Commission the ability to require all electric market</w:t>
      </w:r>
      <w:r w:rsidRPr="00C229ED">
        <w:rPr>
          <w:rFonts w:ascii="Georgia" w:hAnsi="Georgia"/>
          <w:i/>
          <w:iCs/>
        </w:rPr>
        <w:t xml:space="preserve"> </w:t>
      </w:r>
      <w:r w:rsidRPr="00C229ED">
        <w:rPr>
          <w:rFonts w:ascii="Georgia" w:hAnsi="Georgia"/>
          <w:i/>
          <w:iCs/>
        </w:rPr>
        <w:t>participants to participate in such a reporting system . . . and make it publicly available.</w:t>
      </w:r>
      <w:r w:rsidR="002117D0">
        <w:rPr>
          <w:rStyle w:val="FootnoteReference"/>
          <w:rFonts w:ascii="Georgia" w:hAnsi="Georgia"/>
          <w:sz w:val="24"/>
          <w:szCs w:val="24"/>
        </w:rPr>
        <w:footnoteReference w:id="3"/>
      </w:r>
    </w:p>
    <w:p w14:paraId="7484E672" w14:textId="77777777" w:rsidR="00C229ED" w:rsidRDefault="002117D0" w:rsidP="00672D9C">
      <w:pPr>
        <w:spacing w:line="360" w:lineRule="auto"/>
        <w:rPr>
          <w:rFonts w:ascii="Georgia" w:hAnsi="Georgia"/>
          <w:sz w:val="24"/>
          <w:szCs w:val="24"/>
        </w:rPr>
      </w:pPr>
      <w:r>
        <w:rPr>
          <w:rFonts w:ascii="Georgia" w:hAnsi="Georgia"/>
          <w:sz w:val="24"/>
          <w:szCs w:val="24"/>
        </w:rPr>
        <w:tab/>
      </w:r>
    </w:p>
    <w:p w14:paraId="361ED656" w14:textId="09FD7169" w:rsidR="00C229ED" w:rsidRDefault="00CC60F3" w:rsidP="00C229ED">
      <w:pPr>
        <w:spacing w:line="360" w:lineRule="auto"/>
        <w:ind w:firstLine="720"/>
        <w:rPr>
          <w:rFonts w:ascii="Georgia" w:hAnsi="Georgia"/>
          <w:sz w:val="24"/>
          <w:szCs w:val="24"/>
        </w:rPr>
      </w:pPr>
      <w:r>
        <w:rPr>
          <w:rFonts w:ascii="Georgia" w:hAnsi="Georgia"/>
          <w:sz w:val="24"/>
          <w:szCs w:val="24"/>
        </w:rPr>
        <w:t>Finally</w:t>
      </w:r>
      <w:r w:rsidR="002E64A1">
        <w:rPr>
          <w:rFonts w:ascii="Georgia" w:hAnsi="Georgia"/>
          <w:sz w:val="24"/>
          <w:szCs w:val="24"/>
        </w:rPr>
        <w:t xml:space="preserve">, </w:t>
      </w:r>
      <w:r w:rsidR="00E20C25">
        <w:rPr>
          <w:rFonts w:ascii="Georgia" w:hAnsi="Georgia"/>
          <w:sz w:val="24"/>
          <w:szCs w:val="24"/>
        </w:rPr>
        <w:t>S&amp;P</w:t>
      </w:r>
      <w:r w:rsidR="002E64A1">
        <w:rPr>
          <w:rFonts w:ascii="Georgia" w:hAnsi="Georgia"/>
          <w:sz w:val="24"/>
          <w:szCs w:val="24"/>
        </w:rPr>
        <w:t xml:space="preserve"> </w:t>
      </w:r>
      <w:r w:rsidR="00A40818">
        <w:rPr>
          <w:rFonts w:ascii="Georgia" w:hAnsi="Georgia"/>
          <w:sz w:val="24"/>
          <w:szCs w:val="24"/>
        </w:rPr>
        <w:t xml:space="preserve">Global―the </w:t>
      </w:r>
      <w:r w:rsidR="002E64A1">
        <w:rPr>
          <w:rFonts w:ascii="Georgia" w:hAnsi="Georgia"/>
          <w:sz w:val="24"/>
          <w:szCs w:val="24"/>
        </w:rPr>
        <w:t xml:space="preserve">company </w:t>
      </w:r>
      <w:r w:rsidR="00E20C25">
        <w:rPr>
          <w:rFonts w:ascii="Georgia" w:hAnsi="Georgia"/>
          <w:sz w:val="24"/>
          <w:szCs w:val="24"/>
        </w:rPr>
        <w:t xml:space="preserve">that operates </w:t>
      </w:r>
      <w:r w:rsidR="00A40818">
        <w:rPr>
          <w:rFonts w:ascii="Georgia" w:hAnsi="Georgia"/>
          <w:sz w:val="24"/>
          <w:szCs w:val="24"/>
        </w:rPr>
        <w:t xml:space="preserve">Platts, </w:t>
      </w:r>
      <w:r w:rsidR="00E20C25">
        <w:rPr>
          <w:rFonts w:ascii="Georgia" w:hAnsi="Georgia"/>
          <w:sz w:val="24"/>
          <w:szCs w:val="24"/>
        </w:rPr>
        <w:t xml:space="preserve">the most </w:t>
      </w:r>
      <w:proofErr w:type="gramStart"/>
      <w:r w:rsidR="00E20C25">
        <w:rPr>
          <w:rFonts w:ascii="Georgia" w:hAnsi="Georgia"/>
          <w:sz w:val="24"/>
          <w:szCs w:val="24"/>
        </w:rPr>
        <w:t>widely-used</w:t>
      </w:r>
      <w:proofErr w:type="gramEnd"/>
      <w:r w:rsidR="00E20C25">
        <w:rPr>
          <w:rFonts w:ascii="Georgia" w:hAnsi="Georgia"/>
          <w:sz w:val="24"/>
          <w:szCs w:val="24"/>
        </w:rPr>
        <w:t xml:space="preserve"> natural gas price index reporting system</w:t>
      </w:r>
      <w:r w:rsidR="00A40818">
        <w:rPr>
          <w:rFonts w:ascii="Georgia" w:hAnsi="Georgia"/>
          <w:sz w:val="24"/>
          <w:szCs w:val="24"/>
        </w:rPr>
        <w:t>―</w:t>
      </w:r>
      <w:r w:rsidR="00F16550">
        <w:rPr>
          <w:rFonts w:ascii="Georgia" w:hAnsi="Georgia"/>
          <w:sz w:val="24"/>
          <w:szCs w:val="24"/>
        </w:rPr>
        <w:t>last month was</w:t>
      </w:r>
      <w:r w:rsidR="00F265E5">
        <w:rPr>
          <w:rFonts w:ascii="Georgia" w:hAnsi="Georgia"/>
          <w:sz w:val="24"/>
          <w:szCs w:val="24"/>
        </w:rPr>
        <w:t xml:space="preserve"> forced to pay a $2.5 million penalty </w:t>
      </w:r>
      <w:r w:rsidR="00471338">
        <w:rPr>
          <w:rFonts w:ascii="Georgia" w:hAnsi="Georgia"/>
          <w:sz w:val="24"/>
          <w:szCs w:val="24"/>
        </w:rPr>
        <w:t xml:space="preserve">to the U.S. Securities and Exchange Commission </w:t>
      </w:r>
      <w:r w:rsidR="00F265E5">
        <w:rPr>
          <w:rFonts w:ascii="Georgia" w:hAnsi="Georgia"/>
          <w:sz w:val="24"/>
          <w:szCs w:val="24"/>
        </w:rPr>
        <w:t>for a variety of con</w:t>
      </w:r>
      <w:r w:rsidR="00F16550">
        <w:rPr>
          <w:rFonts w:ascii="Georgia" w:hAnsi="Georgia"/>
          <w:sz w:val="24"/>
          <w:szCs w:val="24"/>
        </w:rPr>
        <w:t>flict of interest violations.</w:t>
      </w:r>
      <w:r w:rsidR="00F16550">
        <w:rPr>
          <w:rStyle w:val="FootnoteReference"/>
          <w:rFonts w:ascii="Georgia" w:hAnsi="Georgia"/>
          <w:sz w:val="24"/>
          <w:szCs w:val="24"/>
        </w:rPr>
        <w:footnoteReference w:id="4"/>
      </w:r>
      <w:r w:rsidR="00D6013A">
        <w:rPr>
          <w:rFonts w:ascii="Georgia" w:hAnsi="Georgia"/>
          <w:sz w:val="24"/>
          <w:szCs w:val="24"/>
        </w:rPr>
        <w:t xml:space="preserve"> It is problematic </w:t>
      </w:r>
      <w:r w:rsidR="00290B6F">
        <w:rPr>
          <w:rFonts w:ascii="Georgia" w:hAnsi="Georgia"/>
          <w:sz w:val="24"/>
          <w:szCs w:val="24"/>
        </w:rPr>
        <w:t xml:space="preserve">for the integrity of natural gas price reporting </w:t>
      </w:r>
      <w:r w:rsidR="00D6013A">
        <w:rPr>
          <w:rFonts w:ascii="Georgia" w:hAnsi="Georgia"/>
          <w:sz w:val="24"/>
          <w:szCs w:val="24"/>
        </w:rPr>
        <w:t xml:space="preserve">that </w:t>
      </w:r>
      <w:r w:rsidR="00DD3420">
        <w:rPr>
          <w:rFonts w:ascii="Georgia" w:hAnsi="Georgia"/>
          <w:sz w:val="24"/>
          <w:szCs w:val="24"/>
        </w:rPr>
        <w:t>a</w:t>
      </w:r>
      <w:r w:rsidR="00D6013A">
        <w:rPr>
          <w:rFonts w:ascii="Georgia" w:hAnsi="Georgia"/>
          <w:sz w:val="24"/>
          <w:szCs w:val="24"/>
        </w:rPr>
        <w:t xml:space="preserve"> for-profit corporation that control</w:t>
      </w:r>
      <w:r w:rsidR="00DD3420">
        <w:rPr>
          <w:rFonts w:ascii="Georgia" w:hAnsi="Georgia"/>
          <w:sz w:val="24"/>
          <w:szCs w:val="24"/>
        </w:rPr>
        <w:t>s</w:t>
      </w:r>
      <w:r w:rsidR="003D1E5F">
        <w:rPr>
          <w:rFonts w:ascii="Georgia" w:hAnsi="Georgia"/>
          <w:sz w:val="24"/>
          <w:szCs w:val="24"/>
        </w:rPr>
        <w:t xml:space="preserve"> natural gas price indices violate</w:t>
      </w:r>
      <w:r>
        <w:rPr>
          <w:rFonts w:ascii="Georgia" w:hAnsi="Georgia"/>
          <w:sz w:val="24"/>
          <w:szCs w:val="24"/>
        </w:rPr>
        <w:t>s</w:t>
      </w:r>
      <w:r w:rsidR="003D1E5F">
        <w:rPr>
          <w:rFonts w:ascii="Georgia" w:hAnsi="Georgia"/>
          <w:sz w:val="24"/>
          <w:szCs w:val="24"/>
        </w:rPr>
        <w:t xml:space="preserve"> conflict of interest standards.</w:t>
      </w:r>
    </w:p>
    <w:p w14:paraId="31A306B1" w14:textId="77777777" w:rsidR="00C229ED" w:rsidRDefault="00C229ED" w:rsidP="00672D9C">
      <w:pPr>
        <w:spacing w:line="360" w:lineRule="auto"/>
        <w:rPr>
          <w:rFonts w:ascii="Georgia" w:hAnsi="Georgia"/>
          <w:sz w:val="24"/>
          <w:szCs w:val="24"/>
        </w:rPr>
      </w:pPr>
    </w:p>
    <w:p w14:paraId="4B8B74D4" w14:textId="77777777" w:rsidR="00C229ED" w:rsidRDefault="00C229ED" w:rsidP="00672D9C">
      <w:pPr>
        <w:spacing w:line="360" w:lineRule="auto"/>
        <w:rPr>
          <w:rFonts w:ascii="Georgia" w:hAnsi="Georgia"/>
          <w:sz w:val="24"/>
          <w:szCs w:val="24"/>
        </w:rPr>
      </w:pPr>
      <w:r>
        <w:rPr>
          <w:rFonts w:ascii="Georgia" w:hAnsi="Georgia"/>
          <w:sz w:val="24"/>
          <w:szCs w:val="24"/>
        </w:rPr>
        <w:tab/>
      </w:r>
      <w:r>
        <w:rPr>
          <w:rFonts w:ascii="Georgia" w:hAnsi="Georgia"/>
          <w:sz w:val="24"/>
          <w:szCs w:val="24"/>
        </w:rPr>
        <w:tab/>
        <w:t>Respectfully submitted,</w:t>
      </w:r>
    </w:p>
    <w:p w14:paraId="6B271B29" w14:textId="77777777" w:rsidR="00C229ED" w:rsidRDefault="00C229ED" w:rsidP="00C229ED">
      <w:pPr>
        <w:rPr>
          <w:rFonts w:ascii="Georgia" w:hAnsi="Georgia"/>
          <w:sz w:val="24"/>
          <w:szCs w:val="24"/>
        </w:rPr>
      </w:pPr>
    </w:p>
    <w:p w14:paraId="5650DA13" w14:textId="77777777" w:rsidR="00C229ED" w:rsidRDefault="00C229ED" w:rsidP="00C229ED">
      <w:pPr>
        <w:rPr>
          <w:rFonts w:ascii="Georgia" w:hAnsi="Georgia"/>
          <w:sz w:val="24"/>
          <w:szCs w:val="24"/>
        </w:rPr>
      </w:pPr>
      <w:r>
        <w:rPr>
          <w:rFonts w:ascii="Georgia" w:hAnsi="Georgia"/>
          <w:sz w:val="24"/>
          <w:szCs w:val="24"/>
        </w:rPr>
        <w:tab/>
      </w:r>
      <w:r>
        <w:rPr>
          <w:rFonts w:ascii="Georgia" w:hAnsi="Georgia"/>
          <w:sz w:val="24"/>
          <w:szCs w:val="24"/>
        </w:rPr>
        <w:tab/>
        <w:t>Tyson Slocum, Energy Program Director</w:t>
      </w:r>
    </w:p>
    <w:p w14:paraId="2EC4E21F" w14:textId="77777777" w:rsidR="00C229ED" w:rsidRDefault="00C229ED" w:rsidP="00C229ED">
      <w:pPr>
        <w:rPr>
          <w:rFonts w:ascii="Georgia" w:hAnsi="Georgia"/>
          <w:sz w:val="24"/>
          <w:szCs w:val="24"/>
        </w:rPr>
      </w:pPr>
      <w:r>
        <w:rPr>
          <w:rFonts w:ascii="Georgia" w:hAnsi="Georgia"/>
          <w:sz w:val="24"/>
          <w:szCs w:val="24"/>
        </w:rPr>
        <w:tab/>
      </w:r>
      <w:r>
        <w:rPr>
          <w:rFonts w:ascii="Georgia" w:hAnsi="Georgia"/>
          <w:sz w:val="24"/>
          <w:szCs w:val="24"/>
        </w:rPr>
        <w:tab/>
        <w:t>Public Citizen, Inc.</w:t>
      </w:r>
    </w:p>
    <w:p w14:paraId="4B260805" w14:textId="77777777" w:rsidR="00C229ED" w:rsidRDefault="00C229ED" w:rsidP="00C229ED">
      <w:pPr>
        <w:rPr>
          <w:rFonts w:ascii="Georgia" w:hAnsi="Georgia"/>
          <w:sz w:val="24"/>
          <w:szCs w:val="24"/>
        </w:rPr>
      </w:pPr>
      <w:r>
        <w:rPr>
          <w:rFonts w:ascii="Georgia" w:hAnsi="Georgia"/>
          <w:sz w:val="24"/>
          <w:szCs w:val="24"/>
        </w:rPr>
        <w:tab/>
      </w:r>
      <w:r>
        <w:rPr>
          <w:rFonts w:ascii="Georgia" w:hAnsi="Georgia"/>
          <w:sz w:val="24"/>
          <w:szCs w:val="24"/>
        </w:rPr>
        <w:tab/>
        <w:t>215 Pennsylvania Ave SE</w:t>
      </w:r>
    </w:p>
    <w:p w14:paraId="4CCA0296" w14:textId="77777777" w:rsidR="00C229ED" w:rsidRDefault="00C229ED" w:rsidP="00C229ED">
      <w:pPr>
        <w:rPr>
          <w:rFonts w:ascii="Georgia" w:hAnsi="Georgia"/>
          <w:sz w:val="24"/>
          <w:szCs w:val="24"/>
        </w:rPr>
      </w:pPr>
      <w:r>
        <w:rPr>
          <w:rFonts w:ascii="Georgia" w:hAnsi="Georgia"/>
          <w:sz w:val="24"/>
          <w:szCs w:val="24"/>
        </w:rPr>
        <w:tab/>
      </w:r>
      <w:r>
        <w:rPr>
          <w:rFonts w:ascii="Georgia" w:hAnsi="Georgia"/>
          <w:sz w:val="24"/>
          <w:szCs w:val="24"/>
        </w:rPr>
        <w:tab/>
        <w:t>Washington, DC  20003</w:t>
      </w:r>
    </w:p>
    <w:p w14:paraId="3BCA1541" w14:textId="77777777" w:rsidR="00C229ED" w:rsidRDefault="00C229ED" w:rsidP="00C229ED">
      <w:pPr>
        <w:rPr>
          <w:rFonts w:ascii="Georgia" w:hAnsi="Georgia"/>
          <w:sz w:val="24"/>
          <w:szCs w:val="24"/>
        </w:rPr>
      </w:pPr>
      <w:r>
        <w:rPr>
          <w:rFonts w:ascii="Georgia" w:hAnsi="Georgia"/>
          <w:sz w:val="24"/>
          <w:szCs w:val="24"/>
        </w:rPr>
        <w:tab/>
      </w:r>
      <w:r>
        <w:rPr>
          <w:rFonts w:ascii="Georgia" w:hAnsi="Georgia"/>
          <w:sz w:val="24"/>
          <w:szCs w:val="24"/>
        </w:rPr>
        <w:tab/>
        <w:t>(202) 454-5191</w:t>
      </w:r>
      <w:r>
        <w:rPr>
          <w:rFonts w:ascii="Georgia" w:hAnsi="Georgia"/>
          <w:sz w:val="24"/>
          <w:szCs w:val="24"/>
        </w:rPr>
        <w:tab/>
      </w:r>
    </w:p>
    <w:p w14:paraId="40402CFF" w14:textId="642AB1D9" w:rsidR="002117D0" w:rsidRDefault="00C229ED" w:rsidP="00C229ED">
      <w:pPr>
        <w:rPr>
          <w:rFonts w:ascii="Georgia" w:hAnsi="Georgia"/>
          <w:sz w:val="24"/>
          <w:szCs w:val="24"/>
        </w:rPr>
      </w:pPr>
      <w:r>
        <w:rPr>
          <w:rFonts w:ascii="Georgia" w:hAnsi="Georgia"/>
          <w:sz w:val="24"/>
          <w:szCs w:val="24"/>
        </w:rPr>
        <w:tab/>
      </w:r>
      <w:r>
        <w:rPr>
          <w:rFonts w:ascii="Georgia" w:hAnsi="Georgia"/>
          <w:sz w:val="24"/>
          <w:szCs w:val="24"/>
        </w:rPr>
        <w:tab/>
        <w:t>tslocum@citizen.org</w:t>
      </w:r>
      <w:r w:rsidR="003D1E5F">
        <w:rPr>
          <w:rFonts w:ascii="Georgia" w:hAnsi="Georgia"/>
          <w:sz w:val="24"/>
          <w:szCs w:val="24"/>
        </w:rPr>
        <w:t xml:space="preserve"> </w:t>
      </w:r>
    </w:p>
    <w:p w14:paraId="74EC0F86" w14:textId="77777777" w:rsidR="007E540B" w:rsidRDefault="007E540B" w:rsidP="003E2F59">
      <w:pPr>
        <w:spacing w:line="360" w:lineRule="auto"/>
        <w:rPr>
          <w:rFonts w:ascii="Georgia" w:hAnsi="Georgia"/>
          <w:sz w:val="24"/>
          <w:szCs w:val="24"/>
        </w:rPr>
      </w:pPr>
    </w:p>
    <w:p w14:paraId="626B4577" w14:textId="77777777" w:rsidR="00F7285A" w:rsidRPr="00F7285A" w:rsidRDefault="00F7285A">
      <w:pPr>
        <w:rPr>
          <w:rFonts w:ascii="Georgia" w:hAnsi="Georgia"/>
          <w:sz w:val="24"/>
          <w:szCs w:val="24"/>
        </w:rPr>
      </w:pPr>
    </w:p>
    <w:sectPr w:rsidR="00F7285A" w:rsidRPr="00F7285A" w:rsidSect="00C229ED">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EF60A" w14:textId="77777777" w:rsidR="00DE7359" w:rsidRDefault="00DE7359" w:rsidP="003E2F59">
      <w:r>
        <w:separator/>
      </w:r>
    </w:p>
  </w:endnote>
  <w:endnote w:type="continuationSeparator" w:id="0">
    <w:p w14:paraId="4FC8687A" w14:textId="77777777" w:rsidR="00DE7359" w:rsidRDefault="00DE7359" w:rsidP="003E2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1722769"/>
      <w:docPartObj>
        <w:docPartGallery w:val="Page Numbers (Bottom of Page)"/>
        <w:docPartUnique/>
      </w:docPartObj>
    </w:sdtPr>
    <w:sdtEndPr>
      <w:rPr>
        <w:color w:val="7F7F7F" w:themeColor="background1" w:themeShade="7F"/>
        <w:spacing w:val="60"/>
      </w:rPr>
    </w:sdtEndPr>
    <w:sdtContent>
      <w:p w14:paraId="0116240C" w14:textId="388028F9" w:rsidR="00C229ED" w:rsidRDefault="00C229ED">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0EA5F0B7" w14:textId="77777777" w:rsidR="00C229ED" w:rsidRDefault="00C229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AB9D5" w14:textId="77777777" w:rsidR="00DE7359" w:rsidRDefault="00DE7359" w:rsidP="003E2F59">
      <w:r>
        <w:separator/>
      </w:r>
    </w:p>
  </w:footnote>
  <w:footnote w:type="continuationSeparator" w:id="0">
    <w:p w14:paraId="276116B1" w14:textId="77777777" w:rsidR="00DE7359" w:rsidRDefault="00DE7359" w:rsidP="003E2F59">
      <w:r>
        <w:continuationSeparator/>
      </w:r>
    </w:p>
  </w:footnote>
  <w:footnote w:id="1">
    <w:p w14:paraId="0801BFCC" w14:textId="1CCF3306" w:rsidR="00611D64" w:rsidRDefault="00611D64" w:rsidP="00611D64">
      <w:pPr>
        <w:pStyle w:val="FootnoteText"/>
      </w:pPr>
      <w:r>
        <w:rPr>
          <w:rStyle w:val="FootnoteReference"/>
        </w:rPr>
        <w:footnoteRef/>
      </w:r>
      <w:r>
        <w:t xml:space="preserve"> </w:t>
      </w:r>
      <w:r w:rsidRPr="00611D64">
        <w:rPr>
          <w:rFonts w:ascii="Georgia" w:hAnsi="Georgia"/>
        </w:rPr>
        <w:t xml:space="preserve">See Public Citizen's June 1, </w:t>
      </w:r>
      <w:proofErr w:type="gramStart"/>
      <w:r w:rsidRPr="00611D64">
        <w:rPr>
          <w:rFonts w:ascii="Georgia" w:hAnsi="Georgia"/>
        </w:rPr>
        <w:t>2021</w:t>
      </w:r>
      <w:proofErr w:type="gramEnd"/>
      <w:r w:rsidRPr="00611D64">
        <w:rPr>
          <w:rFonts w:ascii="Georgia" w:hAnsi="Georgia"/>
        </w:rPr>
        <w:t xml:space="preserve"> comments in Docket RM20-7,</w:t>
      </w:r>
      <w:r w:rsidRPr="00611D64">
        <w:rPr>
          <w:rFonts w:ascii="Georgia" w:hAnsi="Georgia"/>
        </w:rPr>
        <w:t xml:space="preserve"> </w:t>
      </w:r>
      <w:r w:rsidRPr="00611D64">
        <w:rPr>
          <w:rFonts w:ascii="Georgia" w:hAnsi="Georgia"/>
        </w:rPr>
        <w:t>www.citizen.org/article/natural-gas-spot-prices-in-need-of-reform/</w:t>
      </w:r>
    </w:p>
  </w:footnote>
  <w:footnote w:id="2">
    <w:p w14:paraId="1774DDAA" w14:textId="77777777" w:rsidR="003E2F59" w:rsidRDefault="003E2F59" w:rsidP="003E2F59">
      <w:pPr>
        <w:pStyle w:val="FootnoteText"/>
      </w:pPr>
      <w:r>
        <w:rPr>
          <w:rStyle w:val="FootnoteReference"/>
        </w:rPr>
        <w:footnoteRef/>
      </w:r>
      <w:r>
        <w:t xml:space="preserve"> </w:t>
      </w:r>
      <w:r w:rsidRPr="0049654F">
        <w:rPr>
          <w:rFonts w:ascii="Georgia" w:hAnsi="Georgia"/>
        </w:rPr>
        <w:t>NOPR, at 4.</w:t>
      </w:r>
    </w:p>
  </w:footnote>
  <w:footnote w:id="3">
    <w:p w14:paraId="5E60D272" w14:textId="2CA030EC" w:rsidR="002117D0" w:rsidRDefault="002117D0">
      <w:pPr>
        <w:pStyle w:val="FootnoteText"/>
      </w:pPr>
      <w:r>
        <w:rPr>
          <w:rStyle w:val="FootnoteReference"/>
        </w:rPr>
        <w:footnoteRef/>
      </w:r>
      <w:r>
        <w:t xml:space="preserve"> </w:t>
      </w:r>
      <w:r w:rsidRPr="002117D0">
        <w:rPr>
          <w:rFonts w:ascii="Georgia" w:hAnsi="Georgia"/>
        </w:rPr>
        <w:t>At pages 28-</w:t>
      </w:r>
      <w:r>
        <w:rPr>
          <w:rFonts w:ascii="Georgia" w:hAnsi="Georgia"/>
        </w:rPr>
        <w:t>2</w:t>
      </w:r>
      <w:r w:rsidRPr="002117D0">
        <w:rPr>
          <w:rFonts w:ascii="Georgia" w:hAnsi="Georgia"/>
        </w:rPr>
        <w:t xml:space="preserve">9, </w:t>
      </w:r>
      <w:r w:rsidRPr="002117D0">
        <w:rPr>
          <w:rFonts w:ascii="Georgia" w:hAnsi="Georgia"/>
        </w:rPr>
        <w:t>www.govinfo.gov/content/pkg/CHRG-109hhrg99906/pdf/CHRG-109hhrg99906.pdf</w:t>
      </w:r>
    </w:p>
  </w:footnote>
  <w:footnote w:id="4">
    <w:p w14:paraId="2942EDEE" w14:textId="1ACFB92C" w:rsidR="00F16550" w:rsidRDefault="00F16550">
      <w:pPr>
        <w:pStyle w:val="FootnoteText"/>
      </w:pPr>
      <w:r>
        <w:rPr>
          <w:rStyle w:val="FootnoteReference"/>
        </w:rPr>
        <w:footnoteRef/>
      </w:r>
      <w:r>
        <w:t xml:space="preserve"> </w:t>
      </w:r>
      <w:r w:rsidRPr="00F16550">
        <w:rPr>
          <w:rFonts w:ascii="Georgia" w:hAnsi="Georgia"/>
        </w:rPr>
        <w:t>www.sec.gov/news/press-release/2022-205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810BB" w14:textId="45E78000" w:rsidR="0081203C" w:rsidRPr="0081203C" w:rsidRDefault="0081203C" w:rsidP="0081203C">
    <w:pPr>
      <w:pStyle w:val="Header"/>
      <w:jc w:val="center"/>
      <w:rPr>
        <w:rFonts w:ascii="Georgia" w:hAnsi="Georgia"/>
        <w:i/>
        <w:iCs/>
      </w:rPr>
    </w:pPr>
    <w:r w:rsidRPr="0081203C">
      <w:rPr>
        <w:rFonts w:ascii="Georgia" w:hAnsi="Georgia"/>
        <w:i/>
        <w:iCs/>
      </w:rPr>
      <w:t>Public Citizen Comment • Docket No. PL20-3 • December 2, 2022</w:t>
    </w:r>
  </w:p>
  <w:p w14:paraId="78E4EAAA" w14:textId="77777777" w:rsidR="0081203C" w:rsidRDefault="008120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3232A0"/>
    <w:multiLevelType w:val="hybridMultilevel"/>
    <w:tmpl w:val="D71C08F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591A7256"/>
    <w:multiLevelType w:val="hybridMultilevel"/>
    <w:tmpl w:val="330A6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5586475">
    <w:abstractNumId w:val="0"/>
  </w:num>
  <w:num w:numId="2" w16cid:durableId="5179341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85A"/>
    <w:rsid w:val="000B3CFA"/>
    <w:rsid w:val="000D635A"/>
    <w:rsid w:val="000F4965"/>
    <w:rsid w:val="00153D0D"/>
    <w:rsid w:val="001C026E"/>
    <w:rsid w:val="002117D0"/>
    <w:rsid w:val="00285F86"/>
    <w:rsid w:val="00290B6F"/>
    <w:rsid w:val="002E64A1"/>
    <w:rsid w:val="0031390F"/>
    <w:rsid w:val="00327CF1"/>
    <w:rsid w:val="003D1E5F"/>
    <w:rsid w:val="003E2F59"/>
    <w:rsid w:val="003F21C9"/>
    <w:rsid w:val="00443F6C"/>
    <w:rsid w:val="00471338"/>
    <w:rsid w:val="00573850"/>
    <w:rsid w:val="006026F8"/>
    <w:rsid w:val="00611D64"/>
    <w:rsid w:val="006443BB"/>
    <w:rsid w:val="00672D9C"/>
    <w:rsid w:val="006B2741"/>
    <w:rsid w:val="00726F22"/>
    <w:rsid w:val="00771477"/>
    <w:rsid w:val="007E540B"/>
    <w:rsid w:val="0081203C"/>
    <w:rsid w:val="008C7CFA"/>
    <w:rsid w:val="00A40818"/>
    <w:rsid w:val="00AD0460"/>
    <w:rsid w:val="00B8088B"/>
    <w:rsid w:val="00BD2610"/>
    <w:rsid w:val="00C229ED"/>
    <w:rsid w:val="00CC60F3"/>
    <w:rsid w:val="00D13DA3"/>
    <w:rsid w:val="00D6013A"/>
    <w:rsid w:val="00DD3420"/>
    <w:rsid w:val="00DE7359"/>
    <w:rsid w:val="00E20C25"/>
    <w:rsid w:val="00E43493"/>
    <w:rsid w:val="00F16550"/>
    <w:rsid w:val="00F265E5"/>
    <w:rsid w:val="00F7285A"/>
    <w:rsid w:val="00FE0B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3F958"/>
  <w15:chartTrackingRefBased/>
  <w15:docId w15:val="{B1B8D95A-3A00-4233-B229-A08F24D77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21C9"/>
    <w:pPr>
      <w:ind w:left="720"/>
      <w:contextualSpacing/>
    </w:pPr>
  </w:style>
  <w:style w:type="paragraph" w:styleId="FootnoteText">
    <w:name w:val="footnote text"/>
    <w:basedOn w:val="Normal"/>
    <w:link w:val="FootnoteTextChar"/>
    <w:autoRedefine/>
    <w:uiPriority w:val="99"/>
    <w:semiHidden/>
    <w:unhideWhenUsed/>
    <w:rsid w:val="003E2F59"/>
    <w:pPr>
      <w:keepLines/>
      <w:widowControl w:val="0"/>
    </w:pPr>
  </w:style>
  <w:style w:type="character" w:customStyle="1" w:styleId="FootnoteTextChar">
    <w:name w:val="Footnote Text Char"/>
    <w:basedOn w:val="DefaultParagraphFont"/>
    <w:link w:val="FootnoteText"/>
    <w:uiPriority w:val="99"/>
    <w:semiHidden/>
    <w:rsid w:val="003E2F59"/>
  </w:style>
  <w:style w:type="character" w:styleId="FootnoteReference">
    <w:name w:val="footnote reference"/>
    <w:basedOn w:val="DefaultParagraphFont"/>
    <w:uiPriority w:val="99"/>
    <w:semiHidden/>
    <w:unhideWhenUsed/>
    <w:rsid w:val="003E2F59"/>
    <w:rPr>
      <w:vertAlign w:val="superscript"/>
    </w:rPr>
  </w:style>
  <w:style w:type="paragraph" w:styleId="Header">
    <w:name w:val="header"/>
    <w:basedOn w:val="Normal"/>
    <w:link w:val="HeaderChar"/>
    <w:uiPriority w:val="99"/>
    <w:unhideWhenUsed/>
    <w:rsid w:val="00C229ED"/>
    <w:pPr>
      <w:tabs>
        <w:tab w:val="center" w:pos="4680"/>
        <w:tab w:val="right" w:pos="9360"/>
      </w:tabs>
    </w:pPr>
  </w:style>
  <w:style w:type="character" w:customStyle="1" w:styleId="HeaderChar">
    <w:name w:val="Header Char"/>
    <w:basedOn w:val="DefaultParagraphFont"/>
    <w:link w:val="Header"/>
    <w:uiPriority w:val="99"/>
    <w:rsid w:val="00C229ED"/>
  </w:style>
  <w:style w:type="paragraph" w:styleId="Footer">
    <w:name w:val="footer"/>
    <w:basedOn w:val="Normal"/>
    <w:link w:val="FooterChar"/>
    <w:uiPriority w:val="99"/>
    <w:unhideWhenUsed/>
    <w:rsid w:val="00C229ED"/>
    <w:pPr>
      <w:tabs>
        <w:tab w:val="center" w:pos="4680"/>
        <w:tab w:val="right" w:pos="9360"/>
      </w:tabs>
    </w:pPr>
  </w:style>
  <w:style w:type="character" w:customStyle="1" w:styleId="FooterChar">
    <w:name w:val="Footer Char"/>
    <w:basedOn w:val="DefaultParagraphFont"/>
    <w:link w:val="Footer"/>
    <w:uiPriority w:val="99"/>
    <w:rsid w:val="00C229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9418EB-4AB9-4D89-9E3B-D47B53A81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3</Pages>
  <Words>835</Words>
  <Characters>4761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Tyson Slocum</dc:creator>
  <cp:keywords/>
  <dc:description/>
  <cp:lastModifiedBy>Tyson Slocum</cp:lastModifiedBy>
  <cp:revision>36</cp:revision>
  <dcterms:created xsi:type="dcterms:W3CDTF">2022-12-02T17:55:00Z</dcterms:created>
  <dcterms:modified xsi:type="dcterms:W3CDTF">2022-12-02T20:15:00Z</dcterms:modified>
</cp:coreProperties>
</file>