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9E0F" w14:textId="77777777" w:rsidR="00496A4A" w:rsidRPr="006719D7" w:rsidRDefault="00496A4A" w:rsidP="006719D7">
      <w:pPr>
        <w:jc w:val="center"/>
        <w:rPr>
          <w:rFonts w:ascii="Georgia" w:hAnsi="Georgia"/>
          <w:sz w:val="24"/>
          <w:szCs w:val="24"/>
        </w:rPr>
      </w:pPr>
      <w:r w:rsidRPr="006719D7">
        <w:rPr>
          <w:rFonts w:ascii="Georgia" w:hAnsi="Georgia"/>
          <w:sz w:val="24"/>
          <w:szCs w:val="24"/>
        </w:rPr>
        <w:t>UNITED STATES OF AMERICA</w:t>
      </w:r>
    </w:p>
    <w:p w14:paraId="7A12A468" w14:textId="77777777" w:rsidR="00496A4A" w:rsidRPr="006719D7" w:rsidRDefault="00496A4A" w:rsidP="006719D7">
      <w:pPr>
        <w:jc w:val="center"/>
        <w:rPr>
          <w:rFonts w:ascii="Georgia" w:hAnsi="Georgia"/>
          <w:sz w:val="24"/>
          <w:szCs w:val="24"/>
        </w:rPr>
      </w:pPr>
      <w:r w:rsidRPr="006719D7">
        <w:rPr>
          <w:rFonts w:ascii="Georgia" w:hAnsi="Georgia"/>
          <w:sz w:val="24"/>
          <w:szCs w:val="24"/>
        </w:rPr>
        <w:t>BEFORE THE</w:t>
      </w:r>
    </w:p>
    <w:p w14:paraId="4689F651" w14:textId="77777777" w:rsidR="00496A4A" w:rsidRPr="006719D7" w:rsidRDefault="00496A4A" w:rsidP="006719D7">
      <w:pPr>
        <w:jc w:val="center"/>
        <w:rPr>
          <w:rFonts w:ascii="Georgia" w:hAnsi="Georgia"/>
          <w:sz w:val="24"/>
          <w:szCs w:val="24"/>
        </w:rPr>
      </w:pPr>
      <w:r w:rsidRPr="006719D7">
        <w:rPr>
          <w:rFonts w:ascii="Georgia" w:hAnsi="Georgia"/>
          <w:sz w:val="24"/>
          <w:szCs w:val="24"/>
        </w:rPr>
        <w:t>FEDERAL ENERGY REGULATORY COMMISSION</w:t>
      </w:r>
    </w:p>
    <w:p w14:paraId="6DAC4843" w14:textId="66AD855E" w:rsidR="00496A4A" w:rsidRDefault="00496A4A" w:rsidP="00857236">
      <w:pPr>
        <w:rPr>
          <w:rFonts w:ascii="Georgia" w:hAnsi="Georgia"/>
          <w:sz w:val="24"/>
          <w:szCs w:val="24"/>
        </w:rPr>
      </w:pPr>
    </w:p>
    <w:p w14:paraId="29E26315" w14:textId="77777777" w:rsidR="00C77E85" w:rsidRPr="006719D7" w:rsidRDefault="00C77E85" w:rsidP="00857236">
      <w:pPr>
        <w:rPr>
          <w:rFonts w:ascii="Georgia" w:hAnsi="Georgia"/>
          <w:sz w:val="24"/>
          <w:szCs w:val="24"/>
        </w:rPr>
      </w:pPr>
    </w:p>
    <w:p w14:paraId="212B62F8" w14:textId="13E581B4" w:rsidR="00C77E85" w:rsidRDefault="006719D7" w:rsidP="00857236">
      <w:pPr>
        <w:rPr>
          <w:rFonts w:ascii="Georgia" w:hAnsi="Georgia"/>
          <w:sz w:val="24"/>
          <w:szCs w:val="24"/>
        </w:rPr>
      </w:pPr>
      <w:r w:rsidRPr="006719D7">
        <w:rPr>
          <w:rFonts w:ascii="Georgia" w:hAnsi="Georgia"/>
          <w:sz w:val="24"/>
          <w:szCs w:val="24"/>
        </w:rPr>
        <w:t xml:space="preserve">Safe Harbor Policy for Data Providers </w:t>
      </w:r>
      <w:r w:rsidR="00C77E85">
        <w:rPr>
          <w:rFonts w:ascii="Georgia" w:hAnsi="Georgia"/>
          <w:sz w:val="24"/>
          <w:szCs w:val="24"/>
        </w:rPr>
        <w:tab/>
      </w:r>
      <w:r w:rsidR="00C77E85">
        <w:rPr>
          <w:rFonts w:ascii="Georgia" w:hAnsi="Georgia"/>
          <w:sz w:val="24"/>
          <w:szCs w:val="24"/>
        </w:rPr>
        <w:tab/>
      </w:r>
      <w:r w:rsidR="00C77E85">
        <w:rPr>
          <w:rFonts w:ascii="Georgia" w:hAnsi="Georgia"/>
          <w:sz w:val="24"/>
          <w:szCs w:val="24"/>
        </w:rPr>
        <w:tab/>
      </w:r>
      <w:r w:rsidR="00C77E85">
        <w:rPr>
          <w:rFonts w:ascii="Georgia" w:hAnsi="Georgia"/>
          <w:sz w:val="24"/>
          <w:szCs w:val="24"/>
        </w:rPr>
        <w:tab/>
      </w:r>
      <w:r w:rsidR="00C77E85" w:rsidRPr="006719D7">
        <w:rPr>
          <w:rFonts w:ascii="Georgia" w:hAnsi="Georgia"/>
          <w:sz w:val="24"/>
          <w:szCs w:val="24"/>
        </w:rPr>
        <w:t>Docket No. RM20-7</w:t>
      </w:r>
    </w:p>
    <w:p w14:paraId="55D933BF" w14:textId="250749F5" w:rsidR="006719D7" w:rsidRDefault="006719D7" w:rsidP="00857236">
      <w:pPr>
        <w:rPr>
          <w:rFonts w:ascii="Georgia" w:hAnsi="Georgia"/>
          <w:sz w:val="24"/>
          <w:szCs w:val="24"/>
        </w:rPr>
      </w:pPr>
      <w:r w:rsidRPr="006719D7">
        <w:rPr>
          <w:rFonts w:ascii="Georgia" w:hAnsi="Georgia"/>
          <w:sz w:val="24"/>
          <w:szCs w:val="24"/>
        </w:rPr>
        <w:t>to Price Index Developers</w:t>
      </w:r>
      <w:r w:rsidR="00C77E85">
        <w:rPr>
          <w:rFonts w:ascii="Georgia" w:hAnsi="Georgia"/>
          <w:sz w:val="24"/>
          <w:szCs w:val="24"/>
        </w:rPr>
        <w:tab/>
      </w:r>
      <w:r w:rsidR="00C77E85">
        <w:rPr>
          <w:rFonts w:ascii="Georgia" w:hAnsi="Georgia"/>
          <w:sz w:val="24"/>
          <w:szCs w:val="24"/>
        </w:rPr>
        <w:tab/>
      </w:r>
      <w:r w:rsidR="00C77E85">
        <w:rPr>
          <w:rFonts w:ascii="Georgia" w:hAnsi="Georgia"/>
          <w:sz w:val="24"/>
          <w:szCs w:val="24"/>
        </w:rPr>
        <w:tab/>
      </w:r>
      <w:r w:rsidR="00C77E85">
        <w:rPr>
          <w:rFonts w:ascii="Georgia" w:hAnsi="Georgia"/>
          <w:sz w:val="24"/>
          <w:szCs w:val="24"/>
        </w:rPr>
        <w:tab/>
      </w:r>
      <w:r w:rsidR="00C77E85">
        <w:rPr>
          <w:rFonts w:ascii="Georgia" w:hAnsi="Georgia"/>
          <w:sz w:val="24"/>
          <w:szCs w:val="24"/>
        </w:rPr>
        <w:tab/>
      </w:r>
      <w:r w:rsidR="00496A4A" w:rsidRPr="006719D7">
        <w:rPr>
          <w:rFonts w:ascii="Georgia" w:hAnsi="Georgia"/>
          <w:sz w:val="24"/>
          <w:szCs w:val="24"/>
        </w:rPr>
        <w:tab/>
      </w:r>
      <w:r w:rsidR="00496A4A" w:rsidRPr="006719D7">
        <w:rPr>
          <w:rFonts w:ascii="Georgia" w:hAnsi="Georgia"/>
          <w:sz w:val="24"/>
          <w:szCs w:val="24"/>
        </w:rPr>
        <w:tab/>
      </w:r>
      <w:r w:rsidR="00496A4A" w:rsidRPr="006719D7">
        <w:rPr>
          <w:rFonts w:ascii="Georgia" w:hAnsi="Georgia"/>
          <w:sz w:val="24"/>
          <w:szCs w:val="24"/>
        </w:rPr>
        <w:tab/>
      </w:r>
    </w:p>
    <w:p w14:paraId="72E484DD" w14:textId="0623D1F3" w:rsidR="006719D7" w:rsidRDefault="006719D7" w:rsidP="00857236">
      <w:pPr>
        <w:rPr>
          <w:rFonts w:ascii="Georgia" w:hAnsi="Georgia"/>
          <w:sz w:val="24"/>
          <w:szCs w:val="24"/>
        </w:rPr>
      </w:pPr>
    </w:p>
    <w:p w14:paraId="273A0091" w14:textId="77777777" w:rsidR="005B6C78" w:rsidRDefault="005B6C78" w:rsidP="00857236">
      <w:pPr>
        <w:rPr>
          <w:rFonts w:ascii="Georgia" w:hAnsi="Georgia"/>
          <w:sz w:val="24"/>
          <w:szCs w:val="24"/>
        </w:rPr>
      </w:pPr>
    </w:p>
    <w:p w14:paraId="2F5D90C5" w14:textId="14A593AE" w:rsidR="00C77E85" w:rsidRPr="002C19E7" w:rsidRDefault="00C77E85" w:rsidP="002432EA">
      <w:pPr>
        <w:jc w:val="center"/>
        <w:rPr>
          <w:rFonts w:ascii="Georgia" w:hAnsi="Georgia"/>
          <w:b/>
          <w:bCs/>
          <w:sz w:val="24"/>
          <w:szCs w:val="24"/>
        </w:rPr>
      </w:pPr>
      <w:r w:rsidRPr="002C19E7">
        <w:rPr>
          <w:rFonts w:ascii="Georgia" w:hAnsi="Georgia"/>
          <w:b/>
          <w:bCs/>
          <w:sz w:val="24"/>
          <w:szCs w:val="24"/>
        </w:rPr>
        <w:t>Comment of Public Citizen, Inc.</w:t>
      </w:r>
    </w:p>
    <w:p w14:paraId="3B33EB93" w14:textId="7734715F" w:rsidR="006719D7" w:rsidRDefault="006719D7" w:rsidP="00857236">
      <w:pPr>
        <w:rPr>
          <w:rFonts w:ascii="Georgia" w:hAnsi="Georgia"/>
          <w:sz w:val="24"/>
          <w:szCs w:val="24"/>
        </w:rPr>
      </w:pPr>
    </w:p>
    <w:p w14:paraId="31EE3A48" w14:textId="4C3B32F3" w:rsidR="005B6C78" w:rsidRDefault="005B6C78" w:rsidP="00857236">
      <w:pPr>
        <w:rPr>
          <w:rFonts w:ascii="Georgia" w:hAnsi="Georgia"/>
          <w:sz w:val="24"/>
          <w:szCs w:val="24"/>
        </w:rPr>
      </w:pPr>
    </w:p>
    <w:p w14:paraId="2ED45835" w14:textId="77777777" w:rsidR="000E76A6" w:rsidRPr="006C7A97" w:rsidRDefault="000E76A6" w:rsidP="000E76A6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6C7A97">
        <w:rPr>
          <w:rFonts w:ascii="Georgia" w:hAnsi="Georgia"/>
          <w:sz w:val="24"/>
          <w:szCs w:val="24"/>
        </w:rPr>
        <w:t>Established in 1971, Public Citizen is a national, not-for-profit, non-partisan,</w:t>
      </w:r>
    </w:p>
    <w:p w14:paraId="2348BF80" w14:textId="77777777" w:rsidR="000E76A6" w:rsidRPr="006C7A97" w:rsidRDefault="000E76A6" w:rsidP="000E76A6">
      <w:pPr>
        <w:spacing w:line="360" w:lineRule="auto"/>
        <w:rPr>
          <w:rFonts w:ascii="Georgia" w:hAnsi="Georgia"/>
          <w:sz w:val="24"/>
          <w:szCs w:val="24"/>
        </w:rPr>
      </w:pPr>
      <w:r w:rsidRPr="006C7A97">
        <w:rPr>
          <w:rFonts w:ascii="Georgia" w:hAnsi="Georgia"/>
          <w:sz w:val="24"/>
          <w:szCs w:val="24"/>
        </w:rPr>
        <w:t>research and advocacy organization representing the interests of household consumers.</w:t>
      </w:r>
    </w:p>
    <w:p w14:paraId="38E74799" w14:textId="77777777" w:rsidR="000E76A6" w:rsidRPr="006C7A97" w:rsidRDefault="000E76A6" w:rsidP="000E76A6">
      <w:pPr>
        <w:spacing w:line="360" w:lineRule="auto"/>
        <w:rPr>
          <w:rFonts w:ascii="Georgia" w:hAnsi="Georgia"/>
          <w:sz w:val="24"/>
          <w:szCs w:val="24"/>
        </w:rPr>
      </w:pPr>
      <w:r w:rsidRPr="006C7A97">
        <w:rPr>
          <w:rFonts w:ascii="Georgia" w:hAnsi="Georgia"/>
          <w:sz w:val="24"/>
          <w:szCs w:val="24"/>
        </w:rPr>
        <w:t>Public Citizen is active before FERC promoting just and reasonable rates, and</w:t>
      </w:r>
    </w:p>
    <w:p w14:paraId="1BB297F8" w14:textId="77777777" w:rsidR="000E76A6" w:rsidRPr="006C7A97" w:rsidRDefault="000E76A6" w:rsidP="000E76A6">
      <w:pPr>
        <w:spacing w:line="360" w:lineRule="auto"/>
        <w:rPr>
          <w:rFonts w:ascii="Georgia" w:hAnsi="Georgia"/>
          <w:sz w:val="24"/>
          <w:szCs w:val="24"/>
        </w:rPr>
      </w:pPr>
      <w:r w:rsidRPr="006C7A97">
        <w:rPr>
          <w:rFonts w:ascii="Georgia" w:hAnsi="Georgia"/>
          <w:sz w:val="24"/>
          <w:szCs w:val="24"/>
        </w:rPr>
        <w:t>supporting efforts for utilities to be accountable to the public interest. Our financial</w:t>
      </w:r>
    </w:p>
    <w:p w14:paraId="2D7CC156" w14:textId="77777777" w:rsidR="000E76A6" w:rsidRDefault="000E76A6" w:rsidP="000E76A6">
      <w:pPr>
        <w:spacing w:line="360" w:lineRule="auto"/>
        <w:rPr>
          <w:rFonts w:ascii="Georgia" w:hAnsi="Georgia"/>
          <w:sz w:val="24"/>
          <w:szCs w:val="24"/>
        </w:rPr>
      </w:pPr>
      <w:r w:rsidRPr="006C7A97">
        <w:rPr>
          <w:rFonts w:ascii="Georgia" w:hAnsi="Georgia"/>
          <w:sz w:val="24"/>
          <w:szCs w:val="24"/>
        </w:rPr>
        <w:t>details are located on our web site.</w:t>
      </w:r>
      <w:r>
        <w:rPr>
          <w:rStyle w:val="FootnoteReference"/>
          <w:rFonts w:ascii="Georgia" w:hAnsi="Georgia"/>
          <w:sz w:val="24"/>
          <w:szCs w:val="24"/>
        </w:rPr>
        <w:footnoteReference w:id="1"/>
      </w:r>
    </w:p>
    <w:p w14:paraId="08C17439" w14:textId="77777777" w:rsidR="00CC479F" w:rsidRDefault="00CC479F" w:rsidP="00EF5FDE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6CFDB8E0" w14:textId="2D3EB1F8" w:rsidR="006C0395" w:rsidRDefault="006C0395" w:rsidP="00EF5FDE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D0B30">
        <w:rPr>
          <w:rFonts w:ascii="Georgia" w:hAnsi="Georgia"/>
          <w:sz w:val="24"/>
          <w:szCs w:val="24"/>
        </w:rPr>
        <w:t xml:space="preserve">A natural gas index </w:t>
      </w:r>
      <w:r w:rsidR="00893E9A">
        <w:rPr>
          <w:rFonts w:ascii="Georgia" w:hAnsi="Georgia"/>
          <w:sz w:val="24"/>
          <w:szCs w:val="24"/>
        </w:rPr>
        <w:t>price</w:t>
      </w:r>
      <w:r w:rsidR="00C62902">
        <w:rPr>
          <w:rFonts w:ascii="Georgia" w:hAnsi="Georgia"/>
          <w:sz w:val="24"/>
          <w:szCs w:val="24"/>
        </w:rPr>
        <w:t xml:space="preserve"> </w:t>
      </w:r>
      <w:r w:rsidRPr="009D0B30">
        <w:rPr>
          <w:rFonts w:ascii="Georgia" w:hAnsi="Georgia"/>
          <w:sz w:val="24"/>
          <w:szCs w:val="24"/>
        </w:rPr>
        <w:t>is derived from</w:t>
      </w:r>
      <w:r>
        <w:rPr>
          <w:rFonts w:ascii="Georgia" w:hAnsi="Georgia"/>
          <w:sz w:val="24"/>
          <w:szCs w:val="24"/>
        </w:rPr>
        <w:t xml:space="preserve"> trades</w:t>
      </w:r>
      <w:r w:rsidRPr="009D0B30">
        <w:rPr>
          <w:rFonts w:ascii="Georgia" w:hAnsi="Georgia"/>
          <w:sz w:val="24"/>
          <w:szCs w:val="24"/>
        </w:rPr>
        <w:t xml:space="preserve"> within </w:t>
      </w:r>
      <w:r>
        <w:rPr>
          <w:rFonts w:ascii="Georgia" w:hAnsi="Georgia"/>
          <w:sz w:val="24"/>
          <w:szCs w:val="24"/>
        </w:rPr>
        <w:t>specific</w:t>
      </w:r>
      <w:r w:rsidRPr="009D0B30">
        <w:rPr>
          <w:rFonts w:ascii="Georgia" w:hAnsi="Georgia"/>
          <w:sz w:val="24"/>
          <w:szCs w:val="24"/>
        </w:rPr>
        <w:t xml:space="preserve"> geographical boundaries that market participants voluntarily report to a price index developer.</w:t>
      </w:r>
      <w:r>
        <w:rPr>
          <w:rFonts w:ascii="Georgia" w:hAnsi="Georgia"/>
          <w:sz w:val="24"/>
          <w:szCs w:val="24"/>
        </w:rPr>
        <w:t xml:space="preserve"> Price index developers are private, for-profit companies that classify most of the voluntarily-reported data as proprietary</w:t>
      </w:r>
      <w:r w:rsidR="00F81C1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that the index developers </w:t>
      </w:r>
      <w:r w:rsidR="00360E1D">
        <w:rPr>
          <w:rFonts w:ascii="Georgia" w:hAnsi="Georgia"/>
          <w:sz w:val="24"/>
          <w:szCs w:val="24"/>
        </w:rPr>
        <w:t xml:space="preserve">then </w:t>
      </w:r>
      <w:r w:rsidR="00A7055B">
        <w:rPr>
          <w:rFonts w:ascii="Georgia" w:hAnsi="Georgia"/>
          <w:sz w:val="24"/>
          <w:szCs w:val="24"/>
        </w:rPr>
        <w:t xml:space="preserve">commodify and </w:t>
      </w:r>
      <w:r>
        <w:rPr>
          <w:rFonts w:ascii="Georgia" w:hAnsi="Georgia"/>
          <w:sz w:val="24"/>
          <w:szCs w:val="24"/>
        </w:rPr>
        <w:t xml:space="preserve">sell </w:t>
      </w:r>
      <w:r w:rsidR="009D21B1">
        <w:rPr>
          <w:rFonts w:ascii="Georgia" w:hAnsi="Georgia"/>
          <w:sz w:val="24"/>
          <w:szCs w:val="24"/>
        </w:rPr>
        <w:t xml:space="preserve">only </w:t>
      </w:r>
      <w:r>
        <w:rPr>
          <w:rFonts w:ascii="Georgia" w:hAnsi="Georgia"/>
          <w:sz w:val="24"/>
          <w:szCs w:val="24"/>
        </w:rPr>
        <w:t xml:space="preserve">to those that can afford </w:t>
      </w:r>
      <w:r w:rsidR="00360E1D">
        <w:rPr>
          <w:rFonts w:ascii="Georgia" w:hAnsi="Georgia"/>
          <w:sz w:val="24"/>
          <w:szCs w:val="24"/>
        </w:rPr>
        <w:t xml:space="preserve">the </w:t>
      </w:r>
      <w:r w:rsidR="00C05E69">
        <w:rPr>
          <w:rFonts w:ascii="Georgia" w:hAnsi="Georgia"/>
          <w:sz w:val="24"/>
          <w:szCs w:val="24"/>
        </w:rPr>
        <w:t>very expensive subscription fees</w:t>
      </w:r>
      <w:r>
        <w:rPr>
          <w:rFonts w:ascii="Georgia" w:hAnsi="Georgia"/>
          <w:sz w:val="24"/>
          <w:szCs w:val="24"/>
        </w:rPr>
        <w:t>.</w:t>
      </w:r>
    </w:p>
    <w:p w14:paraId="29036F84" w14:textId="72091DA2" w:rsidR="00C05E69" w:rsidRDefault="00C05E69" w:rsidP="00EF5FDE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These voluntarily-reported</w:t>
      </w:r>
      <w:r w:rsidR="009F7C59">
        <w:rPr>
          <w:rFonts w:ascii="Georgia" w:hAnsi="Georgia"/>
          <w:sz w:val="24"/>
          <w:szCs w:val="24"/>
        </w:rPr>
        <w:t xml:space="preserve"> transactions </w:t>
      </w:r>
      <w:r w:rsidR="009D21B1">
        <w:rPr>
          <w:rFonts w:ascii="Georgia" w:hAnsi="Georgia"/>
          <w:sz w:val="24"/>
          <w:szCs w:val="24"/>
        </w:rPr>
        <w:t>determine</w:t>
      </w:r>
      <w:r w:rsidR="00DF445B">
        <w:rPr>
          <w:rFonts w:ascii="Georgia" w:hAnsi="Georgia"/>
          <w:sz w:val="24"/>
          <w:szCs w:val="24"/>
        </w:rPr>
        <w:t xml:space="preserve"> the price of natural gas for</w:t>
      </w:r>
      <w:r w:rsidR="00C62902">
        <w:rPr>
          <w:rFonts w:ascii="Georgia" w:hAnsi="Georgia"/>
          <w:sz w:val="24"/>
          <w:szCs w:val="24"/>
        </w:rPr>
        <w:t xml:space="preserve"> </w:t>
      </w:r>
      <w:r w:rsidR="00DF445B">
        <w:rPr>
          <w:rFonts w:ascii="Georgia" w:hAnsi="Georgia"/>
          <w:sz w:val="24"/>
          <w:szCs w:val="24"/>
        </w:rPr>
        <w:t xml:space="preserve">millions of households and businesses across the country, </w:t>
      </w:r>
      <w:r w:rsidR="000C73B8">
        <w:rPr>
          <w:rFonts w:ascii="Georgia" w:hAnsi="Georgia"/>
          <w:sz w:val="24"/>
          <w:szCs w:val="24"/>
        </w:rPr>
        <w:t xml:space="preserve">as </w:t>
      </w:r>
      <w:r w:rsidR="000C73B8" w:rsidRPr="000C73B8">
        <w:rPr>
          <w:rFonts w:ascii="Georgia" w:hAnsi="Georgia"/>
          <w:sz w:val="24"/>
          <w:szCs w:val="24"/>
        </w:rPr>
        <w:t>market participants reference index prices in their physical and financial transactions</w:t>
      </w:r>
      <w:r w:rsidR="002F12C5">
        <w:rPr>
          <w:rFonts w:ascii="Georgia" w:hAnsi="Georgia"/>
          <w:sz w:val="24"/>
          <w:szCs w:val="24"/>
        </w:rPr>
        <w:t>:</w:t>
      </w:r>
      <w:r w:rsidR="000C73B8" w:rsidRPr="000C73B8">
        <w:rPr>
          <w:rFonts w:ascii="Georgia" w:hAnsi="Georgia"/>
          <w:sz w:val="24"/>
          <w:szCs w:val="24"/>
        </w:rPr>
        <w:t xml:space="preserve"> natural gas pipelines and Regional Transmission Organizations </w:t>
      </w:r>
      <w:r w:rsidR="00C949C5">
        <w:rPr>
          <w:rFonts w:ascii="Georgia" w:hAnsi="Georgia"/>
          <w:sz w:val="24"/>
          <w:szCs w:val="24"/>
        </w:rPr>
        <w:t>feature</w:t>
      </w:r>
      <w:r w:rsidR="000C73B8" w:rsidRPr="000C73B8">
        <w:rPr>
          <w:rFonts w:ascii="Georgia" w:hAnsi="Georgia"/>
          <w:sz w:val="24"/>
          <w:szCs w:val="24"/>
        </w:rPr>
        <w:t xml:space="preserve"> natural gas indices in their FERC-jurisdictional tariffs for various terms and conditions of service</w:t>
      </w:r>
      <w:r w:rsidR="002C19E7">
        <w:rPr>
          <w:rFonts w:ascii="Georgia" w:hAnsi="Georgia"/>
          <w:sz w:val="24"/>
          <w:szCs w:val="24"/>
        </w:rPr>
        <w:t>;</w:t>
      </w:r>
      <w:r w:rsidR="000C73B8" w:rsidRPr="000C73B8">
        <w:rPr>
          <w:rFonts w:ascii="Georgia" w:hAnsi="Georgia"/>
          <w:sz w:val="24"/>
          <w:szCs w:val="24"/>
        </w:rPr>
        <w:t xml:space="preserve"> </w:t>
      </w:r>
      <w:r w:rsidR="002C19E7">
        <w:rPr>
          <w:rFonts w:ascii="Georgia" w:hAnsi="Georgia"/>
          <w:sz w:val="24"/>
          <w:szCs w:val="24"/>
        </w:rPr>
        <w:t>s</w:t>
      </w:r>
      <w:r w:rsidR="000C73B8" w:rsidRPr="000C73B8">
        <w:rPr>
          <w:rFonts w:ascii="Georgia" w:hAnsi="Georgia"/>
          <w:sz w:val="24"/>
          <w:szCs w:val="24"/>
        </w:rPr>
        <w:t xml:space="preserve">tate </w:t>
      </w:r>
      <w:r w:rsidR="002C19E7">
        <w:rPr>
          <w:rFonts w:ascii="Georgia" w:hAnsi="Georgia"/>
          <w:sz w:val="24"/>
          <w:szCs w:val="24"/>
        </w:rPr>
        <w:t>utility commissions</w:t>
      </w:r>
      <w:r w:rsidR="000C73B8" w:rsidRPr="000C73B8">
        <w:rPr>
          <w:rFonts w:ascii="Georgia" w:hAnsi="Georgia"/>
          <w:sz w:val="24"/>
          <w:szCs w:val="24"/>
        </w:rPr>
        <w:t xml:space="preserve"> </w:t>
      </w:r>
      <w:r w:rsidR="002C19E7">
        <w:rPr>
          <w:rFonts w:ascii="Georgia" w:hAnsi="Georgia"/>
          <w:sz w:val="24"/>
          <w:szCs w:val="24"/>
        </w:rPr>
        <w:t>rely on</w:t>
      </w:r>
      <w:r w:rsidR="000C73B8" w:rsidRPr="000C73B8">
        <w:rPr>
          <w:rFonts w:ascii="Georgia" w:hAnsi="Georgia"/>
          <w:sz w:val="24"/>
          <w:szCs w:val="24"/>
        </w:rPr>
        <w:t xml:space="preserve"> natural gas indices as benchmarks when </w:t>
      </w:r>
      <w:r w:rsidR="00B5018A">
        <w:rPr>
          <w:rFonts w:ascii="Georgia" w:hAnsi="Georgia"/>
          <w:sz w:val="24"/>
          <w:szCs w:val="24"/>
        </w:rPr>
        <w:t>setting rates</w:t>
      </w:r>
      <w:r w:rsidR="002C19E7">
        <w:rPr>
          <w:rFonts w:ascii="Georgia" w:hAnsi="Georgia"/>
          <w:sz w:val="24"/>
          <w:szCs w:val="24"/>
        </w:rPr>
        <w:t>; and</w:t>
      </w:r>
      <w:r w:rsidR="000C73B8" w:rsidRPr="000C73B8">
        <w:rPr>
          <w:rFonts w:ascii="Georgia" w:hAnsi="Georgia"/>
          <w:sz w:val="24"/>
          <w:szCs w:val="24"/>
        </w:rPr>
        <w:t xml:space="preserve"> many natural gas financial derivative contracts used in hedging and speculation settle against the natural gas price indices.</w:t>
      </w:r>
      <w:r w:rsidR="000C73B8">
        <w:rPr>
          <w:rStyle w:val="FootnoteReference"/>
          <w:rFonts w:ascii="Georgia" w:hAnsi="Georgia"/>
          <w:sz w:val="24"/>
          <w:szCs w:val="24"/>
        </w:rPr>
        <w:footnoteReference w:id="2"/>
      </w:r>
      <w:r w:rsidR="00C040EA">
        <w:rPr>
          <w:rFonts w:ascii="Georgia" w:hAnsi="Georgia"/>
          <w:sz w:val="24"/>
          <w:szCs w:val="24"/>
        </w:rPr>
        <w:t xml:space="preserve"> In a way, </w:t>
      </w:r>
      <w:r w:rsidR="0007582F">
        <w:rPr>
          <w:rFonts w:ascii="Georgia" w:hAnsi="Georgia"/>
          <w:sz w:val="24"/>
          <w:szCs w:val="24"/>
        </w:rPr>
        <w:t>hundreds of billions of dollars of energy transactions rely upon</w:t>
      </w:r>
      <w:r w:rsidR="00BD1ED1">
        <w:rPr>
          <w:rFonts w:ascii="Georgia" w:hAnsi="Georgia"/>
          <w:sz w:val="24"/>
          <w:szCs w:val="24"/>
        </w:rPr>
        <w:t xml:space="preserve"> </w:t>
      </w:r>
      <w:r w:rsidR="007D58B1">
        <w:rPr>
          <w:rFonts w:ascii="Georgia" w:hAnsi="Georgia"/>
          <w:sz w:val="24"/>
          <w:szCs w:val="24"/>
        </w:rPr>
        <w:t>voluntarily-reported price indexes</w:t>
      </w:r>
      <w:r w:rsidR="007D58B1">
        <w:rPr>
          <w:rFonts w:ascii="Cambria" w:hAnsi="Cambria"/>
          <w:sz w:val="24"/>
          <w:szCs w:val="24"/>
        </w:rPr>
        <w:t>—</w:t>
      </w:r>
      <w:r w:rsidR="00BD1ED1">
        <w:rPr>
          <w:rFonts w:ascii="Georgia" w:hAnsi="Georgia"/>
          <w:sz w:val="24"/>
          <w:szCs w:val="24"/>
        </w:rPr>
        <w:t>a 21</w:t>
      </w:r>
      <w:r w:rsidR="00BD1ED1" w:rsidRPr="00BD1ED1">
        <w:rPr>
          <w:rFonts w:ascii="Georgia" w:hAnsi="Georgia"/>
          <w:sz w:val="24"/>
          <w:szCs w:val="24"/>
          <w:vertAlign w:val="superscript"/>
        </w:rPr>
        <w:t>st</w:t>
      </w:r>
      <w:r w:rsidR="00BD1ED1">
        <w:rPr>
          <w:rFonts w:ascii="Georgia" w:hAnsi="Georgia"/>
          <w:sz w:val="24"/>
          <w:szCs w:val="24"/>
        </w:rPr>
        <w:t xml:space="preserve"> century version of a smoke</w:t>
      </w:r>
      <w:r w:rsidR="00D20624">
        <w:rPr>
          <w:rFonts w:ascii="Georgia" w:hAnsi="Georgia"/>
          <w:sz w:val="24"/>
          <w:szCs w:val="24"/>
        </w:rPr>
        <w:t>-filled</w:t>
      </w:r>
      <w:r w:rsidR="006E2C8A">
        <w:rPr>
          <w:rFonts w:ascii="Georgia" w:hAnsi="Georgia"/>
          <w:sz w:val="24"/>
          <w:szCs w:val="24"/>
        </w:rPr>
        <w:t>,</w:t>
      </w:r>
      <w:r w:rsidR="00D20624">
        <w:rPr>
          <w:rFonts w:ascii="Georgia" w:hAnsi="Georgia"/>
          <w:sz w:val="24"/>
          <w:szCs w:val="24"/>
        </w:rPr>
        <w:t xml:space="preserve"> price-fixing establishment.</w:t>
      </w:r>
    </w:p>
    <w:p w14:paraId="0281402A" w14:textId="64B745D3" w:rsidR="002701C0" w:rsidRDefault="00AB0C26" w:rsidP="00EF5FDE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The </w:t>
      </w:r>
      <w:r w:rsidRPr="00AB0C26">
        <w:rPr>
          <w:rFonts w:ascii="Georgia" w:hAnsi="Georgia"/>
          <w:sz w:val="24"/>
          <w:szCs w:val="24"/>
        </w:rPr>
        <w:t>Commission</w:t>
      </w:r>
      <w:r>
        <w:rPr>
          <w:rFonts w:ascii="Georgia" w:hAnsi="Georgia"/>
          <w:sz w:val="24"/>
          <w:szCs w:val="24"/>
        </w:rPr>
        <w:t xml:space="preserve"> seeks to codify its</w:t>
      </w:r>
      <w:r w:rsidRPr="00AB0C26">
        <w:rPr>
          <w:rFonts w:ascii="Georgia" w:hAnsi="Georgia"/>
          <w:sz w:val="24"/>
          <w:szCs w:val="24"/>
        </w:rPr>
        <w:t xml:space="preserve"> Policy Statement on Natural Gas and Electric Price Indices</w:t>
      </w:r>
      <w:r>
        <w:rPr>
          <w:rFonts w:ascii="Georgia" w:hAnsi="Georgia"/>
          <w:sz w:val="24"/>
          <w:szCs w:val="24"/>
        </w:rPr>
        <w:t xml:space="preserve"> </w:t>
      </w:r>
      <w:r w:rsidR="0058729D">
        <w:rPr>
          <w:rFonts w:ascii="Georgia" w:hAnsi="Georgia"/>
          <w:sz w:val="24"/>
          <w:szCs w:val="24"/>
        </w:rPr>
        <w:t xml:space="preserve">and </w:t>
      </w:r>
      <w:r w:rsidR="00D37FC4">
        <w:rPr>
          <w:rFonts w:ascii="Georgia" w:hAnsi="Georgia"/>
          <w:sz w:val="24"/>
          <w:szCs w:val="24"/>
        </w:rPr>
        <w:t>provid</w:t>
      </w:r>
      <w:r w:rsidR="0058729D">
        <w:rPr>
          <w:rFonts w:ascii="Georgia" w:hAnsi="Georgia"/>
          <w:sz w:val="24"/>
          <w:szCs w:val="24"/>
        </w:rPr>
        <w:t>e</w:t>
      </w:r>
      <w:r w:rsidR="00D37FC4"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 xml:space="preserve"> </w:t>
      </w:r>
      <w:r w:rsidR="00BA67DC">
        <w:rPr>
          <w:rFonts w:ascii="Georgia" w:hAnsi="Georgia"/>
          <w:sz w:val="24"/>
          <w:szCs w:val="24"/>
        </w:rPr>
        <w:t xml:space="preserve">rebuttable presumption that </w:t>
      </w:r>
      <w:r w:rsidR="006F0937">
        <w:rPr>
          <w:rFonts w:ascii="Georgia" w:hAnsi="Georgia"/>
          <w:sz w:val="24"/>
          <w:szCs w:val="24"/>
        </w:rPr>
        <w:t xml:space="preserve">energy traders </w:t>
      </w:r>
      <w:r w:rsidR="0058729D">
        <w:rPr>
          <w:rFonts w:ascii="Georgia" w:hAnsi="Georgia"/>
          <w:sz w:val="24"/>
          <w:szCs w:val="24"/>
        </w:rPr>
        <w:t>reporting</w:t>
      </w:r>
      <w:r w:rsidR="00692BD8">
        <w:rPr>
          <w:rFonts w:ascii="Georgia" w:hAnsi="Georgia"/>
          <w:sz w:val="24"/>
          <w:szCs w:val="24"/>
        </w:rPr>
        <w:t xml:space="preserve"> transaction data to the various private, for-profit </w:t>
      </w:r>
      <w:r w:rsidR="00692BD8" w:rsidRPr="00692BD8">
        <w:rPr>
          <w:rFonts w:ascii="Georgia" w:hAnsi="Georgia"/>
          <w:sz w:val="24"/>
          <w:szCs w:val="24"/>
        </w:rPr>
        <w:t>price index developers</w:t>
      </w:r>
      <w:r w:rsidR="00B11ED0">
        <w:rPr>
          <w:rFonts w:ascii="Georgia" w:hAnsi="Georgia"/>
          <w:sz w:val="24"/>
          <w:szCs w:val="24"/>
        </w:rPr>
        <w:t xml:space="preserve"> will</w:t>
      </w:r>
      <w:r w:rsidR="00BD0CB4">
        <w:rPr>
          <w:rFonts w:ascii="Georgia" w:hAnsi="Georgia"/>
          <w:sz w:val="24"/>
          <w:szCs w:val="24"/>
        </w:rPr>
        <w:t xml:space="preserve"> be</w:t>
      </w:r>
      <w:r w:rsidR="00FA350A">
        <w:rPr>
          <w:rFonts w:ascii="Georgia" w:hAnsi="Georgia"/>
          <w:sz w:val="24"/>
          <w:szCs w:val="24"/>
        </w:rPr>
        <w:t xml:space="preserve"> </w:t>
      </w:r>
      <w:r w:rsidR="00BD0CB4">
        <w:rPr>
          <w:rFonts w:ascii="Georgia" w:hAnsi="Georgia"/>
          <w:sz w:val="24"/>
          <w:szCs w:val="24"/>
        </w:rPr>
        <w:t xml:space="preserve">protected by the Commission’s </w:t>
      </w:r>
      <w:r w:rsidR="00D43963">
        <w:rPr>
          <w:rFonts w:ascii="Georgia" w:hAnsi="Georgia"/>
          <w:sz w:val="24"/>
          <w:szCs w:val="24"/>
        </w:rPr>
        <w:t>s</w:t>
      </w:r>
      <w:r w:rsidR="00BD0CB4">
        <w:rPr>
          <w:rFonts w:ascii="Georgia" w:hAnsi="Georgia"/>
          <w:sz w:val="24"/>
          <w:szCs w:val="24"/>
        </w:rPr>
        <w:t xml:space="preserve">afe </w:t>
      </w:r>
      <w:r w:rsidR="00D43963">
        <w:rPr>
          <w:rFonts w:ascii="Georgia" w:hAnsi="Georgia"/>
          <w:sz w:val="24"/>
          <w:szCs w:val="24"/>
        </w:rPr>
        <w:t>h</w:t>
      </w:r>
      <w:r w:rsidR="00BD0CB4">
        <w:rPr>
          <w:rFonts w:ascii="Georgia" w:hAnsi="Georgia"/>
          <w:sz w:val="24"/>
          <w:szCs w:val="24"/>
        </w:rPr>
        <w:t xml:space="preserve">arbor policy as long as the </w:t>
      </w:r>
      <w:r w:rsidR="00FE6175">
        <w:rPr>
          <w:rFonts w:ascii="Georgia" w:hAnsi="Georgia"/>
          <w:sz w:val="24"/>
          <w:szCs w:val="24"/>
        </w:rPr>
        <w:t xml:space="preserve">trader did not </w:t>
      </w:r>
      <w:r w:rsidR="00FE6175" w:rsidRPr="00FB1717">
        <w:rPr>
          <w:rFonts w:ascii="Georgia" w:hAnsi="Georgia"/>
          <w:sz w:val="24"/>
          <w:szCs w:val="24"/>
        </w:rPr>
        <w:t>knowingly submit false</w:t>
      </w:r>
      <w:r w:rsidR="00FE6175">
        <w:rPr>
          <w:rFonts w:ascii="Georgia" w:hAnsi="Georgia"/>
          <w:sz w:val="24"/>
          <w:szCs w:val="24"/>
        </w:rPr>
        <w:t xml:space="preserve"> </w:t>
      </w:r>
      <w:r w:rsidR="00BD0CB4">
        <w:rPr>
          <w:rFonts w:ascii="Georgia" w:hAnsi="Georgia"/>
          <w:sz w:val="24"/>
          <w:szCs w:val="24"/>
        </w:rPr>
        <w:t>data</w:t>
      </w:r>
      <w:r w:rsidR="00EA4AE6">
        <w:rPr>
          <w:rFonts w:ascii="Georgia" w:hAnsi="Georgia"/>
          <w:sz w:val="24"/>
          <w:szCs w:val="24"/>
        </w:rPr>
        <w:t>.</w:t>
      </w:r>
      <w:r w:rsidR="00BD0CB4">
        <w:rPr>
          <w:rFonts w:ascii="Georgia" w:hAnsi="Georgia"/>
          <w:sz w:val="24"/>
          <w:szCs w:val="24"/>
        </w:rPr>
        <w:t xml:space="preserve"> </w:t>
      </w:r>
      <w:r w:rsidR="008E3CF2">
        <w:rPr>
          <w:rFonts w:ascii="Georgia" w:hAnsi="Georgia"/>
          <w:sz w:val="24"/>
          <w:szCs w:val="24"/>
        </w:rPr>
        <w:t xml:space="preserve">The Commission’s intent </w:t>
      </w:r>
      <w:r w:rsidR="00E84EFD">
        <w:rPr>
          <w:rFonts w:ascii="Georgia" w:hAnsi="Georgia"/>
          <w:sz w:val="24"/>
          <w:szCs w:val="24"/>
        </w:rPr>
        <w:t>in</w:t>
      </w:r>
      <w:r w:rsidR="00E14236">
        <w:rPr>
          <w:rFonts w:ascii="Georgia" w:hAnsi="Georgia"/>
          <w:sz w:val="24"/>
          <w:szCs w:val="24"/>
        </w:rPr>
        <w:t xml:space="preserve"> codifying</w:t>
      </w:r>
      <w:r w:rsidR="00F93512">
        <w:rPr>
          <w:rFonts w:ascii="Georgia" w:hAnsi="Georgia"/>
          <w:sz w:val="24"/>
          <w:szCs w:val="24"/>
        </w:rPr>
        <w:t xml:space="preserve"> </w:t>
      </w:r>
      <w:r w:rsidR="00476C15">
        <w:rPr>
          <w:rFonts w:ascii="Georgia" w:hAnsi="Georgia"/>
          <w:sz w:val="24"/>
          <w:szCs w:val="24"/>
        </w:rPr>
        <w:t>a</w:t>
      </w:r>
      <w:r w:rsidR="00F93512">
        <w:rPr>
          <w:rFonts w:ascii="Georgia" w:hAnsi="Georgia"/>
          <w:sz w:val="24"/>
          <w:szCs w:val="24"/>
        </w:rPr>
        <w:t xml:space="preserve"> legal safe harbor for energy traders is to promote increased voluntary reporting</w:t>
      </w:r>
      <w:r w:rsidR="002544E1">
        <w:rPr>
          <w:rFonts w:ascii="Georgia" w:hAnsi="Georgia"/>
          <w:sz w:val="24"/>
          <w:szCs w:val="24"/>
        </w:rPr>
        <w:t xml:space="preserve">, as the </w:t>
      </w:r>
      <w:r w:rsidR="00650145" w:rsidRPr="00650145">
        <w:rPr>
          <w:rFonts w:ascii="Georgia" w:hAnsi="Georgia"/>
          <w:sz w:val="24"/>
          <w:szCs w:val="24"/>
        </w:rPr>
        <w:t>transactions voluntarily reported to price index developers declined b</w:t>
      </w:r>
      <w:r w:rsidR="00484FA7">
        <w:rPr>
          <w:rFonts w:ascii="Georgia" w:hAnsi="Georgia"/>
          <w:sz w:val="24"/>
          <w:szCs w:val="24"/>
        </w:rPr>
        <w:t>y</w:t>
      </w:r>
      <w:r w:rsidR="00650145" w:rsidRPr="00650145">
        <w:rPr>
          <w:rFonts w:ascii="Georgia" w:hAnsi="Georgia"/>
          <w:sz w:val="24"/>
          <w:szCs w:val="24"/>
        </w:rPr>
        <w:t xml:space="preserve"> 54% from 2010 </w:t>
      </w:r>
      <w:r w:rsidR="00484FA7">
        <w:rPr>
          <w:rFonts w:ascii="Georgia" w:hAnsi="Georgia"/>
          <w:sz w:val="24"/>
          <w:szCs w:val="24"/>
        </w:rPr>
        <w:t>through</w:t>
      </w:r>
      <w:r w:rsidR="00650145" w:rsidRPr="00650145">
        <w:rPr>
          <w:rFonts w:ascii="Georgia" w:hAnsi="Georgia"/>
          <w:sz w:val="24"/>
          <w:szCs w:val="24"/>
        </w:rPr>
        <w:t xml:space="preserve"> 2019</w:t>
      </w:r>
      <w:r w:rsidR="00965263">
        <w:rPr>
          <w:rFonts w:ascii="Georgia" w:hAnsi="Georgia"/>
          <w:sz w:val="24"/>
          <w:szCs w:val="24"/>
        </w:rPr>
        <w:t>.</w:t>
      </w:r>
      <w:r w:rsidR="00965263">
        <w:rPr>
          <w:rStyle w:val="FootnoteReference"/>
          <w:rFonts w:ascii="Georgia" w:hAnsi="Georgia"/>
          <w:sz w:val="24"/>
          <w:szCs w:val="24"/>
        </w:rPr>
        <w:footnoteReference w:id="3"/>
      </w:r>
      <w:r w:rsidR="002701C0" w:rsidRPr="002701C0">
        <w:rPr>
          <w:rFonts w:ascii="Georgia" w:hAnsi="Georgia"/>
          <w:sz w:val="24"/>
          <w:szCs w:val="24"/>
        </w:rPr>
        <w:t xml:space="preserve"> </w:t>
      </w:r>
      <w:r w:rsidR="00FA350A">
        <w:rPr>
          <w:rFonts w:ascii="Georgia" w:hAnsi="Georgia"/>
          <w:sz w:val="24"/>
          <w:szCs w:val="24"/>
        </w:rPr>
        <w:t xml:space="preserve">The </w:t>
      </w:r>
      <w:r w:rsidR="00CC00CE">
        <w:rPr>
          <w:rFonts w:ascii="Georgia" w:hAnsi="Georgia"/>
          <w:sz w:val="24"/>
          <w:szCs w:val="24"/>
        </w:rPr>
        <w:t>Commission</w:t>
      </w:r>
      <w:r w:rsidR="00FA350A">
        <w:rPr>
          <w:rFonts w:ascii="Georgia" w:hAnsi="Georgia"/>
          <w:sz w:val="24"/>
          <w:szCs w:val="24"/>
        </w:rPr>
        <w:t xml:space="preserve"> provides no empirical evidence in the NOPR that codifying safe harbor provisions will</w:t>
      </w:r>
      <w:r w:rsidR="00CC00CE">
        <w:rPr>
          <w:rFonts w:ascii="Georgia" w:hAnsi="Georgia"/>
          <w:sz w:val="24"/>
          <w:szCs w:val="24"/>
        </w:rPr>
        <w:t xml:space="preserve"> result in additional voluntary reporting.</w:t>
      </w:r>
    </w:p>
    <w:p w14:paraId="5A6B5088" w14:textId="369B5979" w:rsidR="0048749F" w:rsidRDefault="00930501" w:rsidP="00E9444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712EFB">
        <w:rPr>
          <w:rFonts w:ascii="Georgia" w:hAnsi="Georgia"/>
          <w:sz w:val="24"/>
          <w:szCs w:val="24"/>
        </w:rPr>
        <w:t>afe harbor protections cannot fix the significant problems</w:t>
      </w:r>
      <w:r w:rsidR="00D255F1">
        <w:rPr>
          <w:rFonts w:ascii="Georgia" w:hAnsi="Georgia"/>
          <w:sz w:val="24"/>
          <w:szCs w:val="24"/>
        </w:rPr>
        <w:t xml:space="preserve"> inherent with voluntarily-reported price indexes</w:t>
      </w:r>
      <w:r w:rsidR="00BB01F3">
        <w:rPr>
          <w:rFonts w:ascii="Georgia" w:hAnsi="Georgia"/>
          <w:sz w:val="24"/>
          <w:szCs w:val="24"/>
        </w:rPr>
        <w:t>, and codifying them will simply formalize</w:t>
      </w:r>
      <w:r w:rsidR="003C162C">
        <w:rPr>
          <w:rFonts w:ascii="Georgia" w:hAnsi="Georgia"/>
          <w:sz w:val="24"/>
          <w:szCs w:val="24"/>
        </w:rPr>
        <w:t xml:space="preserve"> the nation’s reliance upon a profoundly non-transparent, uncompetitive natural gas pricing system</w:t>
      </w:r>
      <w:r w:rsidR="00D255F1">
        <w:rPr>
          <w:rFonts w:ascii="Georgia" w:hAnsi="Georgia"/>
          <w:sz w:val="24"/>
          <w:szCs w:val="24"/>
        </w:rPr>
        <w:t xml:space="preserve">. </w:t>
      </w:r>
      <w:r w:rsidR="00682A82">
        <w:rPr>
          <w:rFonts w:ascii="Georgia" w:hAnsi="Georgia"/>
          <w:sz w:val="24"/>
          <w:szCs w:val="24"/>
        </w:rPr>
        <w:t>Voluntary price indexes</w:t>
      </w:r>
      <w:r w:rsidR="00DF401D">
        <w:rPr>
          <w:rFonts w:ascii="Cambria" w:hAnsi="Cambria"/>
          <w:sz w:val="24"/>
          <w:szCs w:val="24"/>
        </w:rPr>
        <w:t xml:space="preserve">, </w:t>
      </w:r>
      <w:r w:rsidR="00682A82">
        <w:rPr>
          <w:rFonts w:ascii="Georgia" w:hAnsi="Georgia"/>
          <w:sz w:val="24"/>
          <w:szCs w:val="24"/>
        </w:rPr>
        <w:t xml:space="preserve">whether for natural gas or </w:t>
      </w:r>
      <w:r w:rsidR="00F5173C">
        <w:rPr>
          <w:rFonts w:ascii="Georgia" w:hAnsi="Georgia"/>
          <w:sz w:val="24"/>
          <w:szCs w:val="24"/>
        </w:rPr>
        <w:t xml:space="preserve">the </w:t>
      </w:r>
      <w:r w:rsidR="00F5173C" w:rsidRPr="00F5173C">
        <w:rPr>
          <w:rFonts w:ascii="Georgia" w:hAnsi="Georgia"/>
          <w:sz w:val="24"/>
          <w:szCs w:val="24"/>
        </w:rPr>
        <w:t>London Interbank Offered Rate</w:t>
      </w:r>
      <w:r w:rsidR="00F5173C">
        <w:rPr>
          <w:rFonts w:ascii="Georgia" w:hAnsi="Georgia"/>
          <w:sz w:val="24"/>
          <w:szCs w:val="24"/>
        </w:rPr>
        <w:t xml:space="preserve"> (</w:t>
      </w:r>
      <w:r w:rsidR="00682A82">
        <w:rPr>
          <w:rFonts w:ascii="Georgia" w:hAnsi="Georgia"/>
          <w:sz w:val="24"/>
          <w:szCs w:val="24"/>
        </w:rPr>
        <w:t>LIBOR</w:t>
      </w:r>
      <w:r w:rsidR="00F5173C">
        <w:rPr>
          <w:rFonts w:ascii="Georgia" w:hAnsi="Georgia"/>
          <w:sz w:val="24"/>
          <w:szCs w:val="24"/>
        </w:rPr>
        <w:t>)</w:t>
      </w:r>
      <w:r w:rsidR="00DF401D">
        <w:rPr>
          <w:rFonts w:ascii="Cambria" w:hAnsi="Cambria"/>
          <w:sz w:val="24"/>
          <w:szCs w:val="24"/>
        </w:rPr>
        <w:t xml:space="preserve">, </w:t>
      </w:r>
      <w:r w:rsidR="00DF401D">
        <w:rPr>
          <w:rFonts w:ascii="Georgia" w:hAnsi="Georgia"/>
          <w:sz w:val="24"/>
          <w:szCs w:val="24"/>
        </w:rPr>
        <w:t>have systemically been vulnerable to market manipulation</w:t>
      </w:r>
      <w:r w:rsidR="00961178">
        <w:rPr>
          <w:rFonts w:ascii="Georgia" w:hAnsi="Georgia"/>
          <w:sz w:val="24"/>
          <w:szCs w:val="24"/>
        </w:rPr>
        <w:t>, as they</w:t>
      </w:r>
      <w:r w:rsidR="00145197">
        <w:rPr>
          <w:rFonts w:ascii="Georgia" w:hAnsi="Georgia"/>
          <w:sz w:val="24"/>
          <w:szCs w:val="24"/>
        </w:rPr>
        <w:t xml:space="preserve"> feature bilateral transactions that are too illiquid</w:t>
      </w:r>
      <w:r w:rsidR="0048021C">
        <w:rPr>
          <w:rFonts w:ascii="Georgia" w:hAnsi="Georgia"/>
          <w:sz w:val="24"/>
          <w:szCs w:val="24"/>
        </w:rPr>
        <w:t xml:space="preserve"> and uncompetitive</w:t>
      </w:r>
      <w:r w:rsidR="003959A5">
        <w:rPr>
          <w:rFonts w:ascii="Georgia" w:hAnsi="Georgia"/>
          <w:sz w:val="24"/>
          <w:szCs w:val="24"/>
        </w:rPr>
        <w:t xml:space="preserve"> to be reliable or trustworthy reflection</w:t>
      </w:r>
      <w:r w:rsidR="007F638C">
        <w:rPr>
          <w:rFonts w:ascii="Georgia" w:hAnsi="Georgia"/>
          <w:sz w:val="24"/>
          <w:szCs w:val="24"/>
        </w:rPr>
        <w:t>s</w:t>
      </w:r>
      <w:r w:rsidR="003959A5">
        <w:rPr>
          <w:rFonts w:ascii="Georgia" w:hAnsi="Georgia"/>
          <w:sz w:val="24"/>
          <w:szCs w:val="24"/>
        </w:rPr>
        <w:t xml:space="preserve"> of market prices</w:t>
      </w:r>
      <w:r w:rsidR="00E35B3E">
        <w:rPr>
          <w:rFonts w:ascii="Georgia" w:hAnsi="Georgia"/>
          <w:sz w:val="24"/>
          <w:szCs w:val="24"/>
        </w:rPr>
        <w:t xml:space="preserve">. </w:t>
      </w:r>
      <w:r w:rsidR="002779A7">
        <w:rPr>
          <w:rFonts w:ascii="Georgia" w:hAnsi="Georgia"/>
          <w:sz w:val="24"/>
          <w:szCs w:val="24"/>
        </w:rPr>
        <w:t>Instead of c</w:t>
      </w:r>
      <w:r w:rsidR="00E35B3E">
        <w:rPr>
          <w:rFonts w:ascii="Georgia" w:hAnsi="Georgia"/>
          <w:sz w:val="24"/>
          <w:szCs w:val="24"/>
        </w:rPr>
        <w:t>odifying safe harbor protections, the Commission</w:t>
      </w:r>
      <w:r w:rsidR="00A07CB1">
        <w:rPr>
          <w:rFonts w:ascii="Georgia" w:hAnsi="Georgia"/>
          <w:sz w:val="24"/>
          <w:szCs w:val="24"/>
        </w:rPr>
        <w:t xml:space="preserve"> should scrap this</w:t>
      </w:r>
      <w:r w:rsidR="00E35B3E">
        <w:rPr>
          <w:rFonts w:ascii="Georgia" w:hAnsi="Georgia"/>
          <w:sz w:val="24"/>
          <w:szCs w:val="24"/>
        </w:rPr>
        <w:t xml:space="preserve"> NOPR </w:t>
      </w:r>
      <w:r w:rsidR="001E1457">
        <w:rPr>
          <w:rFonts w:ascii="Georgia" w:hAnsi="Georgia"/>
          <w:sz w:val="24"/>
          <w:szCs w:val="24"/>
        </w:rPr>
        <w:t xml:space="preserve">and </w:t>
      </w:r>
      <w:r w:rsidR="000B6F85">
        <w:rPr>
          <w:rFonts w:ascii="Georgia" w:hAnsi="Georgia"/>
          <w:sz w:val="24"/>
          <w:szCs w:val="24"/>
        </w:rPr>
        <w:t xml:space="preserve">initiate a proceeding to </w:t>
      </w:r>
      <w:r w:rsidR="005F6358">
        <w:rPr>
          <w:rFonts w:ascii="Georgia" w:hAnsi="Georgia"/>
          <w:sz w:val="24"/>
          <w:szCs w:val="24"/>
        </w:rPr>
        <w:t xml:space="preserve">find a replacement for </w:t>
      </w:r>
      <w:r w:rsidR="0048749F">
        <w:rPr>
          <w:rFonts w:ascii="Georgia" w:hAnsi="Georgia"/>
          <w:sz w:val="24"/>
          <w:szCs w:val="24"/>
        </w:rPr>
        <w:t>voluntarily-reported price indexes.</w:t>
      </w:r>
    </w:p>
    <w:p w14:paraId="539E52CB" w14:textId="5339E7BA" w:rsidR="00D02316" w:rsidRDefault="00726B8A" w:rsidP="00E9444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Federal law provides a clear alternative for FERC to pursue</w:t>
      </w:r>
      <w:r w:rsidR="00D0231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D02316">
        <w:rPr>
          <w:rFonts w:ascii="Georgia" w:hAnsi="Georgia"/>
          <w:sz w:val="24"/>
          <w:szCs w:val="24"/>
        </w:rPr>
        <w:t>as</w:t>
      </w:r>
      <w:r w:rsidR="00216AB4">
        <w:rPr>
          <w:rFonts w:ascii="Georgia" w:hAnsi="Georgia"/>
          <w:sz w:val="24"/>
          <w:szCs w:val="24"/>
        </w:rPr>
        <w:t xml:space="preserve"> </w:t>
      </w:r>
      <w:bookmarkStart w:id="0" w:name="_Hlk73423692"/>
      <w:r w:rsidR="00D02316" w:rsidRPr="00127E61">
        <w:rPr>
          <w:rFonts w:ascii="Georgia" w:hAnsi="Georgia"/>
          <w:b/>
          <w:bCs/>
          <w:sz w:val="24"/>
          <w:szCs w:val="24"/>
          <w:u w:val="single"/>
        </w:rPr>
        <w:t>15 USC §</w:t>
      </w:r>
      <w:r w:rsidR="00D02316" w:rsidRPr="00127E61">
        <w:rPr>
          <w:rFonts w:ascii="Times New Roman" w:hAnsi="Times New Roman" w:cs="Times New Roman"/>
          <w:b/>
          <w:bCs/>
          <w:sz w:val="24"/>
          <w:szCs w:val="24"/>
          <w:u w:val="single"/>
        </w:rPr>
        <w:t> </w:t>
      </w:r>
      <w:r w:rsidR="00D02316" w:rsidRPr="00127E61">
        <w:rPr>
          <w:rFonts w:ascii="Georgia" w:hAnsi="Georgia"/>
          <w:b/>
          <w:bCs/>
          <w:sz w:val="24"/>
          <w:szCs w:val="24"/>
          <w:u w:val="single"/>
        </w:rPr>
        <w:t>717t</w:t>
      </w:r>
      <w:r w:rsidR="00D02316" w:rsidRPr="00127E61">
        <w:rPr>
          <w:rFonts w:ascii="Georgia" w:hAnsi="Georgia" w:cs="Georgia"/>
          <w:b/>
          <w:bCs/>
          <w:sz w:val="24"/>
          <w:szCs w:val="24"/>
          <w:u w:val="single"/>
        </w:rPr>
        <w:t>–</w:t>
      </w:r>
      <w:r w:rsidR="00D02316" w:rsidRPr="00127E61">
        <w:rPr>
          <w:rFonts w:ascii="Georgia" w:hAnsi="Georgia"/>
          <w:b/>
          <w:bCs/>
          <w:sz w:val="24"/>
          <w:szCs w:val="24"/>
          <w:u w:val="single"/>
        </w:rPr>
        <w:t>2(a)(4)</w:t>
      </w:r>
      <w:r w:rsidR="00626F30">
        <w:rPr>
          <w:rFonts w:ascii="Georgia" w:hAnsi="Georgia"/>
          <w:sz w:val="24"/>
          <w:szCs w:val="24"/>
        </w:rPr>
        <w:t xml:space="preserve"> </w:t>
      </w:r>
      <w:bookmarkEnd w:id="0"/>
      <w:r w:rsidR="00626F30">
        <w:rPr>
          <w:rFonts w:ascii="Georgia" w:hAnsi="Georgia"/>
          <w:sz w:val="24"/>
          <w:szCs w:val="24"/>
        </w:rPr>
        <w:t xml:space="preserve">states that </w:t>
      </w:r>
      <w:r w:rsidR="00626F30" w:rsidRPr="00D02316">
        <w:rPr>
          <w:rFonts w:ascii="Georgia" w:hAnsi="Georgia"/>
          <w:sz w:val="24"/>
          <w:szCs w:val="24"/>
        </w:rPr>
        <w:t xml:space="preserve">“the Commission shall consider the degree of price transparency provided by existing price publishers and providers of trade processing services . . . </w:t>
      </w:r>
      <w:r w:rsidR="00626F30" w:rsidRPr="00EF110D">
        <w:rPr>
          <w:rFonts w:ascii="Georgia" w:hAnsi="Georgia"/>
          <w:b/>
          <w:bCs/>
          <w:i/>
          <w:iCs/>
          <w:sz w:val="24"/>
          <w:szCs w:val="24"/>
        </w:rPr>
        <w:t xml:space="preserve">The Commission may establish an electronic information system if it determines that existing price publications are not adequately providing </w:t>
      </w:r>
      <w:bookmarkStart w:id="1" w:name="_Hlk73429149"/>
      <w:r w:rsidR="00626F30" w:rsidRPr="00EF110D">
        <w:rPr>
          <w:rFonts w:ascii="Georgia" w:hAnsi="Georgia"/>
          <w:b/>
          <w:bCs/>
          <w:i/>
          <w:iCs/>
          <w:sz w:val="24"/>
          <w:szCs w:val="24"/>
        </w:rPr>
        <w:t>price discovery or market transparency</w:t>
      </w:r>
      <w:bookmarkEnd w:id="1"/>
      <w:r w:rsidR="00626F30">
        <w:rPr>
          <w:rFonts w:ascii="Georgia" w:hAnsi="Georgia"/>
          <w:sz w:val="24"/>
          <w:szCs w:val="24"/>
        </w:rPr>
        <w:t>”</w:t>
      </w:r>
      <w:r w:rsidR="00EF110D">
        <w:rPr>
          <w:rFonts w:ascii="Georgia" w:hAnsi="Georgia"/>
          <w:sz w:val="24"/>
          <w:szCs w:val="24"/>
        </w:rPr>
        <w:t xml:space="preserve"> [emphasis added]</w:t>
      </w:r>
      <w:r w:rsidR="002649AE">
        <w:rPr>
          <w:rFonts w:ascii="Georgia" w:hAnsi="Georgia"/>
          <w:sz w:val="24"/>
          <w:szCs w:val="24"/>
        </w:rPr>
        <w:t>.</w:t>
      </w:r>
      <w:r w:rsidR="00626F30">
        <w:rPr>
          <w:rFonts w:ascii="Georgia" w:hAnsi="Georgia"/>
          <w:sz w:val="24"/>
          <w:szCs w:val="24"/>
        </w:rPr>
        <w:t xml:space="preserve"> </w:t>
      </w:r>
      <w:r w:rsidR="00E73085">
        <w:rPr>
          <w:rFonts w:ascii="Georgia" w:hAnsi="Georgia"/>
          <w:sz w:val="24"/>
          <w:szCs w:val="24"/>
        </w:rPr>
        <w:t xml:space="preserve">Such “an electronic information system” </w:t>
      </w:r>
      <w:r w:rsidR="005F137E">
        <w:rPr>
          <w:rFonts w:ascii="Georgia" w:hAnsi="Georgia"/>
          <w:sz w:val="24"/>
          <w:szCs w:val="24"/>
        </w:rPr>
        <w:t>c</w:t>
      </w:r>
      <w:r w:rsidR="00E73085">
        <w:rPr>
          <w:rFonts w:ascii="Georgia" w:hAnsi="Georgia"/>
          <w:sz w:val="24"/>
          <w:szCs w:val="24"/>
        </w:rPr>
        <w:t xml:space="preserve">ould be based on </w:t>
      </w:r>
      <w:r w:rsidR="00E73085" w:rsidRPr="00155CA4">
        <w:rPr>
          <w:rFonts w:ascii="Georgia" w:hAnsi="Georgia"/>
          <w:sz w:val="24"/>
          <w:szCs w:val="24"/>
          <w:u w:val="single"/>
        </w:rPr>
        <w:t>actual</w:t>
      </w:r>
      <w:r w:rsidR="00E73085">
        <w:rPr>
          <w:rFonts w:ascii="Georgia" w:hAnsi="Georgia"/>
          <w:sz w:val="24"/>
          <w:szCs w:val="24"/>
        </w:rPr>
        <w:t xml:space="preserve"> transactions, and not limited to those voluntarily reported</w:t>
      </w:r>
      <w:r w:rsidR="00527B87">
        <w:rPr>
          <w:rFonts w:ascii="Georgia" w:hAnsi="Georgia"/>
          <w:sz w:val="24"/>
          <w:szCs w:val="24"/>
        </w:rPr>
        <w:t>, and would be freely available to all interested parties</w:t>
      </w:r>
      <w:r w:rsidR="00A7055B">
        <w:rPr>
          <w:rFonts w:ascii="Georgia" w:hAnsi="Georgia"/>
          <w:sz w:val="24"/>
          <w:szCs w:val="24"/>
        </w:rPr>
        <w:t xml:space="preserve"> through a platform hosted by the Commission</w:t>
      </w:r>
      <w:r w:rsidR="00527B87">
        <w:rPr>
          <w:rFonts w:ascii="Georgia" w:hAnsi="Georgia"/>
          <w:sz w:val="24"/>
          <w:szCs w:val="24"/>
        </w:rPr>
        <w:t xml:space="preserve">, rather than  </w:t>
      </w:r>
      <w:r w:rsidR="00EB73DB">
        <w:rPr>
          <w:rFonts w:ascii="Georgia" w:hAnsi="Georgia"/>
          <w:sz w:val="24"/>
          <w:szCs w:val="24"/>
        </w:rPr>
        <w:t xml:space="preserve">the </w:t>
      </w:r>
      <w:r w:rsidR="000F1F7B">
        <w:rPr>
          <w:rFonts w:ascii="Georgia" w:hAnsi="Georgia"/>
          <w:sz w:val="24"/>
          <w:szCs w:val="24"/>
        </w:rPr>
        <w:t>proprietary</w:t>
      </w:r>
      <w:r w:rsidR="00EB73DB">
        <w:rPr>
          <w:rFonts w:ascii="Georgia" w:hAnsi="Georgia"/>
          <w:sz w:val="24"/>
          <w:szCs w:val="24"/>
        </w:rPr>
        <w:t xml:space="preserve">, </w:t>
      </w:r>
      <w:r w:rsidR="000F1F7B">
        <w:rPr>
          <w:rFonts w:ascii="Georgia" w:hAnsi="Georgia"/>
          <w:sz w:val="24"/>
          <w:szCs w:val="24"/>
        </w:rPr>
        <w:t xml:space="preserve">commodified data </w:t>
      </w:r>
      <w:r w:rsidR="00527B87">
        <w:rPr>
          <w:rFonts w:ascii="Georgia" w:hAnsi="Georgia"/>
          <w:sz w:val="24"/>
          <w:szCs w:val="24"/>
        </w:rPr>
        <w:t xml:space="preserve">model of the </w:t>
      </w:r>
      <w:r w:rsidR="00091349">
        <w:rPr>
          <w:rFonts w:ascii="Georgia" w:hAnsi="Georgia"/>
          <w:sz w:val="24"/>
          <w:szCs w:val="24"/>
        </w:rPr>
        <w:t>index publishers.</w:t>
      </w:r>
    </w:p>
    <w:p w14:paraId="4C93103B" w14:textId="069A1499" w:rsidR="00BE6228" w:rsidRDefault="00723111" w:rsidP="00E9444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rest of the world </w:t>
      </w:r>
      <w:r w:rsidR="000F1F7B">
        <w:rPr>
          <w:rFonts w:ascii="Georgia" w:hAnsi="Georgia"/>
          <w:sz w:val="24"/>
          <w:szCs w:val="24"/>
        </w:rPr>
        <w:t xml:space="preserve">has turned away from such voluntary reporting indexes. </w:t>
      </w:r>
      <w:r w:rsidR="004F1A69">
        <w:rPr>
          <w:rFonts w:ascii="Georgia" w:hAnsi="Georgia"/>
          <w:sz w:val="24"/>
          <w:szCs w:val="24"/>
        </w:rPr>
        <w:t xml:space="preserve">As a member of the U.S. Commodity Futures Trading Commission’s Market Risk Advisory </w:t>
      </w:r>
      <w:r w:rsidR="004F1A69">
        <w:rPr>
          <w:rFonts w:ascii="Georgia" w:hAnsi="Georgia"/>
          <w:sz w:val="24"/>
          <w:szCs w:val="24"/>
        </w:rPr>
        <w:lastRenderedPageBreak/>
        <w:t>Committee,</w:t>
      </w:r>
      <w:r w:rsidR="00CB7F42">
        <w:rPr>
          <w:rStyle w:val="FootnoteReference"/>
          <w:rFonts w:ascii="Georgia" w:hAnsi="Georgia"/>
          <w:sz w:val="24"/>
          <w:szCs w:val="24"/>
        </w:rPr>
        <w:footnoteReference w:id="4"/>
      </w:r>
      <w:r w:rsidR="001E16C0">
        <w:rPr>
          <w:rFonts w:ascii="Georgia" w:hAnsi="Georgia"/>
          <w:sz w:val="24"/>
          <w:szCs w:val="24"/>
        </w:rPr>
        <w:t xml:space="preserve"> </w:t>
      </w:r>
      <w:r w:rsidR="00290293">
        <w:rPr>
          <w:rFonts w:ascii="Georgia" w:hAnsi="Georgia"/>
          <w:sz w:val="24"/>
          <w:szCs w:val="24"/>
        </w:rPr>
        <w:t>Public Citizen</w:t>
      </w:r>
      <w:r w:rsidR="001E16C0">
        <w:rPr>
          <w:rFonts w:ascii="Georgia" w:hAnsi="Georgia"/>
          <w:sz w:val="24"/>
          <w:szCs w:val="24"/>
        </w:rPr>
        <w:t xml:space="preserve"> participated in </w:t>
      </w:r>
      <w:r w:rsidR="00027CB2">
        <w:rPr>
          <w:rFonts w:ascii="Georgia" w:hAnsi="Georgia"/>
          <w:sz w:val="24"/>
          <w:szCs w:val="24"/>
        </w:rPr>
        <w:t xml:space="preserve">deliberations on </w:t>
      </w:r>
      <w:r w:rsidR="00796FE2">
        <w:rPr>
          <w:rFonts w:ascii="Georgia" w:hAnsi="Georgia"/>
          <w:sz w:val="24"/>
          <w:szCs w:val="24"/>
        </w:rPr>
        <w:t xml:space="preserve">the logistics of </w:t>
      </w:r>
      <w:r w:rsidR="000C1DD0">
        <w:rPr>
          <w:rFonts w:ascii="Georgia" w:hAnsi="Georgia"/>
          <w:sz w:val="24"/>
          <w:szCs w:val="24"/>
        </w:rPr>
        <w:t>transitioning</w:t>
      </w:r>
      <w:r w:rsidR="00796FE2">
        <w:rPr>
          <w:rFonts w:ascii="Georgia" w:hAnsi="Georgia"/>
          <w:sz w:val="24"/>
          <w:szCs w:val="24"/>
        </w:rPr>
        <w:t xml:space="preserve"> away from scandal-plagued LIBOR</w:t>
      </w:r>
      <w:r w:rsidR="00E70DF3">
        <w:rPr>
          <w:rFonts w:ascii="Georgia" w:hAnsi="Georgia"/>
          <w:sz w:val="24"/>
          <w:szCs w:val="24"/>
        </w:rPr>
        <w:t xml:space="preserve"> towards </w:t>
      </w:r>
      <w:r w:rsidR="00290293">
        <w:rPr>
          <w:rFonts w:ascii="Georgia" w:hAnsi="Georgia"/>
          <w:sz w:val="24"/>
          <w:szCs w:val="24"/>
        </w:rPr>
        <w:t xml:space="preserve">its likely replacement, the </w:t>
      </w:r>
      <w:r w:rsidR="00E70DF3" w:rsidRPr="00E70DF3">
        <w:rPr>
          <w:rFonts w:ascii="Georgia" w:hAnsi="Georgia"/>
          <w:sz w:val="24"/>
          <w:szCs w:val="24"/>
        </w:rPr>
        <w:t>Secured Overnight Financing Rate</w:t>
      </w:r>
      <w:r w:rsidR="00E70DF3">
        <w:rPr>
          <w:rFonts w:ascii="Georgia" w:hAnsi="Georgia"/>
          <w:sz w:val="24"/>
          <w:szCs w:val="24"/>
        </w:rPr>
        <w:t xml:space="preserve"> (SOFR)</w:t>
      </w:r>
      <w:r w:rsidR="00275C1C">
        <w:rPr>
          <w:rFonts w:ascii="Georgia" w:hAnsi="Georgia"/>
          <w:sz w:val="24"/>
          <w:szCs w:val="24"/>
        </w:rPr>
        <w:t xml:space="preserve">. </w:t>
      </w:r>
      <w:r w:rsidR="00592CFD">
        <w:rPr>
          <w:rFonts w:ascii="Georgia" w:hAnsi="Georgia"/>
          <w:sz w:val="24"/>
          <w:szCs w:val="24"/>
        </w:rPr>
        <w:t xml:space="preserve">Similar to the voluntarily-reported natural gas indices, </w:t>
      </w:r>
      <w:r w:rsidR="00275C1C">
        <w:rPr>
          <w:rFonts w:ascii="Georgia" w:hAnsi="Georgia"/>
          <w:sz w:val="24"/>
          <w:szCs w:val="24"/>
        </w:rPr>
        <w:t>LIBOR</w:t>
      </w:r>
      <w:r w:rsidR="00592CFD" w:rsidRPr="00592CFD">
        <w:rPr>
          <w:rFonts w:ascii="Georgia" w:hAnsi="Georgia"/>
          <w:sz w:val="24"/>
          <w:szCs w:val="24"/>
        </w:rPr>
        <w:t xml:space="preserve"> is an interest rate index that measures the rates at which banks borrow from one another</w:t>
      </w:r>
      <w:r w:rsidR="009D71C3">
        <w:rPr>
          <w:rFonts w:ascii="Georgia" w:hAnsi="Georgia"/>
          <w:sz w:val="24"/>
          <w:szCs w:val="24"/>
        </w:rPr>
        <w:t>, and is calculated based on the voluntary submissions by a dozen</w:t>
      </w:r>
      <w:r w:rsidR="000065BE">
        <w:rPr>
          <w:rFonts w:ascii="Georgia" w:hAnsi="Georgia"/>
          <w:sz w:val="24"/>
          <w:szCs w:val="24"/>
        </w:rPr>
        <w:t xml:space="preserve"> of the world’s largest banks. </w:t>
      </w:r>
      <w:r w:rsidR="00F27569">
        <w:rPr>
          <w:rFonts w:ascii="Georgia" w:hAnsi="Georgia"/>
          <w:sz w:val="24"/>
          <w:szCs w:val="24"/>
        </w:rPr>
        <w:t xml:space="preserve">As much as $300 </w:t>
      </w:r>
      <w:r w:rsidR="00F27569" w:rsidRPr="00887F69">
        <w:rPr>
          <w:rFonts w:ascii="Georgia" w:hAnsi="Georgia"/>
          <w:i/>
          <w:iCs/>
          <w:sz w:val="24"/>
          <w:szCs w:val="24"/>
        </w:rPr>
        <w:t>trillion</w:t>
      </w:r>
      <w:r w:rsidR="00153EA5">
        <w:rPr>
          <w:rFonts w:ascii="Georgia" w:hAnsi="Georgia"/>
          <w:sz w:val="24"/>
          <w:szCs w:val="24"/>
        </w:rPr>
        <w:t xml:space="preserve"> worth of transactions around the world</w:t>
      </w:r>
      <w:r w:rsidR="00153EA5">
        <w:rPr>
          <w:rFonts w:ascii="Cambria" w:hAnsi="Cambria"/>
          <w:sz w:val="24"/>
          <w:szCs w:val="24"/>
        </w:rPr>
        <w:t>—</w:t>
      </w:r>
      <w:r w:rsidR="00153EA5">
        <w:rPr>
          <w:rFonts w:ascii="Georgia" w:hAnsi="Georgia"/>
          <w:sz w:val="24"/>
          <w:szCs w:val="24"/>
        </w:rPr>
        <w:t xml:space="preserve">from </w:t>
      </w:r>
      <w:r w:rsidR="00314D39">
        <w:rPr>
          <w:rFonts w:ascii="Georgia" w:hAnsi="Georgia"/>
          <w:sz w:val="24"/>
          <w:szCs w:val="24"/>
        </w:rPr>
        <w:t>the interest rate on your home mortgage</w:t>
      </w:r>
      <w:r w:rsidR="0095167E">
        <w:rPr>
          <w:rFonts w:ascii="Georgia" w:hAnsi="Georgia"/>
          <w:sz w:val="24"/>
          <w:szCs w:val="24"/>
        </w:rPr>
        <w:t>,</w:t>
      </w:r>
      <w:r w:rsidR="00314D39">
        <w:rPr>
          <w:rFonts w:ascii="Georgia" w:hAnsi="Georgia"/>
          <w:sz w:val="24"/>
          <w:szCs w:val="24"/>
        </w:rPr>
        <w:t xml:space="preserve"> credit cards </w:t>
      </w:r>
      <w:r w:rsidR="0095167E">
        <w:rPr>
          <w:rFonts w:ascii="Georgia" w:hAnsi="Georgia"/>
          <w:sz w:val="24"/>
          <w:szCs w:val="24"/>
        </w:rPr>
        <w:t xml:space="preserve">and automobile loans, </w:t>
      </w:r>
      <w:r w:rsidR="00E56DCB">
        <w:rPr>
          <w:rFonts w:ascii="Georgia" w:hAnsi="Georgia"/>
          <w:sz w:val="24"/>
          <w:szCs w:val="24"/>
        </w:rPr>
        <w:t xml:space="preserve">and </w:t>
      </w:r>
      <w:r w:rsidR="00887F69">
        <w:rPr>
          <w:rFonts w:ascii="Georgia" w:hAnsi="Georgia"/>
          <w:sz w:val="24"/>
          <w:szCs w:val="24"/>
        </w:rPr>
        <w:t>trillions</w:t>
      </w:r>
      <w:r w:rsidR="00E56DCB">
        <w:rPr>
          <w:rFonts w:ascii="Georgia" w:hAnsi="Georgia"/>
          <w:sz w:val="24"/>
          <w:szCs w:val="24"/>
        </w:rPr>
        <w:t xml:space="preserve"> of dollars of </w:t>
      </w:r>
      <w:r w:rsidR="000C1DD0">
        <w:rPr>
          <w:rFonts w:ascii="Georgia" w:hAnsi="Georgia"/>
          <w:sz w:val="24"/>
          <w:szCs w:val="24"/>
        </w:rPr>
        <w:t>derivative</w:t>
      </w:r>
      <w:r w:rsidR="0095167E">
        <w:rPr>
          <w:rFonts w:ascii="Georgia" w:hAnsi="Georgia"/>
          <w:sz w:val="24"/>
          <w:szCs w:val="24"/>
        </w:rPr>
        <w:t>s</w:t>
      </w:r>
      <w:r w:rsidR="00E56DCB">
        <w:rPr>
          <w:rFonts w:ascii="Georgia" w:hAnsi="Georgia"/>
          <w:sz w:val="24"/>
          <w:szCs w:val="24"/>
        </w:rPr>
        <w:t xml:space="preserve"> swaps</w:t>
      </w:r>
      <w:r w:rsidR="00314D39">
        <w:rPr>
          <w:rFonts w:ascii="Cambria" w:hAnsi="Cambria"/>
          <w:sz w:val="24"/>
          <w:szCs w:val="24"/>
        </w:rPr>
        <w:t>—</w:t>
      </w:r>
      <w:r w:rsidR="00E56DCB">
        <w:rPr>
          <w:rFonts w:ascii="Georgia" w:hAnsi="Georgia"/>
          <w:sz w:val="24"/>
          <w:szCs w:val="24"/>
        </w:rPr>
        <w:t>were</w:t>
      </w:r>
      <w:r w:rsidR="007256D8">
        <w:rPr>
          <w:rFonts w:ascii="Georgia" w:hAnsi="Georgia"/>
          <w:sz w:val="24"/>
          <w:szCs w:val="24"/>
        </w:rPr>
        <w:t xml:space="preserve"> tied </w:t>
      </w:r>
      <w:r w:rsidR="00887F69">
        <w:rPr>
          <w:rFonts w:ascii="Georgia" w:hAnsi="Georgia"/>
          <w:sz w:val="24"/>
          <w:szCs w:val="24"/>
        </w:rPr>
        <w:t xml:space="preserve">or referenced </w:t>
      </w:r>
      <w:r w:rsidR="007256D8">
        <w:rPr>
          <w:rFonts w:ascii="Georgia" w:hAnsi="Georgia"/>
          <w:sz w:val="24"/>
          <w:szCs w:val="24"/>
        </w:rPr>
        <w:t>to LIBOR.</w:t>
      </w:r>
      <w:r w:rsidR="00E56DCB">
        <w:rPr>
          <w:rFonts w:ascii="Georgia" w:hAnsi="Georgia"/>
          <w:sz w:val="24"/>
          <w:szCs w:val="24"/>
        </w:rPr>
        <w:t xml:space="preserve"> </w:t>
      </w:r>
      <w:r w:rsidR="000065BE">
        <w:rPr>
          <w:rFonts w:ascii="Georgia" w:hAnsi="Georgia"/>
          <w:sz w:val="24"/>
          <w:szCs w:val="24"/>
        </w:rPr>
        <w:t>Banks exploited this voluntary submission standard by</w:t>
      </w:r>
      <w:r w:rsidR="00153EA5">
        <w:rPr>
          <w:rFonts w:ascii="Georgia" w:hAnsi="Georgia"/>
          <w:sz w:val="24"/>
          <w:szCs w:val="24"/>
        </w:rPr>
        <w:t xml:space="preserve"> reporting rates that financially advantaged their positions</w:t>
      </w:r>
      <w:r w:rsidR="00546DB2">
        <w:rPr>
          <w:rFonts w:ascii="Georgia" w:hAnsi="Georgia"/>
          <w:sz w:val="24"/>
          <w:szCs w:val="24"/>
        </w:rPr>
        <w:t>, thereby manipulating the rates impacting trillions of dollars in transactions</w:t>
      </w:r>
      <w:r w:rsidR="00521474">
        <w:rPr>
          <w:rFonts w:ascii="Georgia" w:hAnsi="Georgia"/>
          <w:sz w:val="24"/>
          <w:szCs w:val="24"/>
        </w:rPr>
        <w:t xml:space="preserve">. In the end, </w:t>
      </w:r>
      <w:r w:rsidR="00475B56">
        <w:rPr>
          <w:rFonts w:ascii="Georgia" w:hAnsi="Georgia"/>
          <w:sz w:val="24"/>
          <w:szCs w:val="24"/>
        </w:rPr>
        <w:t xml:space="preserve">major Wall Street banks </w:t>
      </w:r>
      <w:r w:rsidR="00B06070">
        <w:rPr>
          <w:rFonts w:ascii="Georgia" w:hAnsi="Georgia"/>
          <w:sz w:val="24"/>
          <w:szCs w:val="24"/>
        </w:rPr>
        <w:t xml:space="preserve">acknowledged they manipulated LIBOR and paid nearly $10 billion in penalties for operating the global financial system like a cartel. </w:t>
      </w:r>
    </w:p>
    <w:p w14:paraId="44DABF18" w14:textId="22334C92" w:rsidR="00B36E94" w:rsidRDefault="00361BFA" w:rsidP="00E9444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SOFR is the estimated overnight borrowing cost</w:t>
      </w:r>
      <w:r w:rsidRPr="00361BFA">
        <w:rPr>
          <w:rFonts w:ascii="Georgia" w:hAnsi="Georgia"/>
          <w:sz w:val="24"/>
          <w:szCs w:val="24"/>
        </w:rPr>
        <w:t xml:space="preserve"> collateralized by Treasury securities</w:t>
      </w:r>
      <w:r>
        <w:rPr>
          <w:rFonts w:ascii="Georgia" w:hAnsi="Georgia"/>
          <w:sz w:val="24"/>
          <w:szCs w:val="24"/>
        </w:rPr>
        <w:t xml:space="preserve">. </w:t>
      </w:r>
      <w:r w:rsidR="00B36E94">
        <w:rPr>
          <w:rFonts w:ascii="Georgia" w:hAnsi="Georgia"/>
          <w:sz w:val="24"/>
          <w:szCs w:val="24"/>
        </w:rPr>
        <w:t>The advantage of SOFR</w:t>
      </w:r>
      <w:r>
        <w:rPr>
          <w:rFonts w:ascii="Georgia" w:hAnsi="Georgia"/>
          <w:sz w:val="24"/>
          <w:szCs w:val="24"/>
        </w:rPr>
        <w:t xml:space="preserve"> vs. LIBOR</w:t>
      </w:r>
      <w:r w:rsidR="00B36E94">
        <w:rPr>
          <w:rFonts w:ascii="Georgia" w:hAnsi="Georgia"/>
          <w:sz w:val="24"/>
          <w:szCs w:val="24"/>
        </w:rPr>
        <w:t xml:space="preserve"> is that, unlike the voluntary reporting nature of LIBOR, SOFR is based on actual</w:t>
      </w:r>
      <w:r w:rsidR="00E72F0F">
        <w:rPr>
          <w:rFonts w:ascii="Georgia" w:hAnsi="Georgia"/>
          <w:sz w:val="24"/>
          <w:szCs w:val="24"/>
        </w:rPr>
        <w:t xml:space="preserve"> transaction data. It is therefore a </w:t>
      </w:r>
      <w:r w:rsidR="00CF2051">
        <w:rPr>
          <w:rFonts w:ascii="Georgia" w:hAnsi="Georgia"/>
          <w:sz w:val="24"/>
          <w:szCs w:val="24"/>
        </w:rPr>
        <w:t>reliable</w:t>
      </w:r>
      <w:r w:rsidR="00E72F0F">
        <w:rPr>
          <w:rFonts w:ascii="Georgia" w:hAnsi="Georgia"/>
          <w:sz w:val="24"/>
          <w:szCs w:val="24"/>
        </w:rPr>
        <w:t xml:space="preserve"> indicator of a bank’s overnight borrowing costs.</w:t>
      </w:r>
      <w:r w:rsidR="00B36E94">
        <w:rPr>
          <w:rFonts w:ascii="Georgia" w:hAnsi="Georgia"/>
          <w:sz w:val="24"/>
          <w:szCs w:val="24"/>
        </w:rPr>
        <w:t xml:space="preserve"> </w:t>
      </w:r>
    </w:p>
    <w:p w14:paraId="45FC9656" w14:textId="54C7EAB7" w:rsidR="00364E66" w:rsidRDefault="00364E66" w:rsidP="008F457F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Our CFTC Market Risk Advisory Committee deliberations detailed the </w:t>
      </w:r>
      <w:r w:rsidR="007D6F64">
        <w:rPr>
          <w:rFonts w:ascii="Georgia" w:hAnsi="Georgia"/>
          <w:sz w:val="24"/>
          <w:szCs w:val="24"/>
        </w:rPr>
        <w:t>logistical challenges associated with moving trillions of dollars of derivative contracts off LIBOR and on to</w:t>
      </w:r>
      <w:r w:rsidR="00B36E94">
        <w:rPr>
          <w:rFonts w:ascii="Georgia" w:hAnsi="Georgia"/>
          <w:sz w:val="24"/>
          <w:szCs w:val="24"/>
        </w:rPr>
        <w:t xml:space="preserve"> SOFR</w:t>
      </w:r>
      <w:r w:rsidR="00CF2051">
        <w:rPr>
          <w:rFonts w:ascii="Georgia" w:hAnsi="Georgia"/>
          <w:sz w:val="24"/>
          <w:szCs w:val="24"/>
        </w:rPr>
        <w:t xml:space="preserve">, a process that showed that when market participants, consumer advocates and regulators work together, </w:t>
      </w:r>
      <w:r w:rsidR="00AD45C3">
        <w:rPr>
          <w:rFonts w:ascii="Georgia" w:hAnsi="Georgia"/>
          <w:sz w:val="24"/>
          <w:szCs w:val="24"/>
        </w:rPr>
        <w:t>complex problems can be reformed</w:t>
      </w:r>
      <w:r w:rsidR="00B36E94">
        <w:rPr>
          <w:rFonts w:ascii="Georgia" w:hAnsi="Georgia"/>
          <w:sz w:val="24"/>
          <w:szCs w:val="24"/>
        </w:rPr>
        <w:t>.</w:t>
      </w:r>
      <w:r w:rsidR="006001E8">
        <w:rPr>
          <w:rFonts w:ascii="Georgia" w:hAnsi="Georgia"/>
          <w:sz w:val="24"/>
          <w:szCs w:val="24"/>
        </w:rPr>
        <w:t xml:space="preserve"> If the Federal Reserve and the CFTC can develop an orderly, coherent process to move the global economy off of LIBOR, surely FERC can do the same for the much smaller</w:t>
      </w:r>
      <w:r w:rsidR="004B429B">
        <w:rPr>
          <w:rFonts w:ascii="Georgia" w:hAnsi="Georgia"/>
          <w:sz w:val="24"/>
          <w:szCs w:val="24"/>
        </w:rPr>
        <w:t xml:space="preserve">, but just as scandal-prone, </w:t>
      </w:r>
      <w:r w:rsidR="00D15B10">
        <w:rPr>
          <w:rFonts w:ascii="Georgia" w:hAnsi="Georgia"/>
          <w:sz w:val="24"/>
          <w:szCs w:val="24"/>
        </w:rPr>
        <w:t>natural gas spot indices.</w:t>
      </w:r>
      <w:r w:rsidR="00EF110D">
        <w:rPr>
          <w:rFonts w:ascii="Georgia" w:hAnsi="Georgia"/>
          <w:sz w:val="24"/>
          <w:szCs w:val="24"/>
        </w:rPr>
        <w:t xml:space="preserve"> And Congress empowered the Commission to do so </w:t>
      </w:r>
      <w:r w:rsidR="000950E4">
        <w:rPr>
          <w:rFonts w:ascii="Georgia" w:hAnsi="Georgia"/>
          <w:sz w:val="24"/>
          <w:szCs w:val="24"/>
        </w:rPr>
        <w:t xml:space="preserve">at </w:t>
      </w:r>
      <w:r w:rsidR="000950E4" w:rsidRPr="000950E4">
        <w:rPr>
          <w:rFonts w:ascii="Georgia" w:hAnsi="Georgia"/>
          <w:sz w:val="24"/>
          <w:szCs w:val="24"/>
        </w:rPr>
        <w:t>15 USC §</w:t>
      </w:r>
      <w:r w:rsidR="000950E4" w:rsidRPr="000950E4">
        <w:rPr>
          <w:rFonts w:ascii="Times New Roman" w:hAnsi="Times New Roman" w:cs="Times New Roman"/>
          <w:sz w:val="24"/>
          <w:szCs w:val="24"/>
        </w:rPr>
        <w:t> </w:t>
      </w:r>
      <w:r w:rsidR="000950E4" w:rsidRPr="000950E4">
        <w:rPr>
          <w:rFonts w:ascii="Georgia" w:hAnsi="Georgia"/>
          <w:sz w:val="24"/>
          <w:szCs w:val="24"/>
        </w:rPr>
        <w:t>717t</w:t>
      </w:r>
      <w:r w:rsidR="000950E4" w:rsidRPr="000950E4">
        <w:rPr>
          <w:rFonts w:ascii="Georgia" w:hAnsi="Georgia" w:cs="Georgia"/>
          <w:sz w:val="24"/>
          <w:szCs w:val="24"/>
        </w:rPr>
        <w:t>–</w:t>
      </w:r>
      <w:r w:rsidR="000950E4" w:rsidRPr="000950E4">
        <w:rPr>
          <w:rFonts w:ascii="Georgia" w:hAnsi="Georgia"/>
          <w:sz w:val="24"/>
          <w:szCs w:val="24"/>
        </w:rPr>
        <w:t>2(a)(4)</w:t>
      </w:r>
      <w:r w:rsidR="000950E4">
        <w:rPr>
          <w:rFonts w:ascii="Georgia" w:hAnsi="Georgia"/>
          <w:sz w:val="24"/>
          <w:szCs w:val="24"/>
        </w:rPr>
        <w:t>.</w:t>
      </w:r>
    </w:p>
    <w:p w14:paraId="7DBCB3DC" w14:textId="51AC1583" w:rsidR="006D1F52" w:rsidRDefault="009853C8" w:rsidP="008F457F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EE3CD2">
        <w:rPr>
          <w:rFonts w:ascii="Georgia" w:hAnsi="Georgia"/>
          <w:sz w:val="24"/>
          <w:szCs w:val="24"/>
        </w:rPr>
        <w:t>post-</w:t>
      </w:r>
      <w:r w:rsidR="00AD45C3">
        <w:rPr>
          <w:rFonts w:ascii="Georgia" w:hAnsi="Georgia"/>
          <w:sz w:val="24"/>
          <w:szCs w:val="24"/>
        </w:rPr>
        <w:t>Valentine’s</w:t>
      </w:r>
      <w:r w:rsidR="00EE3CD2">
        <w:rPr>
          <w:rFonts w:ascii="Georgia" w:hAnsi="Georgia"/>
          <w:sz w:val="24"/>
          <w:szCs w:val="24"/>
        </w:rPr>
        <w:t xml:space="preserve"> Day </w:t>
      </w:r>
      <w:r>
        <w:rPr>
          <w:rFonts w:ascii="Georgia" w:hAnsi="Georgia"/>
          <w:sz w:val="24"/>
          <w:szCs w:val="24"/>
        </w:rPr>
        <w:t xml:space="preserve">2021 winter storm </w:t>
      </w:r>
      <w:r w:rsidR="00EE3CD2">
        <w:rPr>
          <w:rFonts w:ascii="Georgia" w:hAnsi="Georgia"/>
          <w:sz w:val="24"/>
          <w:szCs w:val="24"/>
        </w:rPr>
        <w:t>saw unprecedented spikes in natural gas spot prices</w:t>
      </w:r>
      <w:r w:rsidR="003E7182">
        <w:rPr>
          <w:rFonts w:ascii="Georgia" w:hAnsi="Georgia"/>
          <w:sz w:val="24"/>
          <w:szCs w:val="24"/>
        </w:rPr>
        <w:t>, with t</w:t>
      </w:r>
      <w:r w:rsidR="003E7182" w:rsidRPr="003E7182">
        <w:rPr>
          <w:rFonts w:ascii="Georgia" w:hAnsi="Georgia"/>
          <w:sz w:val="24"/>
          <w:szCs w:val="24"/>
        </w:rPr>
        <w:t xml:space="preserve">hirty-five natural gas spot hubs </w:t>
      </w:r>
      <w:r w:rsidR="007671A3">
        <w:rPr>
          <w:rFonts w:ascii="Georgia" w:hAnsi="Georgia"/>
          <w:sz w:val="24"/>
          <w:szCs w:val="24"/>
        </w:rPr>
        <w:t>posting</w:t>
      </w:r>
      <w:r w:rsidR="003E7182" w:rsidRPr="003E7182">
        <w:rPr>
          <w:rFonts w:ascii="Georgia" w:hAnsi="Georgia"/>
          <w:sz w:val="24"/>
          <w:szCs w:val="24"/>
        </w:rPr>
        <w:t xml:space="preserve"> prices </w:t>
      </w:r>
      <w:r w:rsidR="007671A3">
        <w:rPr>
          <w:rFonts w:ascii="Georgia" w:hAnsi="Georgia"/>
          <w:sz w:val="24"/>
          <w:szCs w:val="24"/>
        </w:rPr>
        <w:t>in excess of</w:t>
      </w:r>
      <w:r w:rsidR="003E7182" w:rsidRPr="003E7182">
        <w:rPr>
          <w:rFonts w:ascii="Georgia" w:hAnsi="Georgia"/>
          <w:sz w:val="24"/>
          <w:szCs w:val="24"/>
        </w:rPr>
        <w:t xml:space="preserve"> $100</w:t>
      </w:r>
      <w:r w:rsidR="002F1ABD">
        <w:rPr>
          <w:rFonts w:ascii="Georgia" w:hAnsi="Georgia"/>
          <w:sz w:val="24"/>
          <w:szCs w:val="24"/>
        </w:rPr>
        <w:t xml:space="preserve"> </w:t>
      </w:r>
      <w:r w:rsidR="002F1ABD">
        <w:rPr>
          <w:rFonts w:ascii="Georgia" w:hAnsi="Georgia"/>
          <w:sz w:val="24"/>
          <w:szCs w:val="24"/>
        </w:rPr>
        <w:t>per million British thermal units (MMBtu)</w:t>
      </w:r>
      <w:r w:rsidR="003E7182" w:rsidRPr="003E7182">
        <w:rPr>
          <w:rFonts w:ascii="Georgia" w:hAnsi="Georgia"/>
          <w:sz w:val="24"/>
          <w:szCs w:val="24"/>
        </w:rPr>
        <w:t xml:space="preserve"> by</w:t>
      </w:r>
      <w:r w:rsidR="002F1ABD">
        <w:rPr>
          <w:rFonts w:ascii="Georgia" w:hAnsi="Georgia"/>
          <w:sz w:val="24"/>
          <w:szCs w:val="24"/>
        </w:rPr>
        <w:t xml:space="preserve"> the first day of trading on</w:t>
      </w:r>
      <w:r w:rsidR="003E7182" w:rsidRPr="003E7182">
        <w:rPr>
          <w:rFonts w:ascii="Georgia" w:hAnsi="Georgia"/>
          <w:sz w:val="24"/>
          <w:szCs w:val="24"/>
        </w:rPr>
        <w:t xml:space="preserve"> February 16, 2021</w:t>
      </w:r>
      <w:r w:rsidR="008C7252">
        <w:rPr>
          <w:rFonts w:ascii="Cambria" w:hAnsi="Cambria"/>
          <w:sz w:val="24"/>
          <w:szCs w:val="24"/>
        </w:rPr>
        <w:t>—</w:t>
      </w:r>
      <w:r w:rsidR="008C7252">
        <w:rPr>
          <w:rFonts w:ascii="Georgia" w:hAnsi="Georgia"/>
          <w:sz w:val="24"/>
          <w:szCs w:val="24"/>
        </w:rPr>
        <w:t xml:space="preserve">with </w:t>
      </w:r>
      <w:r w:rsidR="003E7182" w:rsidRPr="003E7182">
        <w:rPr>
          <w:rFonts w:ascii="Georgia" w:hAnsi="Georgia"/>
          <w:sz w:val="24"/>
          <w:szCs w:val="24"/>
        </w:rPr>
        <w:t>thirteen of those exceed</w:t>
      </w:r>
      <w:r w:rsidR="008C7252">
        <w:rPr>
          <w:rFonts w:ascii="Georgia" w:hAnsi="Georgia"/>
          <w:sz w:val="24"/>
          <w:szCs w:val="24"/>
        </w:rPr>
        <w:t>ing</w:t>
      </w:r>
      <w:r w:rsidR="003E7182" w:rsidRPr="003E7182">
        <w:rPr>
          <w:rFonts w:ascii="Georgia" w:hAnsi="Georgia"/>
          <w:sz w:val="24"/>
          <w:szCs w:val="24"/>
        </w:rPr>
        <w:t xml:space="preserve"> $200</w:t>
      </w:r>
      <w:r w:rsidR="002D1588">
        <w:rPr>
          <w:rFonts w:ascii="Georgia" w:hAnsi="Georgia"/>
          <w:sz w:val="24"/>
          <w:szCs w:val="24"/>
        </w:rPr>
        <w:t>/MMBtu</w:t>
      </w:r>
      <w:r w:rsidR="003E7182" w:rsidRPr="003E7182">
        <w:rPr>
          <w:rFonts w:ascii="Georgia" w:hAnsi="Georgia"/>
          <w:sz w:val="24"/>
          <w:szCs w:val="24"/>
        </w:rPr>
        <w:t>.</w:t>
      </w:r>
      <w:r w:rsidR="00876DCD">
        <w:rPr>
          <w:rFonts w:ascii="Georgia" w:hAnsi="Georgia"/>
          <w:sz w:val="24"/>
          <w:szCs w:val="24"/>
        </w:rPr>
        <w:t xml:space="preserve"> W</w:t>
      </w:r>
      <w:r w:rsidR="00D5049A" w:rsidRPr="00D5049A">
        <w:rPr>
          <w:rFonts w:ascii="Georgia" w:hAnsi="Georgia"/>
          <w:sz w:val="24"/>
          <w:szCs w:val="24"/>
        </w:rPr>
        <w:t>hereas spot natural gas prices averaged $2.5</w:t>
      </w:r>
      <w:r w:rsidR="00FF36F7">
        <w:rPr>
          <w:rFonts w:ascii="Georgia" w:hAnsi="Georgia"/>
          <w:sz w:val="24"/>
          <w:szCs w:val="24"/>
        </w:rPr>
        <w:t>6</w:t>
      </w:r>
      <w:r w:rsidR="002D1588">
        <w:rPr>
          <w:rFonts w:ascii="Georgia" w:hAnsi="Georgia"/>
          <w:sz w:val="24"/>
          <w:szCs w:val="24"/>
        </w:rPr>
        <w:t>/</w:t>
      </w:r>
      <w:r w:rsidR="00EB6871">
        <w:rPr>
          <w:rFonts w:ascii="Georgia" w:hAnsi="Georgia"/>
          <w:sz w:val="24"/>
          <w:szCs w:val="24"/>
        </w:rPr>
        <w:t>MMBtu</w:t>
      </w:r>
      <w:r w:rsidR="002F4E36">
        <w:rPr>
          <w:rFonts w:ascii="Georgia" w:hAnsi="Georgia"/>
          <w:sz w:val="24"/>
          <w:szCs w:val="24"/>
        </w:rPr>
        <w:t xml:space="preserve"> in the Midcontinent region on February 1, 2021, </w:t>
      </w:r>
      <w:r w:rsidR="002D1588">
        <w:rPr>
          <w:rFonts w:ascii="Georgia" w:hAnsi="Georgia"/>
          <w:sz w:val="24"/>
          <w:szCs w:val="24"/>
        </w:rPr>
        <w:t xml:space="preserve">that average </w:t>
      </w:r>
      <w:r w:rsidR="002D1588">
        <w:rPr>
          <w:rFonts w:ascii="Georgia" w:hAnsi="Georgia"/>
          <w:sz w:val="24"/>
          <w:szCs w:val="24"/>
        </w:rPr>
        <w:lastRenderedPageBreak/>
        <w:t xml:space="preserve">spot </w:t>
      </w:r>
      <w:r w:rsidR="00440A71">
        <w:rPr>
          <w:rFonts w:ascii="Georgia" w:hAnsi="Georgia"/>
          <w:sz w:val="24"/>
          <w:szCs w:val="24"/>
        </w:rPr>
        <w:t>price ballooned</w:t>
      </w:r>
      <w:r w:rsidR="001E5BE4">
        <w:rPr>
          <w:rFonts w:ascii="Georgia" w:hAnsi="Georgia"/>
          <w:sz w:val="24"/>
          <w:szCs w:val="24"/>
        </w:rPr>
        <w:t xml:space="preserve"> to </w:t>
      </w:r>
      <w:r w:rsidR="001E5BE4" w:rsidRPr="001E5BE4">
        <w:rPr>
          <w:rFonts w:ascii="Georgia" w:hAnsi="Georgia"/>
          <w:sz w:val="24"/>
          <w:szCs w:val="24"/>
        </w:rPr>
        <w:t>$328.84</w:t>
      </w:r>
      <w:r w:rsidR="00FF4375">
        <w:rPr>
          <w:rFonts w:ascii="Georgia" w:hAnsi="Georgia"/>
          <w:sz w:val="24"/>
          <w:szCs w:val="24"/>
        </w:rPr>
        <w:t xml:space="preserve">/MMBtu on February 17. </w:t>
      </w:r>
      <w:r w:rsidR="008B4AB2">
        <w:rPr>
          <w:rFonts w:ascii="Georgia" w:hAnsi="Georgia"/>
          <w:sz w:val="24"/>
          <w:szCs w:val="24"/>
        </w:rPr>
        <w:t>T</w:t>
      </w:r>
      <w:r w:rsidR="001C2074" w:rsidRPr="001C2074">
        <w:rPr>
          <w:rFonts w:ascii="Georgia" w:hAnsi="Georgia"/>
          <w:sz w:val="24"/>
          <w:szCs w:val="24"/>
        </w:rPr>
        <w:t xml:space="preserve">he Southern Star spot benchmark </w:t>
      </w:r>
      <w:r w:rsidR="00041D37">
        <w:rPr>
          <w:rFonts w:ascii="Georgia" w:hAnsi="Georgia"/>
          <w:sz w:val="24"/>
          <w:szCs w:val="24"/>
        </w:rPr>
        <w:t>reached</w:t>
      </w:r>
      <w:r w:rsidR="001C2074" w:rsidRPr="001C2074">
        <w:rPr>
          <w:rFonts w:ascii="Georgia" w:hAnsi="Georgia"/>
          <w:sz w:val="24"/>
          <w:szCs w:val="24"/>
        </w:rPr>
        <w:t xml:space="preserve"> an average of $622.79/MMBtu and </w:t>
      </w:r>
      <w:proofErr w:type="spellStart"/>
      <w:r w:rsidR="001C2074" w:rsidRPr="001C2074">
        <w:rPr>
          <w:rFonts w:ascii="Georgia" w:hAnsi="Georgia"/>
          <w:sz w:val="24"/>
          <w:szCs w:val="24"/>
        </w:rPr>
        <w:t>Oneok</w:t>
      </w:r>
      <w:proofErr w:type="spellEnd"/>
      <w:r w:rsidR="001C2074" w:rsidRPr="001C2074">
        <w:rPr>
          <w:rFonts w:ascii="Georgia" w:hAnsi="Georgia"/>
          <w:sz w:val="24"/>
          <w:szCs w:val="24"/>
        </w:rPr>
        <w:t xml:space="preserve"> </w:t>
      </w:r>
      <w:r w:rsidR="0056043B">
        <w:rPr>
          <w:rFonts w:ascii="Georgia" w:hAnsi="Georgia"/>
          <w:sz w:val="24"/>
          <w:szCs w:val="24"/>
        </w:rPr>
        <w:t xml:space="preserve">traded as high as </w:t>
      </w:r>
      <w:r w:rsidR="001C2074" w:rsidRPr="001C2074">
        <w:rPr>
          <w:rFonts w:ascii="Georgia" w:hAnsi="Georgia"/>
          <w:sz w:val="24"/>
          <w:szCs w:val="24"/>
        </w:rPr>
        <w:t>$</w:t>
      </w:r>
      <w:r w:rsidR="0056043B">
        <w:rPr>
          <w:rFonts w:ascii="Georgia" w:hAnsi="Georgia"/>
          <w:sz w:val="24"/>
          <w:szCs w:val="24"/>
        </w:rPr>
        <w:t>999</w:t>
      </w:r>
      <w:r w:rsidR="001C2074" w:rsidRPr="001C2074">
        <w:rPr>
          <w:rFonts w:ascii="Georgia" w:hAnsi="Georgia"/>
          <w:sz w:val="24"/>
          <w:szCs w:val="24"/>
        </w:rPr>
        <w:t xml:space="preserve">/MMBtu. Southern Star's record </w:t>
      </w:r>
      <w:r w:rsidR="00041D37">
        <w:rPr>
          <w:rFonts w:ascii="Georgia" w:hAnsi="Georgia"/>
          <w:sz w:val="24"/>
          <w:szCs w:val="24"/>
        </w:rPr>
        <w:t xml:space="preserve">average </w:t>
      </w:r>
      <w:r w:rsidR="001C2074" w:rsidRPr="001C2074">
        <w:rPr>
          <w:rFonts w:ascii="Georgia" w:hAnsi="Georgia"/>
          <w:sz w:val="24"/>
          <w:szCs w:val="24"/>
        </w:rPr>
        <w:t>price that day</w:t>
      </w:r>
      <w:r w:rsidR="00A11DC6">
        <w:rPr>
          <w:rFonts w:ascii="Georgia" w:hAnsi="Georgia"/>
          <w:sz w:val="24"/>
          <w:szCs w:val="24"/>
        </w:rPr>
        <w:t xml:space="preserve"> was based on only </w:t>
      </w:r>
      <w:r w:rsidR="00B5211B" w:rsidRPr="00B5211B">
        <w:rPr>
          <w:rFonts w:ascii="Georgia" w:hAnsi="Georgia"/>
          <w:b/>
          <w:bCs/>
          <w:sz w:val="24"/>
          <w:szCs w:val="24"/>
          <w:u w:val="single"/>
        </w:rPr>
        <w:t>two reported trades</w:t>
      </w:r>
      <w:r w:rsidR="00B5211B">
        <w:rPr>
          <w:rFonts w:ascii="Georgia" w:hAnsi="Georgia"/>
          <w:sz w:val="24"/>
          <w:szCs w:val="24"/>
        </w:rPr>
        <w:t xml:space="preserve">, and </w:t>
      </w:r>
      <w:proofErr w:type="spellStart"/>
      <w:r w:rsidR="00D05B89">
        <w:rPr>
          <w:rFonts w:ascii="Georgia" w:hAnsi="Georgia"/>
          <w:sz w:val="24"/>
          <w:szCs w:val="24"/>
        </w:rPr>
        <w:t>Oneok’s</w:t>
      </w:r>
      <w:proofErr w:type="spellEnd"/>
      <w:r w:rsidR="00D05B89">
        <w:rPr>
          <w:rFonts w:ascii="Georgia" w:hAnsi="Georgia"/>
          <w:sz w:val="24"/>
          <w:szCs w:val="24"/>
        </w:rPr>
        <w:t xml:space="preserve"> </w:t>
      </w:r>
      <w:r w:rsidR="009D2101">
        <w:rPr>
          <w:rFonts w:ascii="Georgia" w:hAnsi="Georgia"/>
          <w:sz w:val="24"/>
          <w:szCs w:val="24"/>
        </w:rPr>
        <w:t xml:space="preserve">average of </w:t>
      </w:r>
      <w:r w:rsidR="007C6FF6">
        <w:rPr>
          <w:rFonts w:ascii="Georgia" w:hAnsi="Georgia"/>
          <w:sz w:val="24"/>
          <w:szCs w:val="24"/>
        </w:rPr>
        <w:t>$944</w:t>
      </w:r>
      <w:r w:rsidR="001555BE">
        <w:rPr>
          <w:rFonts w:ascii="Georgia" w:hAnsi="Georgia"/>
          <w:sz w:val="24"/>
          <w:szCs w:val="24"/>
        </w:rPr>
        <w:t xml:space="preserve"> </w:t>
      </w:r>
      <w:r w:rsidR="00D05B89">
        <w:rPr>
          <w:rFonts w:ascii="Georgia" w:hAnsi="Georgia"/>
          <w:sz w:val="24"/>
          <w:szCs w:val="24"/>
        </w:rPr>
        <w:t>on twelve trades</w:t>
      </w:r>
      <w:r w:rsidR="00AC1453">
        <w:rPr>
          <w:rStyle w:val="FootnoteReference"/>
          <w:rFonts w:ascii="Georgia" w:hAnsi="Georgia"/>
          <w:sz w:val="24"/>
          <w:szCs w:val="24"/>
        </w:rPr>
        <w:footnoteReference w:id="5"/>
      </w:r>
      <w:r w:rsidR="001555BE">
        <w:rPr>
          <w:rFonts w:ascii="Georgia" w:hAnsi="Georgia"/>
          <w:sz w:val="24"/>
          <w:szCs w:val="24"/>
        </w:rPr>
        <w:t xml:space="preserve"> (two trades were at $999)</w:t>
      </w:r>
      <w:r w:rsidR="00706F59">
        <w:rPr>
          <w:rStyle w:val="FootnoteReference"/>
          <w:rFonts w:ascii="Georgia" w:hAnsi="Georgia"/>
          <w:sz w:val="24"/>
          <w:szCs w:val="24"/>
        </w:rPr>
        <w:footnoteReference w:id="6"/>
      </w:r>
      <w:r w:rsidR="00D05B89">
        <w:rPr>
          <w:rFonts w:ascii="Georgia" w:hAnsi="Georgia"/>
          <w:sz w:val="24"/>
          <w:szCs w:val="24"/>
        </w:rPr>
        <w:t xml:space="preserve">. </w:t>
      </w:r>
      <w:r w:rsidR="00752FE0">
        <w:rPr>
          <w:rFonts w:ascii="Georgia" w:hAnsi="Georgia"/>
          <w:sz w:val="24"/>
          <w:szCs w:val="24"/>
        </w:rPr>
        <w:t xml:space="preserve">The Commission has provided no evidence that codifying its safe harbor policy will result in any meaningful increase in </w:t>
      </w:r>
      <w:r w:rsidR="005C0F35">
        <w:rPr>
          <w:rFonts w:ascii="Georgia" w:hAnsi="Georgia"/>
          <w:sz w:val="24"/>
          <w:szCs w:val="24"/>
        </w:rPr>
        <w:t>the volume of reported trades.</w:t>
      </w:r>
    </w:p>
    <w:p w14:paraId="2187DCA9" w14:textId="1EAB742F" w:rsidR="00AC2A46" w:rsidRDefault="004626FE" w:rsidP="008F457F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Market prices can provide effective signals to producers and consumers if the market is competitive and functioning normally. But these</w:t>
      </w:r>
      <w:r w:rsidR="00230580">
        <w:rPr>
          <w:rFonts w:ascii="Georgia" w:hAnsi="Georgia"/>
          <w:sz w:val="24"/>
          <w:szCs w:val="24"/>
        </w:rPr>
        <w:t xml:space="preserve"> punishing natural gas price spikes</w:t>
      </w:r>
      <w:r w:rsidR="00DB1672">
        <w:rPr>
          <w:rFonts w:ascii="Georgia" w:hAnsi="Georgia"/>
          <w:sz w:val="24"/>
          <w:szCs w:val="24"/>
        </w:rPr>
        <w:t xml:space="preserve"> occurred during </w:t>
      </w:r>
      <w:r w:rsidR="00CA4B97">
        <w:rPr>
          <w:rFonts w:ascii="Georgia" w:hAnsi="Georgia"/>
          <w:sz w:val="24"/>
          <w:szCs w:val="24"/>
        </w:rPr>
        <w:t>significant market dysfunction: many producers were unable to respond to high spot prices because their production was frozen and shut-in</w:t>
      </w:r>
      <w:r w:rsidR="00503B61">
        <w:rPr>
          <w:rFonts w:ascii="Georgia" w:hAnsi="Georgia"/>
          <w:sz w:val="24"/>
          <w:szCs w:val="24"/>
        </w:rPr>
        <w:t xml:space="preserve">. And the thinly-traded, voluntarily-reported </w:t>
      </w:r>
      <w:r w:rsidR="00971D50">
        <w:rPr>
          <w:rFonts w:ascii="Georgia" w:hAnsi="Georgia"/>
          <w:sz w:val="24"/>
          <w:szCs w:val="24"/>
        </w:rPr>
        <w:t>spot indices are devoid of effective transparency and competition, allowing a handful of traders to set prices.</w:t>
      </w:r>
    </w:p>
    <w:p w14:paraId="7625DF8D" w14:textId="1FC55211" w:rsidR="007E4EE1" w:rsidRDefault="00CA76C8" w:rsidP="002775B8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Furthermore, the NOPR </w:t>
      </w:r>
      <w:r w:rsidR="00316577">
        <w:rPr>
          <w:rFonts w:ascii="Georgia" w:hAnsi="Georgia"/>
          <w:sz w:val="24"/>
          <w:szCs w:val="24"/>
        </w:rPr>
        <w:t>only references manipulation of spot prices during the 2000-01 West Coast energy deregulation crisis</w:t>
      </w:r>
      <w:r w:rsidR="00772812">
        <w:rPr>
          <w:rFonts w:ascii="Georgia" w:hAnsi="Georgia"/>
          <w:sz w:val="24"/>
          <w:szCs w:val="24"/>
        </w:rPr>
        <w:t>.</w:t>
      </w:r>
      <w:r w:rsidR="00772812">
        <w:rPr>
          <w:rStyle w:val="FootnoteReference"/>
          <w:rFonts w:ascii="Georgia" w:hAnsi="Georgia"/>
          <w:sz w:val="24"/>
          <w:szCs w:val="24"/>
        </w:rPr>
        <w:footnoteReference w:id="7"/>
      </w:r>
      <w:r w:rsidR="009E6BAD">
        <w:rPr>
          <w:rFonts w:ascii="Georgia" w:hAnsi="Georgia"/>
          <w:sz w:val="24"/>
          <w:szCs w:val="24"/>
        </w:rPr>
        <w:t xml:space="preserve"> But the same media company behind the 2000-01 manipulation scandal</w:t>
      </w:r>
      <w:r w:rsidR="004D00C4">
        <w:rPr>
          <w:rFonts w:ascii="Georgia" w:hAnsi="Georgia"/>
          <w:sz w:val="24"/>
          <w:szCs w:val="24"/>
        </w:rPr>
        <w:t xml:space="preserve"> was involved again in price-fixing allegations </w:t>
      </w:r>
      <w:r w:rsidR="00850A2D">
        <w:rPr>
          <w:rFonts w:ascii="Georgia" w:hAnsi="Georgia"/>
          <w:sz w:val="24"/>
          <w:szCs w:val="24"/>
        </w:rPr>
        <w:t>just a few years ago</w:t>
      </w:r>
      <w:r w:rsidR="004D00C4">
        <w:rPr>
          <w:rFonts w:ascii="Georgia" w:hAnsi="Georgia"/>
          <w:sz w:val="24"/>
          <w:szCs w:val="24"/>
        </w:rPr>
        <w:t>.</w:t>
      </w:r>
      <w:r w:rsidR="00055E72">
        <w:rPr>
          <w:rStyle w:val="FootnoteReference"/>
          <w:rFonts w:ascii="Georgia" w:hAnsi="Georgia"/>
          <w:sz w:val="24"/>
          <w:szCs w:val="24"/>
        </w:rPr>
        <w:footnoteReference w:id="8"/>
      </w:r>
    </w:p>
    <w:p w14:paraId="6FEA2AC4" w14:textId="0577A42F" w:rsidR="00850A2D" w:rsidRDefault="00850A2D" w:rsidP="008572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5207225" w14:textId="51DBE3E8" w:rsidR="006D1F52" w:rsidRDefault="00030D4E" w:rsidP="002775B8">
      <w:pPr>
        <w:jc w:val="center"/>
        <w:rPr>
          <w:rFonts w:ascii="Georgia" w:hAnsi="Georgia"/>
          <w:b/>
          <w:bCs/>
          <w:sz w:val="24"/>
          <w:szCs w:val="24"/>
        </w:rPr>
      </w:pPr>
      <w:r w:rsidRPr="002775B8">
        <w:rPr>
          <w:rFonts w:ascii="Georgia" w:hAnsi="Georgia"/>
          <w:b/>
          <w:bCs/>
          <w:sz w:val="24"/>
          <w:szCs w:val="24"/>
        </w:rPr>
        <w:t>Conclusion</w:t>
      </w:r>
    </w:p>
    <w:p w14:paraId="7BC31664" w14:textId="77777777" w:rsidR="005C1EF4" w:rsidRPr="002775B8" w:rsidRDefault="005C1EF4" w:rsidP="002775B8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0F25C6D9" w14:textId="61D26FFE" w:rsidR="00030D4E" w:rsidRDefault="00030D4E" w:rsidP="005C1EF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C15ECE">
        <w:rPr>
          <w:rFonts w:ascii="Georgia" w:hAnsi="Georgia"/>
          <w:sz w:val="24"/>
          <w:szCs w:val="24"/>
        </w:rPr>
        <w:t>Federal law requires the Commission to</w:t>
      </w:r>
      <w:r w:rsidR="00D03551">
        <w:rPr>
          <w:rFonts w:ascii="Georgia" w:hAnsi="Georgia"/>
          <w:sz w:val="24"/>
          <w:szCs w:val="24"/>
        </w:rPr>
        <w:t xml:space="preserve"> ensure that spot natural gas price indices feature adequate</w:t>
      </w:r>
      <w:r w:rsidR="00C15ECE">
        <w:rPr>
          <w:rFonts w:ascii="Georgia" w:hAnsi="Georgia"/>
          <w:sz w:val="24"/>
          <w:szCs w:val="24"/>
        </w:rPr>
        <w:t xml:space="preserve"> </w:t>
      </w:r>
      <w:r w:rsidR="00C15ECE" w:rsidRPr="00C15ECE">
        <w:rPr>
          <w:rFonts w:ascii="Georgia" w:hAnsi="Georgia"/>
          <w:sz w:val="24"/>
          <w:szCs w:val="24"/>
        </w:rPr>
        <w:t xml:space="preserve">price discovery </w:t>
      </w:r>
      <w:r w:rsidR="00D03551">
        <w:rPr>
          <w:rFonts w:ascii="Georgia" w:hAnsi="Georgia"/>
          <w:sz w:val="24"/>
          <w:szCs w:val="24"/>
        </w:rPr>
        <w:t>and</w:t>
      </w:r>
      <w:r w:rsidR="00C15ECE" w:rsidRPr="00C15ECE">
        <w:rPr>
          <w:rFonts w:ascii="Georgia" w:hAnsi="Georgia"/>
          <w:sz w:val="24"/>
          <w:szCs w:val="24"/>
        </w:rPr>
        <w:t xml:space="preserve"> market transparency</w:t>
      </w:r>
      <w:r w:rsidR="00D03551">
        <w:rPr>
          <w:rFonts w:ascii="Georgia" w:hAnsi="Georgia"/>
          <w:sz w:val="24"/>
          <w:szCs w:val="24"/>
        </w:rPr>
        <w:t>.</w:t>
      </w:r>
      <w:r w:rsidR="00BC4AB9">
        <w:rPr>
          <w:rFonts w:ascii="Georgia" w:hAnsi="Georgia"/>
          <w:sz w:val="24"/>
          <w:szCs w:val="24"/>
        </w:rPr>
        <w:t xml:space="preserve"> </w:t>
      </w:r>
      <w:r w:rsidR="00496FE9">
        <w:rPr>
          <w:rFonts w:ascii="Georgia" w:hAnsi="Georgia"/>
          <w:sz w:val="24"/>
          <w:szCs w:val="24"/>
        </w:rPr>
        <w:t>S</w:t>
      </w:r>
      <w:r w:rsidR="00007643">
        <w:rPr>
          <w:rFonts w:ascii="Georgia" w:hAnsi="Georgia"/>
          <w:sz w:val="24"/>
          <w:szCs w:val="24"/>
        </w:rPr>
        <w:t xml:space="preserve">pot natural gas price </w:t>
      </w:r>
      <w:r w:rsidR="00766537">
        <w:rPr>
          <w:rFonts w:ascii="Georgia" w:hAnsi="Georgia"/>
          <w:sz w:val="24"/>
          <w:szCs w:val="24"/>
        </w:rPr>
        <w:t xml:space="preserve">indices </w:t>
      </w:r>
      <w:r w:rsidR="00496FE9">
        <w:rPr>
          <w:rFonts w:ascii="Georgia" w:hAnsi="Georgia"/>
          <w:sz w:val="24"/>
          <w:szCs w:val="24"/>
        </w:rPr>
        <w:t xml:space="preserve">are structurally </w:t>
      </w:r>
      <w:proofErr w:type="gramStart"/>
      <w:r w:rsidR="00496FE9">
        <w:rPr>
          <w:rFonts w:ascii="Georgia" w:hAnsi="Georgia"/>
          <w:sz w:val="24"/>
          <w:szCs w:val="24"/>
        </w:rPr>
        <w:t>non-</w:t>
      </w:r>
      <w:r w:rsidR="00BD698F">
        <w:rPr>
          <w:rFonts w:ascii="Georgia" w:hAnsi="Georgia"/>
          <w:sz w:val="24"/>
          <w:szCs w:val="24"/>
        </w:rPr>
        <w:t>competitive</w:t>
      </w:r>
      <w:proofErr w:type="gramEnd"/>
      <w:r w:rsidR="00496FE9">
        <w:rPr>
          <w:rFonts w:ascii="Georgia" w:hAnsi="Georgia"/>
          <w:sz w:val="24"/>
          <w:szCs w:val="24"/>
        </w:rPr>
        <w:t xml:space="preserve"> and </w:t>
      </w:r>
      <w:r w:rsidR="0045223F">
        <w:rPr>
          <w:rFonts w:ascii="Georgia" w:hAnsi="Georgia"/>
          <w:sz w:val="24"/>
          <w:szCs w:val="24"/>
        </w:rPr>
        <w:t xml:space="preserve">the voluntary nature of reporting trades </w:t>
      </w:r>
      <w:r w:rsidR="006D4E5F">
        <w:rPr>
          <w:rFonts w:ascii="Georgia" w:hAnsi="Georgia"/>
          <w:sz w:val="24"/>
          <w:szCs w:val="24"/>
        </w:rPr>
        <w:t xml:space="preserve">renders them </w:t>
      </w:r>
      <w:r w:rsidR="00BD698F">
        <w:rPr>
          <w:rFonts w:ascii="Georgia" w:hAnsi="Georgia"/>
          <w:sz w:val="24"/>
          <w:szCs w:val="24"/>
        </w:rPr>
        <w:t>susceptible</w:t>
      </w:r>
      <w:r w:rsidR="006D4E5F">
        <w:rPr>
          <w:rFonts w:ascii="Georgia" w:hAnsi="Georgia"/>
          <w:sz w:val="24"/>
          <w:szCs w:val="24"/>
        </w:rPr>
        <w:t xml:space="preserve"> to market manipulation. </w:t>
      </w:r>
      <w:r>
        <w:rPr>
          <w:rFonts w:ascii="Georgia" w:hAnsi="Georgia"/>
          <w:sz w:val="24"/>
          <w:szCs w:val="24"/>
        </w:rPr>
        <w:t>Codifying safe harbor provisions for market participa</w:t>
      </w:r>
      <w:r w:rsidR="00171E7F">
        <w:rPr>
          <w:rFonts w:ascii="Georgia" w:hAnsi="Georgia"/>
          <w:sz w:val="24"/>
          <w:szCs w:val="24"/>
        </w:rPr>
        <w:t xml:space="preserve">nts reporting voluntary trading data to natural gas </w:t>
      </w:r>
      <w:r w:rsidR="007D2EAC">
        <w:rPr>
          <w:rFonts w:ascii="Georgia" w:hAnsi="Georgia"/>
          <w:sz w:val="24"/>
          <w:szCs w:val="24"/>
        </w:rPr>
        <w:t xml:space="preserve">indices will not materially improve </w:t>
      </w:r>
      <w:r w:rsidR="006D4E5F">
        <w:rPr>
          <w:rFonts w:ascii="Georgia" w:hAnsi="Georgia"/>
          <w:sz w:val="24"/>
          <w:szCs w:val="24"/>
        </w:rPr>
        <w:t>the number of reported trades, and therefore will fail to improve</w:t>
      </w:r>
      <w:r w:rsidR="00107481">
        <w:rPr>
          <w:rFonts w:ascii="Georgia" w:hAnsi="Georgia"/>
          <w:sz w:val="24"/>
          <w:szCs w:val="24"/>
        </w:rPr>
        <w:t xml:space="preserve"> price discovery or market transparency. The rest of the world has been replacing </w:t>
      </w:r>
      <w:r w:rsidR="00107481">
        <w:rPr>
          <w:rFonts w:ascii="Georgia" w:hAnsi="Georgia"/>
          <w:sz w:val="24"/>
          <w:szCs w:val="24"/>
        </w:rPr>
        <w:lastRenderedPageBreak/>
        <w:t xml:space="preserve">voluntary price indices for benchmarks with far larger </w:t>
      </w:r>
      <w:r w:rsidR="00A34CF7">
        <w:rPr>
          <w:rFonts w:ascii="Georgia" w:hAnsi="Georgia"/>
          <w:sz w:val="24"/>
          <w:szCs w:val="24"/>
        </w:rPr>
        <w:t xml:space="preserve">economic impacts that U.S. natural gas spot prices, and the Commission should </w:t>
      </w:r>
      <w:r w:rsidR="005B6706">
        <w:rPr>
          <w:rFonts w:ascii="Georgia" w:hAnsi="Georgia"/>
          <w:sz w:val="24"/>
          <w:szCs w:val="24"/>
        </w:rPr>
        <w:t xml:space="preserve">ditch this NOPR and </w:t>
      </w:r>
      <w:r w:rsidR="00EF7488">
        <w:rPr>
          <w:rFonts w:ascii="Georgia" w:hAnsi="Georgia"/>
          <w:sz w:val="24"/>
          <w:szCs w:val="24"/>
        </w:rPr>
        <w:t xml:space="preserve">instead establish a process to </w:t>
      </w:r>
      <w:r w:rsidR="00EF7488" w:rsidRPr="00EF7488">
        <w:rPr>
          <w:rFonts w:ascii="Georgia" w:hAnsi="Georgia"/>
          <w:sz w:val="24"/>
          <w:szCs w:val="24"/>
        </w:rPr>
        <w:t>establish an electronic information system</w:t>
      </w:r>
      <w:r w:rsidR="00EF7488">
        <w:rPr>
          <w:rFonts w:ascii="Georgia" w:hAnsi="Georgia"/>
          <w:sz w:val="24"/>
          <w:szCs w:val="24"/>
        </w:rPr>
        <w:t xml:space="preserve">, as authorized by </w:t>
      </w:r>
      <w:r w:rsidR="00EF7488" w:rsidRPr="00EF7488">
        <w:rPr>
          <w:rFonts w:ascii="Georgia" w:hAnsi="Georgia"/>
          <w:sz w:val="24"/>
          <w:szCs w:val="24"/>
        </w:rPr>
        <w:t>15 USC §</w:t>
      </w:r>
      <w:r w:rsidR="00EF7488" w:rsidRPr="00EF7488">
        <w:rPr>
          <w:rFonts w:ascii="Times New Roman" w:hAnsi="Times New Roman" w:cs="Times New Roman"/>
          <w:sz w:val="24"/>
          <w:szCs w:val="24"/>
        </w:rPr>
        <w:t> </w:t>
      </w:r>
      <w:r w:rsidR="00EF7488" w:rsidRPr="00EF7488">
        <w:rPr>
          <w:rFonts w:ascii="Georgia" w:hAnsi="Georgia"/>
          <w:sz w:val="24"/>
          <w:szCs w:val="24"/>
        </w:rPr>
        <w:t>717t</w:t>
      </w:r>
      <w:r w:rsidR="00EF7488" w:rsidRPr="00EF7488">
        <w:rPr>
          <w:rFonts w:ascii="Georgia" w:hAnsi="Georgia" w:cs="Georgia"/>
          <w:sz w:val="24"/>
          <w:szCs w:val="24"/>
        </w:rPr>
        <w:t>–</w:t>
      </w:r>
      <w:r w:rsidR="00EF7488" w:rsidRPr="00EF7488">
        <w:rPr>
          <w:rFonts w:ascii="Georgia" w:hAnsi="Georgia"/>
          <w:sz w:val="24"/>
          <w:szCs w:val="24"/>
        </w:rPr>
        <w:t>2(a)(4)</w:t>
      </w:r>
      <w:r w:rsidR="00EF7488">
        <w:rPr>
          <w:rFonts w:ascii="Georgia" w:hAnsi="Georgia"/>
          <w:sz w:val="24"/>
          <w:szCs w:val="24"/>
        </w:rPr>
        <w:t>.</w:t>
      </w:r>
    </w:p>
    <w:p w14:paraId="7146A54F" w14:textId="61900B46" w:rsidR="00EF7488" w:rsidRDefault="00EF7488" w:rsidP="00857236">
      <w:pPr>
        <w:rPr>
          <w:rFonts w:ascii="Georgia" w:hAnsi="Georgia"/>
          <w:sz w:val="24"/>
          <w:szCs w:val="24"/>
        </w:rPr>
      </w:pPr>
    </w:p>
    <w:p w14:paraId="6E0D5511" w14:textId="77777777" w:rsidR="002B47BA" w:rsidRDefault="002B47BA" w:rsidP="00857236">
      <w:pPr>
        <w:rPr>
          <w:rFonts w:ascii="Georgia" w:hAnsi="Georgia"/>
          <w:sz w:val="24"/>
          <w:szCs w:val="24"/>
        </w:rPr>
      </w:pPr>
    </w:p>
    <w:p w14:paraId="5234096D" w14:textId="0F06E002" w:rsidR="00EF7488" w:rsidRDefault="00EF7488" w:rsidP="008572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Respectfully submitted,</w:t>
      </w:r>
    </w:p>
    <w:p w14:paraId="15CC70FD" w14:textId="5F175F98" w:rsidR="00EF7488" w:rsidRDefault="00EF7488" w:rsidP="00857236">
      <w:pPr>
        <w:rPr>
          <w:rFonts w:ascii="Georgia" w:hAnsi="Georgia"/>
          <w:sz w:val="24"/>
          <w:szCs w:val="24"/>
        </w:rPr>
      </w:pPr>
    </w:p>
    <w:p w14:paraId="32CC85D2" w14:textId="3EC03685" w:rsidR="00EF7488" w:rsidRDefault="00EF7488" w:rsidP="008572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1C9DA2F4" w14:textId="5868BC54" w:rsidR="009C74A9" w:rsidRDefault="009C74A9" w:rsidP="008572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Public Citizen, Inc.</w:t>
      </w:r>
    </w:p>
    <w:p w14:paraId="450DC7F8" w14:textId="2D41CE30" w:rsidR="009C74A9" w:rsidRDefault="009C74A9" w:rsidP="008572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215 Pennsylvania Ave SE</w:t>
      </w:r>
    </w:p>
    <w:p w14:paraId="508FE373" w14:textId="5CAD1C5D" w:rsidR="009C74A9" w:rsidRDefault="009C74A9" w:rsidP="008572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Washington, DC  20003</w:t>
      </w:r>
    </w:p>
    <w:p w14:paraId="7825F9E4" w14:textId="31068668" w:rsidR="009C74A9" w:rsidRDefault="009C74A9" w:rsidP="008572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(202) </w:t>
      </w:r>
      <w:r w:rsidR="00CE2A35">
        <w:rPr>
          <w:rFonts w:ascii="Georgia" w:hAnsi="Georgia"/>
          <w:sz w:val="24"/>
          <w:szCs w:val="24"/>
        </w:rPr>
        <w:t>454-5191</w:t>
      </w:r>
    </w:p>
    <w:p w14:paraId="6841BE0C" w14:textId="66225174" w:rsidR="009C74A9" w:rsidRPr="005C1EF4" w:rsidRDefault="009C74A9" w:rsidP="008572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hyperlink r:id="rId7" w:history="1">
        <w:r w:rsidRPr="005C1EF4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tslocum@citizen.org</w:t>
        </w:r>
      </w:hyperlink>
    </w:p>
    <w:p w14:paraId="1EFBF9F6" w14:textId="6F3FF93E" w:rsidR="009C74A9" w:rsidRPr="006719D7" w:rsidRDefault="009C74A9" w:rsidP="008572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670176C" w14:textId="04CC80FA" w:rsidR="006D1F52" w:rsidRPr="00D02316" w:rsidRDefault="006D1F52" w:rsidP="00857236">
      <w:pPr>
        <w:rPr>
          <w:rFonts w:ascii="Georgia" w:hAnsi="Georgia"/>
          <w:sz w:val="24"/>
          <w:szCs w:val="24"/>
        </w:rPr>
      </w:pPr>
    </w:p>
    <w:p w14:paraId="33A452F0" w14:textId="420E8B71" w:rsidR="00E331C0" w:rsidRPr="006719D7" w:rsidRDefault="00E331C0" w:rsidP="00857236">
      <w:pPr>
        <w:rPr>
          <w:rFonts w:ascii="Georgia" w:hAnsi="Georgia"/>
          <w:sz w:val="24"/>
          <w:szCs w:val="24"/>
        </w:rPr>
      </w:pPr>
    </w:p>
    <w:p w14:paraId="4308481D" w14:textId="2FC3671D" w:rsidR="00E331C0" w:rsidRPr="006719D7" w:rsidRDefault="00E331C0" w:rsidP="00857236">
      <w:pPr>
        <w:rPr>
          <w:rFonts w:ascii="Georgia" w:hAnsi="Georgia"/>
          <w:sz w:val="24"/>
          <w:szCs w:val="24"/>
        </w:rPr>
      </w:pPr>
    </w:p>
    <w:p w14:paraId="129E7259" w14:textId="28BBF14B" w:rsidR="00FF0985" w:rsidRPr="006719D7" w:rsidRDefault="00FF0985" w:rsidP="0051741A">
      <w:pPr>
        <w:rPr>
          <w:rFonts w:ascii="Georgia" w:hAnsi="Georgia"/>
          <w:sz w:val="24"/>
          <w:szCs w:val="24"/>
        </w:rPr>
      </w:pPr>
    </w:p>
    <w:p w14:paraId="169D89D1" w14:textId="0F8F5393" w:rsidR="00FF0985" w:rsidRPr="006719D7" w:rsidRDefault="00FF0985" w:rsidP="00FC6446">
      <w:pPr>
        <w:rPr>
          <w:rFonts w:ascii="Georgia" w:hAnsi="Georgia"/>
          <w:sz w:val="24"/>
          <w:szCs w:val="24"/>
        </w:rPr>
      </w:pPr>
    </w:p>
    <w:sectPr w:rsidR="00FF0985" w:rsidRPr="006719D7" w:rsidSect="008F7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028B" w14:textId="77777777" w:rsidR="00F92E90" w:rsidRDefault="00F92E90" w:rsidP="00965263">
      <w:r>
        <w:separator/>
      </w:r>
    </w:p>
  </w:endnote>
  <w:endnote w:type="continuationSeparator" w:id="0">
    <w:p w14:paraId="603D8E8F" w14:textId="77777777" w:rsidR="00F92E90" w:rsidRDefault="00F92E90" w:rsidP="0096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9209" w14:textId="77777777" w:rsidR="008F7DC7" w:rsidRDefault="008F7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0616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04F0DA" w14:textId="68E9A376" w:rsidR="008F7DC7" w:rsidRDefault="008F7D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A18A13" w14:textId="77777777" w:rsidR="008F7DC7" w:rsidRDefault="008F7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C6D0" w14:textId="77777777" w:rsidR="008F7DC7" w:rsidRDefault="008F7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BE58" w14:textId="77777777" w:rsidR="00F92E90" w:rsidRDefault="00F92E90" w:rsidP="00965263">
      <w:r>
        <w:separator/>
      </w:r>
    </w:p>
  </w:footnote>
  <w:footnote w:type="continuationSeparator" w:id="0">
    <w:p w14:paraId="09DC3EAF" w14:textId="77777777" w:rsidR="00F92E90" w:rsidRDefault="00F92E90" w:rsidP="00965263">
      <w:r>
        <w:continuationSeparator/>
      </w:r>
    </w:p>
  </w:footnote>
  <w:footnote w:id="1">
    <w:p w14:paraId="2611DB95" w14:textId="77777777" w:rsidR="000E76A6" w:rsidRDefault="000E76A6" w:rsidP="000E76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385F">
        <w:rPr>
          <w:rFonts w:ascii="Georgia" w:hAnsi="Georgia"/>
        </w:rPr>
        <w:t>www.citizen.org/about/annual-report</w:t>
      </w:r>
    </w:p>
  </w:footnote>
  <w:footnote w:id="2">
    <w:p w14:paraId="1BBF547B" w14:textId="020CD275" w:rsidR="000C73B8" w:rsidRDefault="000C73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654F">
        <w:rPr>
          <w:rFonts w:ascii="Georgia" w:hAnsi="Georgia"/>
        </w:rPr>
        <w:t>NOPR, at 4.</w:t>
      </w:r>
    </w:p>
  </w:footnote>
  <w:footnote w:id="3">
    <w:p w14:paraId="43A7A0FC" w14:textId="21125EF1" w:rsidR="00965263" w:rsidRDefault="009652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654F">
        <w:rPr>
          <w:rFonts w:ascii="Georgia" w:hAnsi="Georgia"/>
        </w:rPr>
        <w:t xml:space="preserve">NOPR, at </w:t>
      </w:r>
      <w:r w:rsidR="00484FA7" w:rsidRPr="0049654F">
        <w:rPr>
          <w:rFonts w:ascii="Georgia" w:hAnsi="Georgia"/>
        </w:rPr>
        <w:t>7-</w:t>
      </w:r>
      <w:r w:rsidRPr="0049654F">
        <w:rPr>
          <w:rFonts w:ascii="Georgia" w:hAnsi="Georgia"/>
        </w:rPr>
        <w:t>8.</w:t>
      </w:r>
    </w:p>
  </w:footnote>
  <w:footnote w:id="4">
    <w:p w14:paraId="39304B02" w14:textId="55E46853" w:rsidR="00CB7F42" w:rsidRDefault="00CB7F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654F">
        <w:rPr>
          <w:rFonts w:ascii="Georgia" w:hAnsi="Georgia"/>
        </w:rPr>
        <w:t>www.cftc.gov/About/AdvisoryCommittees/MRAC</w:t>
      </w:r>
    </w:p>
  </w:footnote>
  <w:footnote w:id="5">
    <w:p w14:paraId="745970D7" w14:textId="7E8B4F84" w:rsidR="00AC1453" w:rsidRDefault="00AC14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F1AA8">
        <w:rPr>
          <w:rFonts w:ascii="Georgia" w:hAnsi="Georgia"/>
        </w:rPr>
        <w:t>C</w:t>
      </w:r>
      <w:r w:rsidRPr="008E0802">
        <w:rPr>
          <w:rFonts w:ascii="Georgia" w:hAnsi="Georgia"/>
        </w:rPr>
        <w:t xml:space="preserve">ompiled by </w:t>
      </w:r>
      <w:r w:rsidRPr="008E0802">
        <w:rPr>
          <w:rFonts w:ascii="Georgia" w:hAnsi="Georgia"/>
        </w:rPr>
        <w:t xml:space="preserve">Rimsha Ahmed, </w:t>
      </w:r>
      <w:r w:rsidRPr="008E0802">
        <w:rPr>
          <w:rFonts w:ascii="Georgia" w:hAnsi="Georgia"/>
        </w:rPr>
        <w:t xml:space="preserve">Public Citizen </w:t>
      </w:r>
      <w:r w:rsidRPr="008E0802">
        <w:rPr>
          <w:rFonts w:ascii="Georgia" w:hAnsi="Georgia"/>
        </w:rPr>
        <w:t>Research Intern</w:t>
      </w:r>
      <w:r w:rsidRPr="008E0802">
        <w:rPr>
          <w:rFonts w:ascii="Georgia" w:hAnsi="Georgia"/>
        </w:rPr>
        <w:t xml:space="preserve">, from </w:t>
      </w:r>
      <w:r w:rsidR="008E0802" w:rsidRPr="008E0802">
        <w:rPr>
          <w:rFonts w:ascii="Georgia" w:hAnsi="Georgia"/>
        </w:rPr>
        <w:t>S&amp;P Global Platts Gas Daily</w:t>
      </w:r>
      <w:r w:rsidR="008E0802" w:rsidRPr="008E0802">
        <w:rPr>
          <w:rFonts w:ascii="Georgia" w:hAnsi="Georgia"/>
        </w:rPr>
        <w:t>.</w:t>
      </w:r>
    </w:p>
  </w:footnote>
  <w:footnote w:id="6">
    <w:p w14:paraId="7751A39A" w14:textId="501C3E1E" w:rsidR="00706F59" w:rsidRDefault="00706F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F59">
        <w:rPr>
          <w:rFonts w:ascii="Georgia" w:hAnsi="Georgia"/>
        </w:rPr>
        <w:t>Naureen S Malik, Gerson Freitas Jr, and Sergio Chapa, "Gas at One U.S. Hub Is Trading at $999. Last Week It Was at $4," Bloomberg, February 16, 2021, www.bloomberg.com/news/articles/2021-02-16/gas-at-one-u-s-hub-is-trading-at-999-last-week-it-was-at-4</w:t>
      </w:r>
    </w:p>
  </w:footnote>
  <w:footnote w:id="7">
    <w:p w14:paraId="24DF15AB" w14:textId="1621197C" w:rsidR="00772812" w:rsidRDefault="007728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812">
        <w:rPr>
          <w:rFonts w:ascii="Georgia" w:hAnsi="Georgia"/>
        </w:rPr>
        <w:t>NOPR, at 5.</w:t>
      </w:r>
    </w:p>
  </w:footnote>
  <w:footnote w:id="8">
    <w:p w14:paraId="17D41802" w14:textId="29B06272" w:rsidR="00055E72" w:rsidRDefault="00055E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5E72">
        <w:rPr>
          <w:rFonts w:ascii="Georgia" w:hAnsi="Georgia"/>
        </w:rPr>
        <w:t>www.citizen.org/news/mcgraw-hill-manipulation-deja-vu-once-again-media-company-at-center-of-energy-price-fixing-scandal/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B0AC" w14:textId="77777777" w:rsidR="008F7DC7" w:rsidRDefault="008F7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650B" w14:textId="1D256438" w:rsidR="00987DEC" w:rsidRPr="00987DEC" w:rsidRDefault="00987DEC" w:rsidP="00987DEC">
    <w:pPr>
      <w:pStyle w:val="Header"/>
      <w:jc w:val="center"/>
      <w:rPr>
        <w:rFonts w:ascii="Georgia" w:hAnsi="Georgia"/>
        <w:i/>
        <w:iCs/>
      </w:rPr>
    </w:pPr>
    <w:r w:rsidRPr="00987DEC">
      <w:rPr>
        <w:rFonts w:ascii="Georgia" w:hAnsi="Georgia"/>
        <w:i/>
        <w:iCs/>
      </w:rPr>
      <w:t>Comment of Public Citizen, Inc. • Docket No. RM20-7 • June 1, 2021</w:t>
    </w:r>
  </w:p>
  <w:p w14:paraId="3DD10096" w14:textId="77777777" w:rsidR="008F7DC7" w:rsidRDefault="008F7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7F52" w14:textId="77777777" w:rsidR="008F7DC7" w:rsidRDefault="008F7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1A"/>
    <w:rsid w:val="000065BE"/>
    <w:rsid w:val="00007643"/>
    <w:rsid w:val="00020CF0"/>
    <w:rsid w:val="00027CB2"/>
    <w:rsid w:val="00030D4E"/>
    <w:rsid w:val="00041D37"/>
    <w:rsid w:val="00055E72"/>
    <w:rsid w:val="0007582F"/>
    <w:rsid w:val="00091349"/>
    <w:rsid w:val="000950E4"/>
    <w:rsid w:val="000B6F85"/>
    <w:rsid w:val="000C1DD0"/>
    <w:rsid w:val="000C73B8"/>
    <w:rsid w:val="000E15EC"/>
    <w:rsid w:val="000E76A6"/>
    <w:rsid w:val="000F1F7B"/>
    <w:rsid w:val="000F7B71"/>
    <w:rsid w:val="00107481"/>
    <w:rsid w:val="00127E61"/>
    <w:rsid w:val="00145197"/>
    <w:rsid w:val="0014541C"/>
    <w:rsid w:val="00145BB7"/>
    <w:rsid w:val="001506BD"/>
    <w:rsid w:val="00153EA5"/>
    <w:rsid w:val="001555BE"/>
    <w:rsid w:val="00155CA4"/>
    <w:rsid w:val="00171E7F"/>
    <w:rsid w:val="00192E8B"/>
    <w:rsid w:val="001C2074"/>
    <w:rsid w:val="001C2B7D"/>
    <w:rsid w:val="001E1457"/>
    <w:rsid w:val="001E16C0"/>
    <w:rsid w:val="001E5BE4"/>
    <w:rsid w:val="001E68F3"/>
    <w:rsid w:val="001F42F3"/>
    <w:rsid w:val="00205148"/>
    <w:rsid w:val="00216AB4"/>
    <w:rsid w:val="00230580"/>
    <w:rsid w:val="002432EA"/>
    <w:rsid w:val="002544E1"/>
    <w:rsid w:val="002649AE"/>
    <w:rsid w:val="002701C0"/>
    <w:rsid w:val="00275C1C"/>
    <w:rsid w:val="002775B8"/>
    <w:rsid w:val="002779A7"/>
    <w:rsid w:val="00290293"/>
    <w:rsid w:val="002B47BA"/>
    <w:rsid w:val="002C19E7"/>
    <w:rsid w:val="002D1588"/>
    <w:rsid w:val="002E341C"/>
    <w:rsid w:val="002F12C5"/>
    <w:rsid w:val="002F1ABD"/>
    <w:rsid w:val="002F4E36"/>
    <w:rsid w:val="00314D39"/>
    <w:rsid w:val="00316577"/>
    <w:rsid w:val="00336688"/>
    <w:rsid w:val="0034517C"/>
    <w:rsid w:val="00360E1D"/>
    <w:rsid w:val="00361BFA"/>
    <w:rsid w:val="00364E66"/>
    <w:rsid w:val="00386A5D"/>
    <w:rsid w:val="003959A5"/>
    <w:rsid w:val="003C162C"/>
    <w:rsid w:val="003E307E"/>
    <w:rsid w:val="003E7182"/>
    <w:rsid w:val="00425357"/>
    <w:rsid w:val="00440A71"/>
    <w:rsid w:val="0045223F"/>
    <w:rsid w:val="004626FE"/>
    <w:rsid w:val="00463F68"/>
    <w:rsid w:val="00472228"/>
    <w:rsid w:val="00475B56"/>
    <w:rsid w:val="00476C15"/>
    <w:rsid w:val="0048021C"/>
    <w:rsid w:val="00482E4B"/>
    <w:rsid w:val="00484FA7"/>
    <w:rsid w:val="0048749F"/>
    <w:rsid w:val="0049654F"/>
    <w:rsid w:val="00496A4A"/>
    <w:rsid w:val="00496FE9"/>
    <w:rsid w:val="004A0350"/>
    <w:rsid w:val="004A5413"/>
    <w:rsid w:val="004A61DA"/>
    <w:rsid w:val="004B429B"/>
    <w:rsid w:val="004D00C4"/>
    <w:rsid w:val="004D0F54"/>
    <w:rsid w:val="004E560A"/>
    <w:rsid w:val="004F1A69"/>
    <w:rsid w:val="004F4867"/>
    <w:rsid w:val="00503B61"/>
    <w:rsid w:val="0051741A"/>
    <w:rsid w:val="00521474"/>
    <w:rsid w:val="00527B87"/>
    <w:rsid w:val="00546DB2"/>
    <w:rsid w:val="0056043B"/>
    <w:rsid w:val="005623E2"/>
    <w:rsid w:val="005721F1"/>
    <w:rsid w:val="0058729D"/>
    <w:rsid w:val="00592CFD"/>
    <w:rsid w:val="005A1D6A"/>
    <w:rsid w:val="005B6706"/>
    <w:rsid w:val="005B6C78"/>
    <w:rsid w:val="005B7D26"/>
    <w:rsid w:val="005C0F35"/>
    <w:rsid w:val="005C1EF4"/>
    <w:rsid w:val="005F137E"/>
    <w:rsid w:val="005F6358"/>
    <w:rsid w:val="006001E8"/>
    <w:rsid w:val="00626F30"/>
    <w:rsid w:val="006332AB"/>
    <w:rsid w:val="00650145"/>
    <w:rsid w:val="00662EDA"/>
    <w:rsid w:val="006719D7"/>
    <w:rsid w:val="006738BF"/>
    <w:rsid w:val="00682A82"/>
    <w:rsid w:val="00692BD8"/>
    <w:rsid w:val="006B695A"/>
    <w:rsid w:val="006C0395"/>
    <w:rsid w:val="006C7303"/>
    <w:rsid w:val="006D1F52"/>
    <w:rsid w:val="006D33AB"/>
    <w:rsid w:val="006D4E5F"/>
    <w:rsid w:val="006E2C8A"/>
    <w:rsid w:val="006F0937"/>
    <w:rsid w:val="00706F59"/>
    <w:rsid w:val="00712EFB"/>
    <w:rsid w:val="00723111"/>
    <w:rsid w:val="007236F1"/>
    <w:rsid w:val="007256D8"/>
    <w:rsid w:val="00726B8A"/>
    <w:rsid w:val="00752FE0"/>
    <w:rsid w:val="007644FE"/>
    <w:rsid w:val="00766537"/>
    <w:rsid w:val="007671A3"/>
    <w:rsid w:val="00772812"/>
    <w:rsid w:val="00774E3C"/>
    <w:rsid w:val="007866F2"/>
    <w:rsid w:val="00796FE2"/>
    <w:rsid w:val="007C6FF6"/>
    <w:rsid w:val="007D2EAC"/>
    <w:rsid w:val="007D58B1"/>
    <w:rsid w:val="007D5CF0"/>
    <w:rsid w:val="007D6F64"/>
    <w:rsid w:val="007E4EE1"/>
    <w:rsid w:val="007F638C"/>
    <w:rsid w:val="00837EFC"/>
    <w:rsid w:val="00850A2D"/>
    <w:rsid w:val="00857236"/>
    <w:rsid w:val="00862566"/>
    <w:rsid w:val="00876DCD"/>
    <w:rsid w:val="00887F69"/>
    <w:rsid w:val="00893E9A"/>
    <w:rsid w:val="00896C75"/>
    <w:rsid w:val="008B4AB2"/>
    <w:rsid w:val="008B4CC1"/>
    <w:rsid w:val="008C7252"/>
    <w:rsid w:val="008E0802"/>
    <w:rsid w:val="008E390D"/>
    <w:rsid w:val="008E3CF2"/>
    <w:rsid w:val="008F457F"/>
    <w:rsid w:val="008F7DC7"/>
    <w:rsid w:val="00930501"/>
    <w:rsid w:val="0095167E"/>
    <w:rsid w:val="00961178"/>
    <w:rsid w:val="00965263"/>
    <w:rsid w:val="00971D50"/>
    <w:rsid w:val="009853C8"/>
    <w:rsid w:val="00987DEC"/>
    <w:rsid w:val="009A1024"/>
    <w:rsid w:val="009C74A9"/>
    <w:rsid w:val="009D0B30"/>
    <w:rsid w:val="009D2101"/>
    <w:rsid w:val="009D21B1"/>
    <w:rsid w:val="009D71C3"/>
    <w:rsid w:val="009E6BAD"/>
    <w:rsid w:val="009F5BE1"/>
    <w:rsid w:val="009F65D7"/>
    <w:rsid w:val="009F7C59"/>
    <w:rsid w:val="00A06B04"/>
    <w:rsid w:val="00A07CB1"/>
    <w:rsid w:val="00A11DC6"/>
    <w:rsid w:val="00A34CF7"/>
    <w:rsid w:val="00A40464"/>
    <w:rsid w:val="00A44F5B"/>
    <w:rsid w:val="00A610DB"/>
    <w:rsid w:val="00A7055B"/>
    <w:rsid w:val="00AB0C26"/>
    <w:rsid w:val="00AC1453"/>
    <w:rsid w:val="00AC2A46"/>
    <w:rsid w:val="00AD44CE"/>
    <w:rsid w:val="00AD45C3"/>
    <w:rsid w:val="00AE0870"/>
    <w:rsid w:val="00AF1AA8"/>
    <w:rsid w:val="00B06070"/>
    <w:rsid w:val="00B11ED0"/>
    <w:rsid w:val="00B36E94"/>
    <w:rsid w:val="00B5018A"/>
    <w:rsid w:val="00B5211B"/>
    <w:rsid w:val="00BA67DC"/>
    <w:rsid w:val="00BB01F3"/>
    <w:rsid w:val="00BB1955"/>
    <w:rsid w:val="00BC4AB9"/>
    <w:rsid w:val="00BD0CB4"/>
    <w:rsid w:val="00BD1ED1"/>
    <w:rsid w:val="00BD698F"/>
    <w:rsid w:val="00BE6228"/>
    <w:rsid w:val="00C040EA"/>
    <w:rsid w:val="00C05E69"/>
    <w:rsid w:val="00C10978"/>
    <w:rsid w:val="00C15ECE"/>
    <w:rsid w:val="00C62902"/>
    <w:rsid w:val="00C77E85"/>
    <w:rsid w:val="00C949C5"/>
    <w:rsid w:val="00CA4B97"/>
    <w:rsid w:val="00CA76C8"/>
    <w:rsid w:val="00CB4D84"/>
    <w:rsid w:val="00CB7F42"/>
    <w:rsid w:val="00CC00CE"/>
    <w:rsid w:val="00CC479F"/>
    <w:rsid w:val="00CE2A35"/>
    <w:rsid w:val="00CF154F"/>
    <w:rsid w:val="00CF2051"/>
    <w:rsid w:val="00D02316"/>
    <w:rsid w:val="00D03551"/>
    <w:rsid w:val="00D05B89"/>
    <w:rsid w:val="00D15B10"/>
    <w:rsid w:val="00D20624"/>
    <w:rsid w:val="00D25153"/>
    <w:rsid w:val="00D255F1"/>
    <w:rsid w:val="00D37FC4"/>
    <w:rsid w:val="00D43963"/>
    <w:rsid w:val="00D5049A"/>
    <w:rsid w:val="00D518A5"/>
    <w:rsid w:val="00D92053"/>
    <w:rsid w:val="00DB1672"/>
    <w:rsid w:val="00DE513B"/>
    <w:rsid w:val="00DF401D"/>
    <w:rsid w:val="00DF445B"/>
    <w:rsid w:val="00E14236"/>
    <w:rsid w:val="00E331C0"/>
    <w:rsid w:val="00E35B3E"/>
    <w:rsid w:val="00E56DCB"/>
    <w:rsid w:val="00E70DF3"/>
    <w:rsid w:val="00E72F0F"/>
    <w:rsid w:val="00E73085"/>
    <w:rsid w:val="00E84EFD"/>
    <w:rsid w:val="00E94443"/>
    <w:rsid w:val="00EA20DC"/>
    <w:rsid w:val="00EA4AE6"/>
    <w:rsid w:val="00EB6871"/>
    <w:rsid w:val="00EB73DB"/>
    <w:rsid w:val="00EE3CD2"/>
    <w:rsid w:val="00EF110D"/>
    <w:rsid w:val="00EF363E"/>
    <w:rsid w:val="00EF5FDE"/>
    <w:rsid w:val="00EF7488"/>
    <w:rsid w:val="00F27569"/>
    <w:rsid w:val="00F30BEC"/>
    <w:rsid w:val="00F5173C"/>
    <w:rsid w:val="00F81C16"/>
    <w:rsid w:val="00F92E90"/>
    <w:rsid w:val="00F93512"/>
    <w:rsid w:val="00FA350A"/>
    <w:rsid w:val="00FB1717"/>
    <w:rsid w:val="00FC11DA"/>
    <w:rsid w:val="00FC6446"/>
    <w:rsid w:val="00FE6175"/>
    <w:rsid w:val="00FF0985"/>
    <w:rsid w:val="00FF36F7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72C8"/>
  <w15:chartTrackingRefBased/>
  <w15:docId w15:val="{D24B1BA4-6A6B-471D-9CA0-DACB1BF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E68F3"/>
    <w:pPr>
      <w:keepLines/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8F3"/>
  </w:style>
  <w:style w:type="character" w:styleId="Hyperlink">
    <w:name w:val="Hyperlink"/>
    <w:basedOn w:val="DefaultParagraphFont"/>
    <w:uiPriority w:val="99"/>
    <w:unhideWhenUsed/>
    <w:rsid w:val="00FF0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98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9652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7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C7"/>
  </w:style>
  <w:style w:type="paragraph" w:styleId="Footer">
    <w:name w:val="footer"/>
    <w:basedOn w:val="Normal"/>
    <w:link w:val="FooterChar"/>
    <w:uiPriority w:val="99"/>
    <w:unhideWhenUsed/>
    <w:rsid w:val="008F7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slocum@citize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BD63-B457-457A-8CC1-2455C30C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263</cp:revision>
  <dcterms:created xsi:type="dcterms:W3CDTF">2021-05-07T21:39:00Z</dcterms:created>
  <dcterms:modified xsi:type="dcterms:W3CDTF">2021-06-01T14:32:00Z</dcterms:modified>
</cp:coreProperties>
</file>