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318B" w14:textId="7202F3ED" w:rsidR="006443BB" w:rsidRDefault="002E69B7" w:rsidP="0044474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UNITED STATES OF AMERICA</w:t>
      </w:r>
    </w:p>
    <w:p w14:paraId="7654C4DA" w14:textId="3A4E306B" w:rsidR="002E69B7" w:rsidRDefault="002E69B7" w:rsidP="0044474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BEFORE THE</w:t>
      </w:r>
    </w:p>
    <w:p w14:paraId="64A458AA" w14:textId="5B43B18B" w:rsidR="002E69B7" w:rsidRDefault="002E69B7" w:rsidP="0044474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FEDERAL ENERGY REGULATORY COMMISSION</w:t>
      </w:r>
    </w:p>
    <w:p w14:paraId="4EFF15C9" w14:textId="2AF39643" w:rsidR="002E69B7" w:rsidRDefault="002E69B7">
      <w:pPr>
        <w:rPr>
          <w:rFonts w:ascii="Georgia" w:hAnsi="Georgia"/>
          <w:sz w:val="24"/>
          <w:szCs w:val="24"/>
        </w:rPr>
      </w:pPr>
    </w:p>
    <w:p w14:paraId="34DEF066" w14:textId="77777777" w:rsidR="0044474A" w:rsidRPr="0044474A" w:rsidRDefault="0044474A" w:rsidP="0044474A">
      <w:pPr>
        <w:rPr>
          <w:rFonts w:ascii="Georgia" w:hAnsi="Georgia"/>
          <w:sz w:val="24"/>
          <w:szCs w:val="24"/>
        </w:rPr>
      </w:pPr>
      <w:r w:rsidRPr="0044474A">
        <w:rPr>
          <w:rFonts w:ascii="Georgia" w:hAnsi="Georgia"/>
          <w:sz w:val="24"/>
          <w:szCs w:val="24"/>
        </w:rPr>
        <w:t>Rate Recovery, Reporting, and</w:t>
      </w:r>
    </w:p>
    <w:p w14:paraId="67B93718" w14:textId="76316BCA" w:rsidR="0044474A" w:rsidRPr="0044474A" w:rsidRDefault="0044474A" w:rsidP="0044474A">
      <w:pPr>
        <w:rPr>
          <w:rFonts w:ascii="Georgia" w:hAnsi="Georgia"/>
          <w:sz w:val="24"/>
          <w:szCs w:val="24"/>
        </w:rPr>
      </w:pPr>
      <w:r w:rsidRPr="0044474A">
        <w:rPr>
          <w:rFonts w:ascii="Georgia" w:hAnsi="Georgia"/>
          <w:sz w:val="24"/>
          <w:szCs w:val="24"/>
        </w:rPr>
        <w:t>Accounting Treatment of Industry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Docket No. </w:t>
      </w:r>
      <w:r w:rsidRPr="0044474A">
        <w:rPr>
          <w:rFonts w:ascii="Georgia" w:hAnsi="Georgia"/>
          <w:sz w:val="24"/>
          <w:szCs w:val="24"/>
        </w:rPr>
        <w:t>RM22–5</w:t>
      </w:r>
    </w:p>
    <w:p w14:paraId="47837CD8" w14:textId="77777777" w:rsidR="0044474A" w:rsidRPr="0044474A" w:rsidRDefault="0044474A" w:rsidP="0044474A">
      <w:pPr>
        <w:rPr>
          <w:rFonts w:ascii="Georgia" w:hAnsi="Georgia"/>
          <w:sz w:val="24"/>
          <w:szCs w:val="24"/>
        </w:rPr>
      </w:pPr>
      <w:r w:rsidRPr="0044474A">
        <w:rPr>
          <w:rFonts w:ascii="Georgia" w:hAnsi="Georgia"/>
          <w:sz w:val="24"/>
          <w:szCs w:val="24"/>
        </w:rPr>
        <w:t>Association Dues and Certain Civic,</w:t>
      </w:r>
    </w:p>
    <w:p w14:paraId="5DD864CD" w14:textId="28C734F2" w:rsidR="002E69B7" w:rsidRDefault="0044474A" w:rsidP="0044474A">
      <w:pPr>
        <w:rPr>
          <w:rFonts w:ascii="Georgia" w:hAnsi="Georgia"/>
          <w:sz w:val="24"/>
          <w:szCs w:val="24"/>
        </w:rPr>
      </w:pPr>
      <w:r w:rsidRPr="0044474A">
        <w:rPr>
          <w:rFonts w:ascii="Georgia" w:hAnsi="Georgia"/>
          <w:sz w:val="24"/>
          <w:szCs w:val="24"/>
        </w:rPr>
        <w:t>Political, and Related Expenses</w:t>
      </w:r>
    </w:p>
    <w:p w14:paraId="7D470246" w14:textId="77777777" w:rsidR="00FC5BCF" w:rsidRDefault="00FC5BCF" w:rsidP="0044474A">
      <w:pPr>
        <w:rPr>
          <w:rFonts w:ascii="Georgia" w:hAnsi="Georgia"/>
          <w:sz w:val="24"/>
          <w:szCs w:val="24"/>
        </w:rPr>
      </w:pPr>
    </w:p>
    <w:p w14:paraId="01503DFD" w14:textId="7E66C1A9" w:rsidR="0044474A" w:rsidRDefault="0044474A" w:rsidP="0044474A">
      <w:pPr>
        <w:rPr>
          <w:rFonts w:ascii="Georgia" w:hAnsi="Georgia"/>
          <w:sz w:val="24"/>
          <w:szCs w:val="24"/>
        </w:rPr>
      </w:pPr>
    </w:p>
    <w:p w14:paraId="47207DC9" w14:textId="44674567" w:rsidR="0044474A" w:rsidRPr="00FC5BCF" w:rsidRDefault="0044474A" w:rsidP="00FD54E6">
      <w:pPr>
        <w:jc w:val="center"/>
        <w:rPr>
          <w:rFonts w:ascii="Georgia" w:hAnsi="Georgia"/>
          <w:b/>
          <w:bCs/>
          <w:sz w:val="24"/>
          <w:szCs w:val="24"/>
        </w:rPr>
      </w:pPr>
      <w:r w:rsidRPr="00FC5BCF">
        <w:rPr>
          <w:rFonts w:ascii="Georgia" w:hAnsi="Georgia"/>
          <w:b/>
          <w:bCs/>
          <w:sz w:val="24"/>
          <w:szCs w:val="24"/>
        </w:rPr>
        <w:t>Comments of Public Citizen, Inc.</w:t>
      </w:r>
    </w:p>
    <w:p w14:paraId="48DE5370" w14:textId="1433D36C" w:rsidR="00FD54E6" w:rsidRDefault="00FD54E6" w:rsidP="0044474A">
      <w:pPr>
        <w:rPr>
          <w:rFonts w:ascii="Georgia" w:hAnsi="Georgia"/>
          <w:sz w:val="24"/>
          <w:szCs w:val="24"/>
        </w:rPr>
      </w:pPr>
    </w:p>
    <w:p w14:paraId="66758D54" w14:textId="75AC5143" w:rsidR="00FC5BCF" w:rsidRDefault="00FC5BCF" w:rsidP="000B43E7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FD54E6">
        <w:rPr>
          <w:rFonts w:ascii="Georgia" w:hAnsi="Georgia"/>
          <w:sz w:val="24"/>
          <w:szCs w:val="24"/>
        </w:rPr>
        <w:t xml:space="preserve">Established in 1971, Public Citizen is a national, not-for-profit, non-partisan, research and advocacy organization representing the interests of household consumers. Public Citizen is active before FERC promoting just and reasonable </w:t>
      </w:r>
      <w:proofErr w:type="gramStart"/>
      <w:r w:rsidRPr="00FD54E6">
        <w:rPr>
          <w:rFonts w:ascii="Georgia" w:hAnsi="Georgia"/>
          <w:sz w:val="24"/>
          <w:szCs w:val="24"/>
        </w:rPr>
        <w:t>rates, and</w:t>
      </w:r>
      <w:proofErr w:type="gramEnd"/>
      <w:r w:rsidRPr="00FD54E6">
        <w:rPr>
          <w:rFonts w:ascii="Georgia" w:hAnsi="Georgia"/>
          <w:sz w:val="24"/>
          <w:szCs w:val="24"/>
        </w:rPr>
        <w:t xml:space="preserve"> supporting efforts for utilities to be accountable to the public interest.</w:t>
      </w:r>
      <w:r>
        <w:rPr>
          <w:rFonts w:ascii="Georgia" w:hAnsi="Georgia"/>
          <w:sz w:val="24"/>
          <w:szCs w:val="24"/>
        </w:rPr>
        <w:t xml:space="preserve"> Financial details of our operations are available at our website.</w:t>
      </w:r>
      <w:r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63EF17EB" w14:textId="77777777" w:rsidR="00FC5BCF" w:rsidRDefault="00FC5BCF" w:rsidP="0044474A">
      <w:pPr>
        <w:rPr>
          <w:rFonts w:ascii="Georgia" w:hAnsi="Georgia"/>
          <w:sz w:val="24"/>
          <w:szCs w:val="24"/>
        </w:rPr>
      </w:pPr>
    </w:p>
    <w:p w14:paraId="523FFE00" w14:textId="6380291D" w:rsidR="00FD54E6" w:rsidRDefault="00EF2BD2" w:rsidP="000B43E7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Federal law provides unique regulatory treatment of utilities in comparison to nearly all other </w:t>
      </w:r>
      <w:r w:rsidR="00114FE0">
        <w:rPr>
          <w:rFonts w:ascii="Georgia" w:hAnsi="Georgia"/>
          <w:sz w:val="24"/>
          <w:szCs w:val="24"/>
        </w:rPr>
        <w:t>companies in</w:t>
      </w:r>
      <w:r>
        <w:rPr>
          <w:rFonts w:ascii="Georgia" w:hAnsi="Georgia"/>
          <w:sz w:val="24"/>
          <w:szCs w:val="24"/>
        </w:rPr>
        <w:t xml:space="preserve"> our economy, as </w:t>
      </w:r>
      <w:r w:rsidRPr="00EF2BD2">
        <w:rPr>
          <w:rFonts w:ascii="Georgia" w:hAnsi="Georgia"/>
          <w:sz w:val="24"/>
          <w:szCs w:val="24"/>
        </w:rPr>
        <w:t xml:space="preserve">Section 201 of the Federal Power Act </w:t>
      </w:r>
      <w:r w:rsidR="00FC5BCF">
        <w:rPr>
          <w:rFonts w:ascii="Georgia" w:hAnsi="Georgia"/>
          <w:sz w:val="24"/>
          <w:szCs w:val="24"/>
        </w:rPr>
        <w:t>commands</w:t>
      </w:r>
      <w:r w:rsidRPr="00EF2BD2">
        <w:rPr>
          <w:rFonts w:ascii="Georgia" w:hAnsi="Georgia"/>
          <w:sz w:val="24"/>
          <w:szCs w:val="24"/>
        </w:rPr>
        <w:t xml:space="preserve"> “that the business of transmitting and selling electric energy for ultimate distribution to the public is affected with a public interest</w:t>
      </w:r>
      <w:r w:rsidR="00C00034">
        <w:rPr>
          <w:rFonts w:ascii="Georgia" w:hAnsi="Georgia"/>
          <w:sz w:val="24"/>
          <w:szCs w:val="24"/>
        </w:rPr>
        <w:t>,</w:t>
      </w:r>
      <w:r w:rsidRPr="00EF2BD2">
        <w:rPr>
          <w:rFonts w:ascii="Georgia" w:hAnsi="Georgia"/>
          <w:sz w:val="24"/>
          <w:szCs w:val="24"/>
        </w:rPr>
        <w:t>”</w:t>
      </w:r>
      <w:r>
        <w:rPr>
          <w:rStyle w:val="FootnoteReference"/>
          <w:rFonts w:ascii="Georgia" w:hAnsi="Georgia"/>
          <w:sz w:val="24"/>
          <w:szCs w:val="24"/>
        </w:rPr>
        <w:footnoteReference w:id="2"/>
      </w:r>
      <w:r w:rsidR="00C00034">
        <w:rPr>
          <w:rFonts w:ascii="Georgia" w:hAnsi="Georgia"/>
          <w:sz w:val="24"/>
          <w:szCs w:val="24"/>
        </w:rPr>
        <w:t xml:space="preserve"> and the Natural Gas Act asserts that “</w:t>
      </w:r>
      <w:r w:rsidR="00C00034" w:rsidRPr="00C00034">
        <w:rPr>
          <w:rFonts w:ascii="Georgia" w:hAnsi="Georgia"/>
          <w:sz w:val="24"/>
          <w:szCs w:val="24"/>
        </w:rPr>
        <w:t>the business of transporting and selling natural gas for ultimate distribution to the public is affected with a public interest</w:t>
      </w:r>
      <w:r w:rsidR="004F0589">
        <w:rPr>
          <w:rFonts w:ascii="Georgia" w:hAnsi="Georgia"/>
          <w:sz w:val="24"/>
          <w:szCs w:val="24"/>
        </w:rPr>
        <w:t>.”</w:t>
      </w:r>
      <w:r w:rsidR="004F0589">
        <w:rPr>
          <w:rStyle w:val="FootnoteReference"/>
          <w:rFonts w:ascii="Georgia" w:hAnsi="Georgia"/>
          <w:sz w:val="24"/>
          <w:szCs w:val="24"/>
        </w:rPr>
        <w:footnoteReference w:id="3"/>
      </w:r>
      <w:r>
        <w:rPr>
          <w:rFonts w:ascii="Georgia" w:hAnsi="Georgia"/>
          <w:sz w:val="24"/>
          <w:szCs w:val="24"/>
        </w:rPr>
        <w:t xml:space="preserve"> The Commission’s ultimate mandate</w:t>
      </w:r>
      <w:r w:rsidR="00FC5BCF">
        <w:rPr>
          <w:rFonts w:ascii="Georgia" w:hAnsi="Georgia"/>
          <w:sz w:val="24"/>
          <w:szCs w:val="24"/>
        </w:rPr>
        <w:t>, therefore,</w:t>
      </w:r>
      <w:r>
        <w:rPr>
          <w:rFonts w:ascii="Georgia" w:hAnsi="Georgia"/>
          <w:sz w:val="24"/>
          <w:szCs w:val="24"/>
        </w:rPr>
        <w:t xml:space="preserve"> is to</w:t>
      </w:r>
      <w:r w:rsidR="00FC5BCF">
        <w:rPr>
          <w:rFonts w:ascii="Georgia" w:hAnsi="Georgia"/>
          <w:sz w:val="24"/>
          <w:szCs w:val="24"/>
        </w:rPr>
        <w:t xml:space="preserve"> ensure that corporations under its jurisdiction are serving the public interest, and to</w:t>
      </w:r>
      <w:r>
        <w:rPr>
          <w:rFonts w:ascii="Georgia" w:hAnsi="Georgia"/>
          <w:sz w:val="24"/>
          <w:szCs w:val="24"/>
        </w:rPr>
        <w:t xml:space="preserve"> protect consumers </w:t>
      </w:r>
      <w:r w:rsidR="00FC5BCF">
        <w:rPr>
          <w:rFonts w:ascii="Georgia" w:hAnsi="Georgia"/>
          <w:sz w:val="24"/>
          <w:szCs w:val="24"/>
        </w:rPr>
        <w:t>from unjust and unreasonable rates</w:t>
      </w:r>
      <w:r>
        <w:rPr>
          <w:rFonts w:ascii="Georgia" w:hAnsi="Georgia"/>
          <w:sz w:val="24"/>
          <w:szCs w:val="24"/>
        </w:rPr>
        <w:t>.</w:t>
      </w:r>
      <w:r w:rsidR="00FC5BCF">
        <w:rPr>
          <w:rStyle w:val="FootnoteReference"/>
          <w:rFonts w:ascii="Georgia" w:hAnsi="Georgia"/>
          <w:sz w:val="24"/>
          <w:szCs w:val="24"/>
        </w:rPr>
        <w:footnoteReference w:id="4"/>
      </w:r>
      <w:r w:rsidR="005C4858">
        <w:rPr>
          <w:rFonts w:ascii="Georgia" w:hAnsi="Georgia"/>
          <w:sz w:val="24"/>
          <w:szCs w:val="24"/>
        </w:rPr>
        <w:t xml:space="preserve"> </w:t>
      </w:r>
      <w:r w:rsidR="005A31AD">
        <w:rPr>
          <w:rFonts w:ascii="Georgia" w:hAnsi="Georgia"/>
          <w:sz w:val="24"/>
          <w:szCs w:val="24"/>
        </w:rPr>
        <w:t>Few, if any, other industries are tasked with similar public interest mandates from Congress.</w:t>
      </w:r>
      <w:r w:rsidR="00FC5BCF">
        <w:rPr>
          <w:rFonts w:ascii="Georgia" w:hAnsi="Georgia"/>
          <w:sz w:val="24"/>
          <w:szCs w:val="24"/>
        </w:rPr>
        <w:t xml:space="preserve"> </w:t>
      </w:r>
      <w:r w:rsidR="00A70F10">
        <w:rPr>
          <w:rFonts w:ascii="Georgia" w:hAnsi="Georgia"/>
          <w:sz w:val="24"/>
          <w:szCs w:val="24"/>
        </w:rPr>
        <w:t xml:space="preserve">As such, </w:t>
      </w:r>
      <w:r w:rsidR="00FA2507">
        <w:rPr>
          <w:rFonts w:ascii="Georgia" w:hAnsi="Georgia"/>
          <w:sz w:val="24"/>
          <w:szCs w:val="24"/>
        </w:rPr>
        <w:t>Commission-jurisdictional utilities must play by different rules from other corporations.</w:t>
      </w:r>
    </w:p>
    <w:p w14:paraId="6E9CD14A" w14:textId="2CAC2EDC" w:rsidR="008F008B" w:rsidRPr="008F008B" w:rsidRDefault="00FE63DC" w:rsidP="000B43E7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77ED6">
        <w:rPr>
          <w:rFonts w:ascii="Georgia" w:hAnsi="Georgia"/>
          <w:sz w:val="24"/>
          <w:szCs w:val="24"/>
        </w:rPr>
        <w:t xml:space="preserve">The </w:t>
      </w:r>
      <w:r w:rsidR="00B32A9F">
        <w:rPr>
          <w:rFonts w:ascii="Georgia" w:hAnsi="Georgia"/>
          <w:sz w:val="24"/>
          <w:szCs w:val="24"/>
        </w:rPr>
        <w:t xml:space="preserve">Commission </w:t>
      </w:r>
      <w:r w:rsidR="00DF1D53">
        <w:rPr>
          <w:rFonts w:ascii="Georgia" w:hAnsi="Georgia"/>
          <w:sz w:val="24"/>
          <w:szCs w:val="24"/>
        </w:rPr>
        <w:t xml:space="preserve">currently </w:t>
      </w:r>
      <w:r w:rsidR="00B32A9F">
        <w:rPr>
          <w:rFonts w:ascii="Georgia" w:hAnsi="Georgia"/>
          <w:sz w:val="24"/>
          <w:szCs w:val="24"/>
        </w:rPr>
        <w:t>relies upon utilities to make the initial</w:t>
      </w:r>
      <w:r w:rsidR="00DF1D53">
        <w:rPr>
          <w:rFonts w:ascii="Georgia" w:hAnsi="Georgia"/>
          <w:sz w:val="24"/>
          <w:szCs w:val="24"/>
        </w:rPr>
        <w:t xml:space="preserve"> determination as to whether </w:t>
      </w:r>
      <w:r w:rsidR="006C5EF2">
        <w:rPr>
          <w:rFonts w:ascii="Georgia" w:hAnsi="Georgia"/>
          <w:sz w:val="24"/>
          <w:szCs w:val="24"/>
        </w:rPr>
        <w:t xml:space="preserve">expenses related to trade association dues are recoverable from </w:t>
      </w:r>
      <w:r w:rsidR="006C5EF2">
        <w:rPr>
          <w:rFonts w:ascii="Georgia" w:hAnsi="Georgia"/>
          <w:sz w:val="24"/>
          <w:szCs w:val="24"/>
        </w:rPr>
        <w:lastRenderedPageBreak/>
        <w:t>consumers (</w:t>
      </w:r>
      <w:r w:rsidR="00205E8B">
        <w:rPr>
          <w:rFonts w:ascii="Georgia" w:hAnsi="Georgia"/>
          <w:sz w:val="24"/>
          <w:szCs w:val="24"/>
        </w:rPr>
        <w:t xml:space="preserve">classified under </w:t>
      </w:r>
      <w:r w:rsidR="00205E8B" w:rsidRPr="00205E8B">
        <w:rPr>
          <w:rFonts w:ascii="Georgia" w:hAnsi="Georgia"/>
          <w:sz w:val="24"/>
          <w:szCs w:val="24"/>
        </w:rPr>
        <w:t>Account 930.2</w:t>
      </w:r>
      <w:r w:rsidR="00205E8B">
        <w:rPr>
          <w:rFonts w:ascii="Georgia" w:hAnsi="Georgia"/>
          <w:sz w:val="24"/>
          <w:szCs w:val="24"/>
        </w:rPr>
        <w:t xml:space="preserve"> in the </w:t>
      </w:r>
      <w:r w:rsidR="00205E8B" w:rsidRPr="001E5FD4">
        <w:rPr>
          <w:rFonts w:ascii="Georgia" w:hAnsi="Georgia"/>
          <w:sz w:val="24"/>
          <w:szCs w:val="24"/>
        </w:rPr>
        <w:t>Uniform System of Accounts</w:t>
      </w:r>
      <w:r w:rsidR="00205E8B">
        <w:rPr>
          <w:rFonts w:ascii="Georgia" w:hAnsi="Georgia"/>
          <w:sz w:val="24"/>
          <w:szCs w:val="24"/>
        </w:rPr>
        <w:t>)</w:t>
      </w:r>
      <w:r w:rsidR="007A3B71">
        <w:rPr>
          <w:rFonts w:ascii="Georgia" w:hAnsi="Georgia"/>
          <w:sz w:val="24"/>
          <w:szCs w:val="24"/>
        </w:rPr>
        <w:t xml:space="preserve">, or </w:t>
      </w:r>
      <w:r w:rsidR="007A3B71" w:rsidRPr="004473CE">
        <w:rPr>
          <w:rFonts w:ascii="Georgia" w:hAnsi="Georgia"/>
          <w:sz w:val="24"/>
          <w:szCs w:val="24"/>
        </w:rPr>
        <w:t>nonrecoverable</w:t>
      </w:r>
      <w:r w:rsidR="007A3B71">
        <w:rPr>
          <w:rFonts w:ascii="Georgia" w:hAnsi="Georgia"/>
          <w:sz w:val="24"/>
          <w:szCs w:val="24"/>
        </w:rPr>
        <w:t xml:space="preserve"> (reported in </w:t>
      </w:r>
      <w:r w:rsidR="008F008B" w:rsidRPr="008F008B">
        <w:rPr>
          <w:rFonts w:ascii="Georgia" w:hAnsi="Georgia"/>
          <w:sz w:val="24"/>
          <w:szCs w:val="24"/>
        </w:rPr>
        <w:t>Account 426.4</w:t>
      </w:r>
      <w:r w:rsidR="008F008B">
        <w:rPr>
          <w:rFonts w:ascii="Georgia" w:hAnsi="Georgia"/>
          <w:sz w:val="24"/>
          <w:szCs w:val="24"/>
        </w:rPr>
        <w:t>, e</w:t>
      </w:r>
      <w:r w:rsidR="008F008B" w:rsidRPr="008F008B">
        <w:rPr>
          <w:rFonts w:ascii="Georgia" w:hAnsi="Georgia"/>
          <w:sz w:val="24"/>
          <w:szCs w:val="24"/>
        </w:rPr>
        <w:t>xpenditures for certain civic, political</w:t>
      </w:r>
    </w:p>
    <w:p w14:paraId="2CA2C025" w14:textId="1FA84F30" w:rsidR="00646BFD" w:rsidRDefault="008F008B" w:rsidP="000B43E7">
      <w:pPr>
        <w:spacing w:line="360" w:lineRule="auto"/>
        <w:rPr>
          <w:rFonts w:ascii="Georgia" w:hAnsi="Georgia"/>
          <w:sz w:val="24"/>
          <w:szCs w:val="24"/>
        </w:rPr>
      </w:pPr>
      <w:r w:rsidRPr="008F008B">
        <w:rPr>
          <w:rFonts w:ascii="Georgia" w:hAnsi="Georgia"/>
          <w:sz w:val="24"/>
          <w:szCs w:val="24"/>
        </w:rPr>
        <w:t>and related activities</w:t>
      </w:r>
      <w:r>
        <w:rPr>
          <w:rFonts w:ascii="Georgia" w:hAnsi="Georgia"/>
          <w:sz w:val="24"/>
          <w:szCs w:val="24"/>
        </w:rPr>
        <w:t>).</w:t>
      </w:r>
      <w:r w:rsidR="00433E1C">
        <w:rPr>
          <w:rFonts w:ascii="Georgia" w:hAnsi="Georgia"/>
          <w:sz w:val="24"/>
          <w:szCs w:val="24"/>
        </w:rPr>
        <w:t xml:space="preserve"> Challenges to the utility’s </w:t>
      </w:r>
      <w:r w:rsidR="00035DB6">
        <w:rPr>
          <w:rFonts w:ascii="Georgia" w:hAnsi="Georgia"/>
          <w:sz w:val="24"/>
          <w:szCs w:val="24"/>
        </w:rPr>
        <w:t>decision can only be made after the fact, through a Commission audit</w:t>
      </w:r>
      <w:r w:rsidR="0048743E">
        <w:rPr>
          <w:rFonts w:ascii="Georgia" w:hAnsi="Georgia"/>
          <w:sz w:val="24"/>
          <w:szCs w:val="24"/>
        </w:rPr>
        <w:t xml:space="preserve">, </w:t>
      </w:r>
      <w:r w:rsidR="0048743E" w:rsidRPr="0048743E">
        <w:rPr>
          <w:rFonts w:ascii="Georgia" w:hAnsi="Georgia"/>
          <w:sz w:val="24"/>
          <w:szCs w:val="24"/>
        </w:rPr>
        <w:t xml:space="preserve">a </w:t>
      </w:r>
      <w:r w:rsidR="007412F9">
        <w:rPr>
          <w:rFonts w:ascii="Georgia" w:hAnsi="Georgia"/>
          <w:sz w:val="24"/>
          <w:szCs w:val="24"/>
        </w:rPr>
        <w:t>protest</w:t>
      </w:r>
      <w:r w:rsidR="0048743E" w:rsidRPr="0048743E">
        <w:rPr>
          <w:rFonts w:ascii="Georgia" w:hAnsi="Georgia"/>
          <w:sz w:val="24"/>
          <w:szCs w:val="24"/>
        </w:rPr>
        <w:t xml:space="preserve"> to a rate filing, or complaint</w:t>
      </w:r>
      <w:r w:rsidR="006A502A">
        <w:rPr>
          <w:rFonts w:ascii="Georgia" w:hAnsi="Georgia"/>
          <w:sz w:val="24"/>
          <w:szCs w:val="24"/>
        </w:rPr>
        <w:t xml:space="preserve">s filed under Section 206 of the Federal Power Act or Section 5 of the Natural Gas Act. </w:t>
      </w:r>
      <w:r w:rsidR="00C02966">
        <w:rPr>
          <w:rFonts w:ascii="Georgia" w:hAnsi="Georgia"/>
          <w:sz w:val="24"/>
          <w:szCs w:val="24"/>
        </w:rPr>
        <w:t>The Commission’s deferral to utilities to establish</w:t>
      </w:r>
      <w:r w:rsidR="00D90D5D">
        <w:rPr>
          <w:rFonts w:ascii="Georgia" w:hAnsi="Georgia"/>
          <w:sz w:val="24"/>
          <w:szCs w:val="24"/>
        </w:rPr>
        <w:t xml:space="preserve"> what expenses are recoverable from consumers erects a</w:t>
      </w:r>
      <w:r w:rsidR="00F816F2">
        <w:rPr>
          <w:rFonts w:ascii="Georgia" w:hAnsi="Georgia"/>
          <w:sz w:val="24"/>
          <w:szCs w:val="24"/>
        </w:rPr>
        <w:t>n onerous</w:t>
      </w:r>
      <w:r w:rsidR="00D90D5D">
        <w:rPr>
          <w:rFonts w:ascii="Georgia" w:hAnsi="Georgia"/>
          <w:sz w:val="24"/>
          <w:szCs w:val="24"/>
        </w:rPr>
        <w:t xml:space="preserve"> </w:t>
      </w:r>
      <w:r w:rsidR="00EA0F68">
        <w:rPr>
          <w:rFonts w:ascii="Georgia" w:hAnsi="Georgia"/>
          <w:sz w:val="24"/>
          <w:szCs w:val="24"/>
        </w:rPr>
        <w:t>challenge</w:t>
      </w:r>
      <w:r w:rsidR="00C446F7">
        <w:rPr>
          <w:rFonts w:ascii="Georgia" w:hAnsi="Georgia"/>
          <w:sz w:val="24"/>
          <w:szCs w:val="24"/>
        </w:rPr>
        <w:t xml:space="preserve"> for consumers concerned whether they are being fairly charged</w:t>
      </w:r>
      <w:r w:rsidR="00EA0F68">
        <w:rPr>
          <w:rFonts w:ascii="Georgia" w:hAnsi="Georgia"/>
          <w:sz w:val="24"/>
          <w:szCs w:val="24"/>
        </w:rPr>
        <w:t xml:space="preserve">. </w:t>
      </w:r>
    </w:p>
    <w:p w14:paraId="1B1CDD12" w14:textId="77777777" w:rsidR="00646BFD" w:rsidRDefault="00646BFD" w:rsidP="008F008B">
      <w:pPr>
        <w:rPr>
          <w:rFonts w:ascii="Georgia" w:hAnsi="Georgia"/>
          <w:sz w:val="24"/>
          <w:szCs w:val="24"/>
        </w:rPr>
      </w:pPr>
    </w:p>
    <w:p w14:paraId="2EC92AA3" w14:textId="12836FA6" w:rsidR="00FD54E6" w:rsidRDefault="00EA0F68" w:rsidP="000B43E7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Given recent </w:t>
      </w:r>
      <w:r w:rsidR="00C446F7">
        <w:rPr>
          <w:rFonts w:ascii="Georgia" w:hAnsi="Georgia"/>
          <w:sz w:val="24"/>
          <w:szCs w:val="24"/>
        </w:rPr>
        <w:t xml:space="preserve">utility </w:t>
      </w:r>
      <w:r>
        <w:rPr>
          <w:rFonts w:ascii="Georgia" w:hAnsi="Georgia"/>
          <w:sz w:val="24"/>
          <w:szCs w:val="24"/>
        </w:rPr>
        <w:t xml:space="preserve">scandals involving improper </w:t>
      </w:r>
      <w:r w:rsidR="00C446F7">
        <w:rPr>
          <w:rFonts w:ascii="Georgia" w:hAnsi="Georgia"/>
          <w:sz w:val="24"/>
          <w:szCs w:val="24"/>
        </w:rPr>
        <w:t xml:space="preserve">rate recovery of </w:t>
      </w:r>
      <w:r w:rsidR="00646BFD">
        <w:rPr>
          <w:rFonts w:ascii="Georgia" w:hAnsi="Georgia"/>
          <w:sz w:val="24"/>
          <w:szCs w:val="24"/>
        </w:rPr>
        <w:t xml:space="preserve">lobbying and advocacy expenses, </w:t>
      </w:r>
      <w:r w:rsidR="00FC5BCF">
        <w:rPr>
          <w:rFonts w:ascii="Georgia" w:hAnsi="Georgia"/>
          <w:sz w:val="24"/>
          <w:szCs w:val="24"/>
        </w:rPr>
        <w:t xml:space="preserve">Public Citizen supports </w:t>
      </w:r>
      <w:r w:rsidR="00CD0A8F">
        <w:rPr>
          <w:rFonts w:ascii="Georgia" w:hAnsi="Georgia"/>
          <w:sz w:val="24"/>
          <w:szCs w:val="24"/>
        </w:rPr>
        <w:t xml:space="preserve">five </w:t>
      </w:r>
      <w:r w:rsidR="004F11D3">
        <w:rPr>
          <w:rFonts w:ascii="Georgia" w:hAnsi="Georgia"/>
          <w:sz w:val="24"/>
          <w:szCs w:val="24"/>
        </w:rPr>
        <w:t xml:space="preserve">reforms to the Commission’s reporting </w:t>
      </w:r>
      <w:r w:rsidR="00B11026">
        <w:rPr>
          <w:rFonts w:ascii="Georgia" w:hAnsi="Georgia"/>
          <w:sz w:val="24"/>
          <w:szCs w:val="24"/>
        </w:rPr>
        <w:t>requirements for utilities’ expenditures on</w:t>
      </w:r>
      <w:r w:rsidR="000C0975">
        <w:rPr>
          <w:rFonts w:ascii="Georgia" w:hAnsi="Georgia"/>
          <w:sz w:val="24"/>
          <w:szCs w:val="24"/>
        </w:rPr>
        <w:t xml:space="preserve"> trade association dues and political expenses to ensure that consumers </w:t>
      </w:r>
      <w:r w:rsidR="004045B4">
        <w:rPr>
          <w:rFonts w:ascii="Georgia" w:hAnsi="Georgia"/>
          <w:sz w:val="24"/>
          <w:szCs w:val="24"/>
        </w:rPr>
        <w:t xml:space="preserve">are protected from unjust and unreasonable rates. </w:t>
      </w:r>
    </w:p>
    <w:p w14:paraId="339783F1" w14:textId="77777777" w:rsidR="004045B4" w:rsidRDefault="004045B4" w:rsidP="0044474A">
      <w:pPr>
        <w:rPr>
          <w:rFonts w:ascii="Georgia" w:hAnsi="Georgia"/>
          <w:sz w:val="24"/>
          <w:szCs w:val="24"/>
        </w:rPr>
      </w:pPr>
    </w:p>
    <w:p w14:paraId="57489186" w14:textId="602629E3" w:rsidR="004045B4" w:rsidRDefault="004045B4" w:rsidP="000B43E7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CD0A8F">
        <w:rPr>
          <w:rFonts w:ascii="Georgia" w:hAnsi="Georgia"/>
          <w:b/>
          <w:bCs/>
          <w:sz w:val="24"/>
          <w:szCs w:val="24"/>
        </w:rPr>
        <w:t xml:space="preserve">First, </w:t>
      </w:r>
      <w:r w:rsidR="00D709EF" w:rsidRPr="00CD0A8F">
        <w:rPr>
          <w:rFonts w:ascii="Georgia" w:hAnsi="Georgia"/>
          <w:b/>
          <w:bCs/>
          <w:sz w:val="24"/>
          <w:szCs w:val="24"/>
        </w:rPr>
        <w:t>the Commission</w:t>
      </w:r>
      <w:r w:rsidR="00CD3343" w:rsidRPr="00CD0A8F">
        <w:rPr>
          <w:rFonts w:ascii="Georgia" w:hAnsi="Georgia"/>
          <w:b/>
          <w:bCs/>
          <w:sz w:val="24"/>
          <w:szCs w:val="24"/>
        </w:rPr>
        <w:t xml:space="preserve"> </w:t>
      </w:r>
      <w:r w:rsidR="006E2B5E" w:rsidRPr="00CD0A8F">
        <w:rPr>
          <w:rFonts w:ascii="Georgia" w:hAnsi="Georgia"/>
          <w:b/>
          <w:bCs/>
          <w:sz w:val="24"/>
          <w:szCs w:val="24"/>
        </w:rPr>
        <w:t xml:space="preserve">should </w:t>
      </w:r>
      <w:r w:rsidR="00F31F43" w:rsidRPr="00CD0A8F">
        <w:rPr>
          <w:rFonts w:ascii="Georgia" w:hAnsi="Georgia"/>
          <w:b/>
          <w:bCs/>
          <w:sz w:val="24"/>
          <w:szCs w:val="24"/>
        </w:rPr>
        <w:t>require the</w:t>
      </w:r>
      <w:r w:rsidR="00CD3343" w:rsidRPr="00CD0A8F">
        <w:rPr>
          <w:rFonts w:ascii="Georgia" w:hAnsi="Georgia"/>
          <w:b/>
          <w:bCs/>
          <w:sz w:val="24"/>
          <w:szCs w:val="24"/>
        </w:rPr>
        <w:t xml:space="preserve"> </w:t>
      </w:r>
      <w:r w:rsidR="004D0B24" w:rsidRPr="00CD0A8F">
        <w:rPr>
          <w:rFonts w:ascii="Georgia" w:hAnsi="Georgia"/>
          <w:b/>
          <w:bCs/>
          <w:sz w:val="24"/>
          <w:szCs w:val="24"/>
        </w:rPr>
        <w:t xml:space="preserve">default </w:t>
      </w:r>
      <w:r w:rsidR="00CD3343" w:rsidRPr="00CD0A8F">
        <w:rPr>
          <w:rFonts w:ascii="Georgia" w:hAnsi="Georgia"/>
          <w:b/>
          <w:bCs/>
          <w:sz w:val="24"/>
          <w:szCs w:val="24"/>
        </w:rPr>
        <w:t>report</w:t>
      </w:r>
      <w:r w:rsidR="004D0B24" w:rsidRPr="00CD0A8F">
        <w:rPr>
          <w:rFonts w:ascii="Georgia" w:hAnsi="Georgia"/>
          <w:b/>
          <w:bCs/>
          <w:sz w:val="24"/>
          <w:szCs w:val="24"/>
        </w:rPr>
        <w:t>ing of all</w:t>
      </w:r>
      <w:r w:rsidR="00CD3343" w:rsidRPr="00CD0A8F">
        <w:rPr>
          <w:rFonts w:ascii="Georgia" w:hAnsi="Georgia"/>
          <w:b/>
          <w:bCs/>
          <w:sz w:val="24"/>
          <w:szCs w:val="24"/>
        </w:rPr>
        <w:t xml:space="preserve"> trade association dues</w:t>
      </w:r>
      <w:r w:rsidR="00D709EF" w:rsidRPr="00CD0A8F">
        <w:rPr>
          <w:rFonts w:ascii="Georgia" w:hAnsi="Georgia"/>
          <w:b/>
          <w:bCs/>
          <w:sz w:val="24"/>
          <w:szCs w:val="24"/>
        </w:rPr>
        <w:t xml:space="preserve"> </w:t>
      </w:r>
      <w:r w:rsidR="004D0B24" w:rsidRPr="00CD0A8F">
        <w:rPr>
          <w:rFonts w:ascii="Georgia" w:hAnsi="Georgia"/>
          <w:b/>
          <w:bCs/>
          <w:sz w:val="24"/>
          <w:szCs w:val="24"/>
        </w:rPr>
        <w:t>in Account 426.4, for nonrecoverable expenses.</w:t>
      </w:r>
      <w:r w:rsidR="00544DF3">
        <w:rPr>
          <w:rFonts w:ascii="Georgia" w:hAnsi="Georgia"/>
          <w:sz w:val="24"/>
          <w:szCs w:val="24"/>
        </w:rPr>
        <w:t xml:space="preserve"> </w:t>
      </w:r>
      <w:r w:rsidR="00F31F43">
        <w:rPr>
          <w:rFonts w:ascii="Georgia" w:hAnsi="Georgia"/>
          <w:sz w:val="24"/>
          <w:szCs w:val="24"/>
        </w:rPr>
        <w:t>Doing so</w:t>
      </w:r>
      <w:r w:rsidR="00544DF3">
        <w:rPr>
          <w:rFonts w:ascii="Georgia" w:hAnsi="Georgia"/>
          <w:sz w:val="24"/>
          <w:szCs w:val="24"/>
        </w:rPr>
        <w:t xml:space="preserve"> will </w:t>
      </w:r>
      <w:r w:rsidR="00691A1F">
        <w:rPr>
          <w:rFonts w:ascii="Georgia" w:hAnsi="Georgia"/>
          <w:sz w:val="24"/>
          <w:szCs w:val="24"/>
        </w:rPr>
        <w:t xml:space="preserve">correctly shift the burden onto utilities to provide justification for requesting expenses in </w:t>
      </w:r>
      <w:r w:rsidR="00691A1F" w:rsidRPr="00205E8B">
        <w:rPr>
          <w:rFonts w:ascii="Georgia" w:hAnsi="Georgia"/>
          <w:sz w:val="24"/>
          <w:szCs w:val="24"/>
        </w:rPr>
        <w:t>Account 930.2</w:t>
      </w:r>
      <w:r w:rsidR="000E5187">
        <w:rPr>
          <w:rFonts w:ascii="Georgia" w:hAnsi="Georgia"/>
          <w:sz w:val="24"/>
          <w:szCs w:val="24"/>
        </w:rPr>
        <w:t xml:space="preserve"> for recoverable charges.</w:t>
      </w:r>
    </w:p>
    <w:p w14:paraId="0832A681" w14:textId="77777777" w:rsidR="00427FE7" w:rsidRDefault="00427FE7" w:rsidP="000B43E7">
      <w:pPr>
        <w:spacing w:line="360" w:lineRule="auto"/>
        <w:rPr>
          <w:rFonts w:ascii="Georgia" w:hAnsi="Georgia"/>
          <w:sz w:val="24"/>
          <w:szCs w:val="24"/>
        </w:rPr>
      </w:pPr>
    </w:p>
    <w:p w14:paraId="13FB4813" w14:textId="0EC47523" w:rsidR="00FD54E6" w:rsidRDefault="0070244A" w:rsidP="000B43E7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23DFD">
        <w:rPr>
          <w:rFonts w:ascii="Georgia" w:hAnsi="Georgia"/>
          <w:b/>
          <w:bCs/>
          <w:sz w:val="24"/>
          <w:szCs w:val="24"/>
        </w:rPr>
        <w:t xml:space="preserve">Second, </w:t>
      </w:r>
      <w:r w:rsidR="00EA26EB">
        <w:rPr>
          <w:rFonts w:ascii="Georgia" w:hAnsi="Georgia"/>
          <w:b/>
          <w:bCs/>
          <w:sz w:val="24"/>
          <w:szCs w:val="24"/>
        </w:rPr>
        <w:t xml:space="preserve">for any charges deemed recoverable, </w:t>
      </w:r>
      <w:r w:rsidRPr="00923DFD">
        <w:rPr>
          <w:rFonts w:ascii="Georgia" w:hAnsi="Georgia"/>
          <w:b/>
          <w:bCs/>
          <w:sz w:val="24"/>
          <w:szCs w:val="24"/>
        </w:rPr>
        <w:t>the Commission must require detailed public disclosure of</w:t>
      </w:r>
      <w:r w:rsidR="000954DB" w:rsidRPr="00923DFD">
        <w:rPr>
          <w:rFonts w:ascii="Georgia" w:hAnsi="Georgia"/>
          <w:b/>
          <w:bCs/>
          <w:sz w:val="24"/>
          <w:szCs w:val="24"/>
        </w:rPr>
        <w:t xml:space="preserve"> all expenses in Account 930.2.</w:t>
      </w:r>
      <w:r w:rsidR="000954DB">
        <w:rPr>
          <w:rFonts w:ascii="Georgia" w:hAnsi="Georgia"/>
          <w:sz w:val="24"/>
          <w:szCs w:val="24"/>
        </w:rPr>
        <w:t xml:space="preserve"> A cursory review of </w:t>
      </w:r>
      <w:r w:rsidR="002866A8">
        <w:rPr>
          <w:rFonts w:ascii="Georgia" w:hAnsi="Georgia"/>
          <w:sz w:val="24"/>
          <w:szCs w:val="24"/>
        </w:rPr>
        <w:t>a</w:t>
      </w:r>
      <w:r w:rsidR="007743FB">
        <w:rPr>
          <w:rFonts w:ascii="Georgia" w:hAnsi="Georgia"/>
          <w:sz w:val="24"/>
          <w:szCs w:val="24"/>
        </w:rPr>
        <w:t xml:space="preserve">nnual </w:t>
      </w:r>
      <w:r w:rsidR="002866A8">
        <w:rPr>
          <w:rFonts w:ascii="Georgia" w:hAnsi="Georgia"/>
          <w:sz w:val="24"/>
          <w:szCs w:val="24"/>
        </w:rPr>
        <w:t>r</w:t>
      </w:r>
      <w:r w:rsidR="007743FB">
        <w:rPr>
          <w:rFonts w:ascii="Georgia" w:hAnsi="Georgia"/>
          <w:sz w:val="24"/>
          <w:szCs w:val="24"/>
        </w:rPr>
        <w:t xml:space="preserve">eports </w:t>
      </w:r>
      <w:r w:rsidR="002866A8">
        <w:rPr>
          <w:rFonts w:ascii="Georgia" w:hAnsi="Georgia"/>
          <w:sz w:val="24"/>
          <w:szCs w:val="24"/>
        </w:rPr>
        <w:t>filed</w:t>
      </w:r>
      <w:r w:rsidR="00CC1108">
        <w:rPr>
          <w:rFonts w:ascii="Georgia" w:hAnsi="Georgia"/>
          <w:sz w:val="24"/>
          <w:szCs w:val="24"/>
        </w:rPr>
        <w:t xml:space="preserve"> at the Commission by utilities</w:t>
      </w:r>
      <w:r w:rsidR="007743FB">
        <w:rPr>
          <w:rFonts w:ascii="Georgia" w:hAnsi="Georgia"/>
          <w:sz w:val="24"/>
          <w:szCs w:val="24"/>
        </w:rPr>
        <w:t xml:space="preserve"> finds haphazard reporting, with some utilities providing </w:t>
      </w:r>
      <w:r w:rsidR="00022B13">
        <w:rPr>
          <w:rFonts w:ascii="Georgia" w:hAnsi="Georgia"/>
          <w:sz w:val="24"/>
          <w:szCs w:val="24"/>
        </w:rPr>
        <w:t xml:space="preserve">full disclosure of all such expenses, and others providing no detail whatsoever. </w:t>
      </w:r>
      <w:r w:rsidR="00CC1108">
        <w:rPr>
          <w:rFonts w:ascii="Georgia" w:hAnsi="Georgia"/>
          <w:sz w:val="24"/>
          <w:szCs w:val="24"/>
        </w:rPr>
        <w:t xml:space="preserve">The public interest requires full public disclosure of </w:t>
      </w:r>
      <w:r w:rsidR="009D3BE4">
        <w:rPr>
          <w:rFonts w:ascii="Georgia" w:hAnsi="Georgia"/>
          <w:sz w:val="24"/>
          <w:szCs w:val="24"/>
        </w:rPr>
        <w:t>trad</w:t>
      </w:r>
      <w:r w:rsidR="00E6702A">
        <w:rPr>
          <w:rFonts w:ascii="Georgia" w:hAnsi="Georgia"/>
          <w:sz w:val="24"/>
          <w:szCs w:val="24"/>
        </w:rPr>
        <w:t>e</w:t>
      </w:r>
      <w:r w:rsidR="009D3BE4">
        <w:rPr>
          <w:rFonts w:ascii="Georgia" w:hAnsi="Georgia"/>
          <w:sz w:val="24"/>
          <w:szCs w:val="24"/>
        </w:rPr>
        <w:t xml:space="preserve"> association dues </w:t>
      </w:r>
      <w:r w:rsidR="00F10CAB">
        <w:rPr>
          <w:rFonts w:ascii="Georgia" w:hAnsi="Georgia"/>
          <w:sz w:val="24"/>
          <w:szCs w:val="24"/>
        </w:rPr>
        <w:t xml:space="preserve">and all other expenses </w:t>
      </w:r>
      <w:r w:rsidR="009D3BE4">
        <w:rPr>
          <w:rFonts w:ascii="Georgia" w:hAnsi="Georgia"/>
          <w:sz w:val="24"/>
          <w:szCs w:val="24"/>
        </w:rPr>
        <w:t>charged to ratepayers.</w:t>
      </w:r>
    </w:p>
    <w:p w14:paraId="64D4BE0F" w14:textId="77777777" w:rsidR="00427FE7" w:rsidRDefault="00427FE7" w:rsidP="000B43E7">
      <w:pPr>
        <w:spacing w:line="360" w:lineRule="auto"/>
        <w:rPr>
          <w:rFonts w:ascii="Georgia" w:hAnsi="Georgia"/>
          <w:sz w:val="24"/>
          <w:szCs w:val="24"/>
        </w:rPr>
      </w:pPr>
    </w:p>
    <w:p w14:paraId="1EF7BF0A" w14:textId="09193BA6" w:rsidR="0032218D" w:rsidRDefault="009D3BE4" w:rsidP="00C77DC8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23DFD">
        <w:rPr>
          <w:rFonts w:ascii="Georgia" w:hAnsi="Georgia"/>
          <w:b/>
          <w:bCs/>
          <w:sz w:val="24"/>
          <w:szCs w:val="24"/>
        </w:rPr>
        <w:t xml:space="preserve">Third, the Commission should compel detailed disclosure of </w:t>
      </w:r>
      <w:r w:rsidR="00666C7A" w:rsidRPr="00923DFD">
        <w:rPr>
          <w:rFonts w:ascii="Georgia" w:hAnsi="Georgia"/>
          <w:b/>
          <w:bCs/>
          <w:sz w:val="24"/>
          <w:szCs w:val="24"/>
        </w:rPr>
        <w:t>charges in Account 426.4 as well.</w:t>
      </w:r>
      <w:r w:rsidR="00666C7A">
        <w:rPr>
          <w:rFonts w:ascii="Georgia" w:hAnsi="Georgia"/>
          <w:sz w:val="24"/>
          <w:szCs w:val="24"/>
        </w:rPr>
        <w:t xml:space="preserve"> </w:t>
      </w:r>
      <w:r w:rsidR="00C77DC8" w:rsidRPr="008D6622">
        <w:rPr>
          <w:rFonts w:ascii="Georgia" w:hAnsi="Georgia" w:cs="Times New Roman"/>
          <w:sz w:val="24"/>
          <w:szCs w:val="24"/>
        </w:rPr>
        <w:t xml:space="preserve">Since the </w:t>
      </w:r>
      <w:r w:rsidR="00BB3490">
        <w:rPr>
          <w:rFonts w:ascii="Georgia" w:hAnsi="Georgia" w:cs="Times New Roman"/>
          <w:sz w:val="24"/>
          <w:szCs w:val="24"/>
        </w:rPr>
        <w:t xml:space="preserve">2010 </w:t>
      </w:r>
      <w:r w:rsidR="00C77DC8" w:rsidRPr="008D6622">
        <w:rPr>
          <w:rFonts w:ascii="Georgia" w:hAnsi="Georgia" w:cs="Times New Roman"/>
          <w:sz w:val="24"/>
          <w:szCs w:val="24"/>
        </w:rPr>
        <w:t xml:space="preserve">U.S. Supreme Court decision </w:t>
      </w:r>
      <w:r w:rsidR="00C77DC8" w:rsidRPr="008D6622">
        <w:rPr>
          <w:rFonts w:ascii="Georgia" w:hAnsi="Georgia" w:cs="Times New Roman"/>
          <w:i/>
          <w:iCs/>
          <w:sz w:val="24"/>
          <w:szCs w:val="24"/>
        </w:rPr>
        <w:t>Citizens United v. FEC</w:t>
      </w:r>
      <w:r w:rsidR="00C77DC8" w:rsidRPr="008D6622">
        <w:rPr>
          <w:rFonts w:ascii="Georgia" w:hAnsi="Georgia" w:cs="Times New Roman"/>
          <w:sz w:val="24"/>
          <w:szCs w:val="24"/>
        </w:rPr>
        <w:t xml:space="preserve">, corporations </w:t>
      </w:r>
      <w:r w:rsidR="00C82C03">
        <w:rPr>
          <w:rFonts w:ascii="Georgia" w:hAnsi="Georgia" w:cs="Times New Roman"/>
          <w:sz w:val="24"/>
          <w:szCs w:val="24"/>
        </w:rPr>
        <w:t>can</w:t>
      </w:r>
      <w:r w:rsidR="00C77DC8" w:rsidRPr="008D6622">
        <w:rPr>
          <w:rFonts w:ascii="Georgia" w:hAnsi="Georgia" w:cs="Times New Roman"/>
          <w:sz w:val="24"/>
          <w:szCs w:val="24"/>
        </w:rPr>
        <w:t xml:space="preserve"> spend unlimited undisclosed amounts of money to influence elections and affect policy outcomes. </w:t>
      </w:r>
      <w:r w:rsidR="00D50260">
        <w:rPr>
          <w:rFonts w:ascii="Georgia" w:hAnsi="Georgia" w:cs="Times New Roman"/>
          <w:sz w:val="24"/>
          <w:szCs w:val="24"/>
        </w:rPr>
        <w:t>This flood of money to influence</w:t>
      </w:r>
      <w:r w:rsidR="004C688F">
        <w:rPr>
          <w:rFonts w:ascii="Georgia" w:hAnsi="Georgia" w:cs="Times New Roman"/>
          <w:sz w:val="24"/>
          <w:szCs w:val="24"/>
        </w:rPr>
        <w:t xml:space="preserve"> policy</w:t>
      </w:r>
      <w:r w:rsidR="00454030">
        <w:rPr>
          <w:rFonts w:ascii="Georgia" w:hAnsi="Georgia" w:cs="Times New Roman"/>
          <w:sz w:val="24"/>
          <w:szCs w:val="24"/>
        </w:rPr>
        <w:t xml:space="preserve"> must be accompanied by</w:t>
      </w:r>
      <w:r w:rsidR="004C688F">
        <w:rPr>
          <w:rFonts w:ascii="Georgia" w:hAnsi="Georgia" w:cs="Times New Roman"/>
          <w:sz w:val="24"/>
          <w:szCs w:val="24"/>
        </w:rPr>
        <w:t xml:space="preserve"> disclosure</w:t>
      </w:r>
      <w:r w:rsidR="004C3085">
        <w:rPr>
          <w:rFonts w:ascii="Georgia" w:hAnsi="Georgia" w:cs="Times New Roman"/>
          <w:sz w:val="24"/>
          <w:szCs w:val="24"/>
        </w:rPr>
        <w:t xml:space="preserve"> to allow the public to have information about which </w:t>
      </w:r>
      <w:r w:rsidR="004C3085">
        <w:rPr>
          <w:rFonts w:ascii="Georgia" w:hAnsi="Georgia" w:cs="Times New Roman"/>
          <w:sz w:val="24"/>
          <w:szCs w:val="24"/>
        </w:rPr>
        <w:lastRenderedPageBreak/>
        <w:t>interests are</w:t>
      </w:r>
      <w:r w:rsidR="00DB2AAF">
        <w:rPr>
          <w:rFonts w:ascii="Georgia" w:hAnsi="Georgia" w:cs="Times New Roman"/>
          <w:sz w:val="24"/>
          <w:szCs w:val="24"/>
        </w:rPr>
        <w:t xml:space="preserve"> financing public policy discourse.</w:t>
      </w:r>
      <w:r w:rsidR="00C77DC8" w:rsidRPr="0032218D">
        <w:rPr>
          <w:rStyle w:val="FootnoteReference"/>
          <w:rFonts w:ascii="Georgia" w:hAnsi="Georgia" w:cs="Times New Roman"/>
          <w:sz w:val="24"/>
          <w:szCs w:val="24"/>
        </w:rPr>
        <w:footnoteReference w:id="5"/>
      </w:r>
      <w:r w:rsidR="00604E6B" w:rsidRPr="0032218D">
        <w:rPr>
          <w:rFonts w:ascii="Georgia" w:hAnsi="Georgia" w:cs="Times New Roman"/>
          <w:sz w:val="24"/>
          <w:szCs w:val="24"/>
        </w:rPr>
        <w:t xml:space="preserve"> </w:t>
      </w:r>
      <w:r w:rsidR="009B376F">
        <w:rPr>
          <w:rFonts w:ascii="Georgia" w:hAnsi="Georgia" w:cs="Times New Roman"/>
          <w:sz w:val="24"/>
          <w:szCs w:val="24"/>
        </w:rPr>
        <w:t>I</w:t>
      </w:r>
      <w:r w:rsidR="00604E6B" w:rsidRPr="0032218D">
        <w:rPr>
          <w:rFonts w:ascii="Georgia" w:hAnsi="Georgia" w:cs="Times New Roman"/>
          <w:sz w:val="24"/>
          <w:szCs w:val="24"/>
        </w:rPr>
        <w:t>t</w:t>
      </w:r>
      <w:r w:rsidR="00741005">
        <w:rPr>
          <w:rFonts w:ascii="Georgia" w:hAnsi="Georgia" w:cs="Times New Roman"/>
          <w:sz w:val="24"/>
          <w:szCs w:val="24"/>
        </w:rPr>
        <w:t xml:space="preserve"> is</w:t>
      </w:r>
      <w:r w:rsidR="00604E6B" w:rsidRPr="0032218D">
        <w:rPr>
          <w:rFonts w:ascii="Georgia" w:hAnsi="Georgia" w:cs="Times New Roman"/>
          <w:sz w:val="24"/>
          <w:szCs w:val="24"/>
        </w:rPr>
        <w:t xml:space="preserve"> </w:t>
      </w:r>
      <w:r w:rsidR="009B376F">
        <w:rPr>
          <w:rFonts w:ascii="Georgia" w:hAnsi="Georgia" w:cs="Times New Roman"/>
          <w:sz w:val="24"/>
          <w:szCs w:val="24"/>
        </w:rPr>
        <w:t>often</w:t>
      </w:r>
      <w:r w:rsidR="00604E6B" w:rsidRPr="0032218D">
        <w:rPr>
          <w:rFonts w:ascii="Georgia" w:hAnsi="Georgia" w:cs="Times New Roman"/>
          <w:sz w:val="24"/>
          <w:szCs w:val="24"/>
        </w:rPr>
        <w:t xml:space="preserve"> impossible to gather a full picture of a corporation’s </w:t>
      </w:r>
      <w:r w:rsidR="00D724F5">
        <w:rPr>
          <w:rFonts w:ascii="Georgia" w:hAnsi="Georgia" w:cs="Times New Roman"/>
          <w:sz w:val="24"/>
          <w:szCs w:val="24"/>
        </w:rPr>
        <w:t>political</w:t>
      </w:r>
      <w:r w:rsidR="00604E6B" w:rsidRPr="0032218D">
        <w:rPr>
          <w:rFonts w:ascii="Georgia" w:hAnsi="Georgia" w:cs="Times New Roman"/>
          <w:sz w:val="24"/>
          <w:szCs w:val="24"/>
        </w:rPr>
        <w:t xml:space="preserve"> activity due to the cumbersome nature of the disclosures and the different regimes used by each state.</w:t>
      </w:r>
      <w:r w:rsidR="00604E6B" w:rsidRPr="0032218D">
        <w:rPr>
          <w:rStyle w:val="FootnoteReference"/>
          <w:rFonts w:ascii="Georgia" w:hAnsi="Georgia" w:cs="Times New Roman"/>
          <w:sz w:val="24"/>
          <w:szCs w:val="24"/>
        </w:rPr>
        <w:footnoteReference w:id="6"/>
      </w:r>
      <w:r w:rsidR="00604E6B" w:rsidRPr="0032218D">
        <w:rPr>
          <w:rFonts w:ascii="Georgia" w:hAnsi="Georgia" w:cs="Times New Roman"/>
          <w:sz w:val="24"/>
          <w:szCs w:val="24"/>
        </w:rPr>
        <w:t xml:space="preserve"> </w:t>
      </w:r>
    </w:p>
    <w:p w14:paraId="4BD893D0" w14:textId="234AA76A" w:rsidR="00C77DC8" w:rsidRPr="00C062A8" w:rsidRDefault="000B7839" w:rsidP="00C062A8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Tracking corporate advocacy</w:t>
      </w:r>
      <w:r w:rsidR="004D3068">
        <w:rPr>
          <w:rFonts w:ascii="Georgia" w:hAnsi="Georgia" w:cs="Times New Roman"/>
          <w:sz w:val="24"/>
          <w:szCs w:val="24"/>
        </w:rPr>
        <w:t xml:space="preserve"> laundered through </w:t>
      </w:r>
      <w:r w:rsidR="004D3068" w:rsidRPr="0032218D">
        <w:rPr>
          <w:rFonts w:ascii="Georgia" w:hAnsi="Georgia" w:cs="Times New Roman"/>
          <w:sz w:val="24"/>
          <w:szCs w:val="24"/>
        </w:rPr>
        <w:t xml:space="preserve">trade associations or not-for-profit organizations </w:t>
      </w:r>
      <w:r w:rsidR="001671F3">
        <w:rPr>
          <w:rFonts w:ascii="Georgia" w:hAnsi="Georgia" w:cs="Times New Roman"/>
          <w:sz w:val="24"/>
          <w:szCs w:val="24"/>
        </w:rPr>
        <w:t xml:space="preserve">further </w:t>
      </w:r>
      <w:r w:rsidR="00956C90">
        <w:rPr>
          <w:rFonts w:ascii="Georgia" w:hAnsi="Georgia" w:cs="Times New Roman"/>
          <w:sz w:val="24"/>
          <w:szCs w:val="24"/>
        </w:rPr>
        <w:t>obscures</w:t>
      </w:r>
      <w:r w:rsidR="001671F3">
        <w:rPr>
          <w:rFonts w:ascii="Georgia" w:hAnsi="Georgia" w:cs="Times New Roman"/>
          <w:sz w:val="24"/>
          <w:szCs w:val="24"/>
        </w:rPr>
        <w:t xml:space="preserve"> the </w:t>
      </w:r>
      <w:r w:rsidR="006C579D">
        <w:rPr>
          <w:rFonts w:ascii="Georgia" w:hAnsi="Georgia" w:cs="Times New Roman"/>
          <w:sz w:val="24"/>
          <w:szCs w:val="24"/>
        </w:rPr>
        <w:t>public interest need for disclosure. An example of this cloaked advocacy</w:t>
      </w:r>
      <w:r w:rsidR="00604E6B" w:rsidRPr="0032218D">
        <w:rPr>
          <w:rFonts w:ascii="Georgia" w:hAnsi="Georgia" w:cs="Times New Roman"/>
          <w:sz w:val="24"/>
          <w:szCs w:val="24"/>
        </w:rPr>
        <w:t xml:space="preserve"> involved FirstEnergy funneling $60 million to then-Ohio Speaker of the House, Larry Householder, through a not-for-profit organization in exchange for a bailout of the company’s power plants.</w:t>
      </w:r>
      <w:r w:rsidR="00604E6B" w:rsidRPr="0032218D">
        <w:rPr>
          <w:rStyle w:val="FootnoteReference"/>
          <w:rFonts w:ascii="Georgia" w:hAnsi="Georgia" w:cs="Times New Roman"/>
          <w:sz w:val="24"/>
          <w:szCs w:val="24"/>
        </w:rPr>
        <w:footnoteReference w:id="7"/>
      </w:r>
      <w:r w:rsidR="00604E6B" w:rsidRPr="0032218D">
        <w:rPr>
          <w:rFonts w:ascii="Georgia" w:hAnsi="Georgia" w:cs="Times New Roman"/>
          <w:sz w:val="24"/>
          <w:szCs w:val="24"/>
        </w:rPr>
        <w:t xml:space="preserve"> </w:t>
      </w:r>
      <w:r w:rsidR="00D724F5">
        <w:rPr>
          <w:rFonts w:ascii="Georgia" w:hAnsi="Georgia" w:cs="Times New Roman"/>
          <w:sz w:val="24"/>
          <w:szCs w:val="24"/>
        </w:rPr>
        <w:t xml:space="preserve">A report </w:t>
      </w:r>
      <w:r w:rsidR="0035498C">
        <w:rPr>
          <w:rFonts w:ascii="Georgia" w:hAnsi="Georgia" w:cs="Times New Roman"/>
          <w:sz w:val="24"/>
          <w:szCs w:val="24"/>
        </w:rPr>
        <w:t xml:space="preserve">last year </w:t>
      </w:r>
      <w:r w:rsidR="00D724F5">
        <w:rPr>
          <w:rFonts w:ascii="Georgia" w:hAnsi="Georgia" w:cs="Times New Roman"/>
          <w:sz w:val="24"/>
          <w:szCs w:val="24"/>
        </w:rPr>
        <w:t>found that corporations and their trade associations have poured hundreds of millions of dollars into not-for-profit tax-exempt 527 groups, like the Republican and Democratic governors associations, that have significantly shaped the political landscape at the state level.</w:t>
      </w:r>
      <w:r w:rsidR="00D724F5">
        <w:rPr>
          <w:rStyle w:val="FootnoteReference"/>
          <w:rFonts w:ascii="Georgia" w:hAnsi="Georgia" w:cs="Times New Roman"/>
          <w:sz w:val="24"/>
          <w:szCs w:val="24"/>
        </w:rPr>
        <w:footnoteReference w:id="8"/>
      </w:r>
      <w:r w:rsidR="004224B8">
        <w:rPr>
          <w:rFonts w:ascii="Georgia" w:hAnsi="Georgia" w:cs="Times New Roman"/>
          <w:sz w:val="24"/>
          <w:szCs w:val="24"/>
        </w:rPr>
        <w:t xml:space="preserve"> Indeed, a recent complaint filed by Public Citizen exposed the fact that PJM Interconnection LLC made hundreds of thousands of dollars in </w:t>
      </w:r>
      <w:r w:rsidR="002A46A9">
        <w:rPr>
          <w:rFonts w:ascii="Georgia" w:hAnsi="Georgia" w:cs="Times New Roman"/>
          <w:sz w:val="24"/>
          <w:szCs w:val="24"/>
        </w:rPr>
        <w:t xml:space="preserve">financial contributions to the Republican and Democratic governors associations and actively concealed those </w:t>
      </w:r>
      <w:r w:rsidR="00B3276A">
        <w:rPr>
          <w:rFonts w:ascii="Georgia" w:hAnsi="Georgia" w:cs="Times New Roman"/>
          <w:sz w:val="24"/>
          <w:szCs w:val="24"/>
        </w:rPr>
        <w:t>contributions</w:t>
      </w:r>
      <w:r w:rsidR="002A46A9">
        <w:rPr>
          <w:rFonts w:ascii="Georgia" w:hAnsi="Georgia" w:cs="Times New Roman"/>
          <w:sz w:val="24"/>
          <w:szCs w:val="24"/>
        </w:rPr>
        <w:t xml:space="preserve"> </w:t>
      </w:r>
      <w:r w:rsidR="00B3276A">
        <w:rPr>
          <w:rFonts w:ascii="Georgia" w:hAnsi="Georgia" w:cs="Times New Roman"/>
          <w:sz w:val="24"/>
          <w:szCs w:val="24"/>
        </w:rPr>
        <w:t>from</w:t>
      </w:r>
      <w:r w:rsidR="002A46A9">
        <w:rPr>
          <w:rFonts w:ascii="Georgia" w:hAnsi="Georgia" w:cs="Times New Roman"/>
          <w:sz w:val="24"/>
          <w:szCs w:val="24"/>
        </w:rPr>
        <w:t xml:space="preserve"> its own Finance Committee</w:t>
      </w:r>
      <w:r w:rsidR="00B3276A">
        <w:rPr>
          <w:rFonts w:ascii="Georgia" w:hAnsi="Georgia" w:cs="Times New Roman"/>
          <w:sz w:val="24"/>
          <w:szCs w:val="24"/>
        </w:rPr>
        <w:t>.</w:t>
      </w:r>
      <w:r w:rsidR="00D724F5">
        <w:rPr>
          <w:rFonts w:ascii="Georgia" w:hAnsi="Georgia" w:cs="Times New Roman"/>
          <w:sz w:val="24"/>
          <w:szCs w:val="24"/>
        </w:rPr>
        <w:t xml:space="preserve"> </w:t>
      </w:r>
      <w:r w:rsidR="00237579" w:rsidRPr="0032218D">
        <w:rPr>
          <w:rFonts w:ascii="Georgia" w:hAnsi="Georgia" w:cs="Times New Roman"/>
          <w:sz w:val="24"/>
          <w:szCs w:val="24"/>
        </w:rPr>
        <w:t xml:space="preserve"> </w:t>
      </w:r>
    </w:p>
    <w:p w14:paraId="434985C9" w14:textId="12F655C9" w:rsidR="009D3BE4" w:rsidRPr="0032218D" w:rsidRDefault="0032218D" w:rsidP="00C062A8">
      <w:pPr>
        <w:spacing w:line="360" w:lineRule="auto"/>
        <w:ind w:firstLine="720"/>
        <w:rPr>
          <w:rFonts w:ascii="Georgia" w:hAnsi="Georgia" w:cs="Times New Roman"/>
          <w:sz w:val="24"/>
          <w:szCs w:val="24"/>
        </w:rPr>
      </w:pPr>
      <w:r w:rsidRPr="0032218D">
        <w:rPr>
          <w:rFonts w:ascii="Georgia" w:hAnsi="Georgia" w:cs="Times New Roman"/>
          <w:sz w:val="24"/>
          <w:szCs w:val="24"/>
        </w:rPr>
        <w:t>It</w:t>
      </w:r>
      <w:r w:rsidR="00DC2881">
        <w:rPr>
          <w:rFonts w:ascii="Georgia" w:hAnsi="Georgia" w:cs="Times New Roman"/>
          <w:sz w:val="24"/>
          <w:szCs w:val="24"/>
        </w:rPr>
        <w:t xml:space="preserve"> is</w:t>
      </w:r>
      <w:r w:rsidRPr="0032218D">
        <w:rPr>
          <w:rFonts w:ascii="Georgia" w:hAnsi="Georgia" w:cs="Times New Roman"/>
          <w:sz w:val="24"/>
          <w:szCs w:val="24"/>
        </w:rPr>
        <w:t xml:space="preserve"> critical for regulators, the public, customers, and shareholders to understand how utilit</w:t>
      </w:r>
      <w:r w:rsidR="00EC71D7">
        <w:rPr>
          <w:rFonts w:ascii="Georgia" w:hAnsi="Georgia" w:cs="Times New Roman"/>
          <w:sz w:val="24"/>
          <w:szCs w:val="24"/>
        </w:rPr>
        <w:t>ies</w:t>
      </w:r>
      <w:r w:rsidRPr="0032218D">
        <w:rPr>
          <w:rFonts w:ascii="Georgia" w:hAnsi="Georgia" w:cs="Times New Roman"/>
          <w:sz w:val="24"/>
          <w:szCs w:val="24"/>
        </w:rPr>
        <w:t xml:space="preserve"> engage in politics and policy making through their trade associations. </w:t>
      </w:r>
      <w:r w:rsidR="006028F5">
        <w:rPr>
          <w:rFonts w:ascii="Georgia" w:hAnsi="Georgia" w:cs="Times New Roman"/>
          <w:sz w:val="24"/>
          <w:szCs w:val="24"/>
        </w:rPr>
        <w:t>Absent effective disclosure</w:t>
      </w:r>
      <w:r w:rsidRPr="0032218D">
        <w:rPr>
          <w:rFonts w:ascii="Georgia" w:hAnsi="Georgia" w:cs="Times New Roman"/>
          <w:sz w:val="24"/>
          <w:szCs w:val="24"/>
        </w:rPr>
        <w:t xml:space="preserve">, utilities can </w:t>
      </w:r>
      <w:r w:rsidR="003156AB">
        <w:rPr>
          <w:rFonts w:ascii="Georgia" w:hAnsi="Georgia" w:cs="Times New Roman"/>
          <w:sz w:val="24"/>
          <w:szCs w:val="24"/>
        </w:rPr>
        <w:t>mask their financial influence over the</w:t>
      </w:r>
      <w:r w:rsidRPr="0032218D">
        <w:rPr>
          <w:rFonts w:ascii="Georgia" w:hAnsi="Georgia" w:cs="Times New Roman"/>
          <w:sz w:val="24"/>
          <w:szCs w:val="24"/>
        </w:rPr>
        <w:t xml:space="preserve"> political process to boost their profits at the expense of </w:t>
      </w:r>
      <w:r w:rsidR="003156AB">
        <w:rPr>
          <w:rFonts w:ascii="Georgia" w:hAnsi="Georgia" w:cs="Times New Roman"/>
          <w:sz w:val="24"/>
          <w:szCs w:val="24"/>
        </w:rPr>
        <w:t>ratepayers</w:t>
      </w:r>
      <w:r w:rsidRPr="0032218D">
        <w:rPr>
          <w:rFonts w:ascii="Georgia" w:hAnsi="Georgia" w:cs="Times New Roman"/>
          <w:sz w:val="24"/>
          <w:szCs w:val="24"/>
        </w:rPr>
        <w:t xml:space="preserve">. </w:t>
      </w:r>
      <w:r w:rsidR="004C1403">
        <w:rPr>
          <w:rFonts w:ascii="Georgia" w:hAnsi="Georgia"/>
          <w:sz w:val="24"/>
          <w:szCs w:val="24"/>
        </w:rPr>
        <w:t>Federal law</w:t>
      </w:r>
      <w:r w:rsidR="009C6947">
        <w:rPr>
          <w:rFonts w:ascii="Georgia" w:hAnsi="Georgia"/>
          <w:sz w:val="24"/>
          <w:szCs w:val="24"/>
        </w:rPr>
        <w:t xml:space="preserve"> designates electric and natural gas utilities as “</w:t>
      </w:r>
      <w:r w:rsidR="009C6947" w:rsidRPr="00EF2BD2">
        <w:rPr>
          <w:rFonts w:ascii="Georgia" w:hAnsi="Georgia"/>
          <w:sz w:val="24"/>
          <w:szCs w:val="24"/>
        </w:rPr>
        <w:t>affected with a public interest</w:t>
      </w:r>
      <w:r w:rsidR="009C6947">
        <w:rPr>
          <w:rFonts w:ascii="Georgia" w:hAnsi="Georgia"/>
          <w:sz w:val="24"/>
          <w:szCs w:val="24"/>
        </w:rPr>
        <w:t>”, and this special</w:t>
      </w:r>
      <w:r w:rsidR="002275D0">
        <w:rPr>
          <w:rFonts w:ascii="Georgia" w:hAnsi="Georgia"/>
          <w:sz w:val="24"/>
          <w:szCs w:val="24"/>
        </w:rPr>
        <w:t xml:space="preserve"> status</w:t>
      </w:r>
      <w:r w:rsidR="009C6947">
        <w:rPr>
          <w:rFonts w:ascii="Georgia" w:hAnsi="Georgia"/>
          <w:sz w:val="24"/>
          <w:szCs w:val="24"/>
        </w:rPr>
        <w:t xml:space="preserve"> should </w:t>
      </w:r>
      <w:r w:rsidR="00E763FD">
        <w:rPr>
          <w:rFonts w:ascii="Georgia" w:hAnsi="Georgia"/>
          <w:sz w:val="24"/>
          <w:szCs w:val="24"/>
        </w:rPr>
        <w:t>convey</w:t>
      </w:r>
      <w:r w:rsidR="00A66293">
        <w:rPr>
          <w:rFonts w:ascii="Georgia" w:hAnsi="Georgia"/>
          <w:sz w:val="24"/>
          <w:szCs w:val="24"/>
        </w:rPr>
        <w:t xml:space="preserve"> detailed disclosure of political activity, regardless of whether it is recovered from ratepayers.</w:t>
      </w:r>
    </w:p>
    <w:p w14:paraId="233651F2" w14:textId="77777777" w:rsidR="00EF2935" w:rsidRDefault="00EF2935" w:rsidP="0044474A">
      <w:pPr>
        <w:rPr>
          <w:rFonts w:ascii="Georgia" w:hAnsi="Georgia"/>
          <w:sz w:val="24"/>
          <w:szCs w:val="24"/>
        </w:rPr>
      </w:pPr>
    </w:p>
    <w:p w14:paraId="45D1BD5F" w14:textId="5D74BBD9" w:rsidR="00A66293" w:rsidRDefault="00A66293" w:rsidP="00EF2935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8145AA">
        <w:rPr>
          <w:rFonts w:ascii="Georgia" w:hAnsi="Georgia"/>
          <w:b/>
          <w:bCs/>
          <w:sz w:val="24"/>
          <w:szCs w:val="24"/>
        </w:rPr>
        <w:t xml:space="preserve">Fourth, </w:t>
      </w:r>
      <w:r w:rsidR="00D069DC" w:rsidRPr="008145AA">
        <w:rPr>
          <w:rFonts w:ascii="Georgia" w:hAnsi="Georgia"/>
          <w:b/>
          <w:bCs/>
          <w:sz w:val="24"/>
          <w:szCs w:val="24"/>
        </w:rPr>
        <w:t>the Commission must necessitate enhanced</w:t>
      </w:r>
      <w:r w:rsidR="00510C04" w:rsidRPr="008145AA">
        <w:rPr>
          <w:rFonts w:ascii="Georgia" w:hAnsi="Georgia"/>
          <w:b/>
          <w:bCs/>
          <w:sz w:val="24"/>
          <w:szCs w:val="24"/>
        </w:rPr>
        <w:t xml:space="preserve"> </w:t>
      </w:r>
      <w:r w:rsidR="00162C79" w:rsidRPr="008145AA">
        <w:rPr>
          <w:rFonts w:ascii="Georgia" w:hAnsi="Georgia"/>
          <w:b/>
          <w:bCs/>
          <w:sz w:val="24"/>
          <w:szCs w:val="24"/>
        </w:rPr>
        <w:t xml:space="preserve">financial </w:t>
      </w:r>
      <w:r w:rsidR="00510C04" w:rsidRPr="008145AA">
        <w:rPr>
          <w:rFonts w:ascii="Georgia" w:hAnsi="Georgia"/>
          <w:b/>
          <w:bCs/>
          <w:sz w:val="24"/>
          <w:szCs w:val="24"/>
        </w:rPr>
        <w:t>disclosure by Regional Transmission Organizations (RTOs)</w:t>
      </w:r>
      <w:r w:rsidR="00067FE7">
        <w:rPr>
          <w:rFonts w:ascii="Georgia" w:hAnsi="Georgia"/>
          <w:sz w:val="24"/>
          <w:szCs w:val="24"/>
        </w:rPr>
        <w:t xml:space="preserve">. </w:t>
      </w:r>
      <w:r w:rsidR="009455CB">
        <w:rPr>
          <w:rFonts w:ascii="Georgia" w:hAnsi="Georgia"/>
          <w:sz w:val="24"/>
          <w:szCs w:val="24"/>
        </w:rPr>
        <w:t xml:space="preserve">RTOs </w:t>
      </w:r>
      <w:r w:rsidR="00E32922">
        <w:rPr>
          <w:rFonts w:ascii="Georgia" w:hAnsi="Georgia"/>
          <w:sz w:val="24"/>
          <w:szCs w:val="24"/>
        </w:rPr>
        <w:t>provide essential public interest functions often without corresponding transparency or accountability</w:t>
      </w:r>
      <w:r w:rsidR="00D60BC0">
        <w:rPr>
          <w:rFonts w:ascii="Georgia" w:hAnsi="Georgia"/>
          <w:sz w:val="24"/>
          <w:szCs w:val="24"/>
        </w:rPr>
        <w:t xml:space="preserve">, </w:t>
      </w:r>
      <w:proofErr w:type="gramStart"/>
      <w:r w:rsidR="00D60BC0">
        <w:rPr>
          <w:rFonts w:ascii="Georgia" w:hAnsi="Georgia"/>
          <w:sz w:val="24"/>
          <w:szCs w:val="24"/>
        </w:rPr>
        <w:t>despite the fact that</w:t>
      </w:r>
      <w:proofErr w:type="gramEnd"/>
      <w:r w:rsidR="00D60BC0">
        <w:rPr>
          <w:rFonts w:ascii="Georgia" w:hAnsi="Georgia"/>
          <w:sz w:val="24"/>
          <w:szCs w:val="24"/>
        </w:rPr>
        <w:t xml:space="preserve"> consumers pay for their entire administrative </w:t>
      </w:r>
      <w:r w:rsidR="00D60BC0">
        <w:rPr>
          <w:rFonts w:ascii="Georgia" w:hAnsi="Georgia"/>
          <w:sz w:val="24"/>
          <w:szCs w:val="24"/>
        </w:rPr>
        <w:lastRenderedPageBreak/>
        <w:t>budget</w:t>
      </w:r>
      <w:r w:rsidR="00E32922">
        <w:rPr>
          <w:rFonts w:ascii="Georgia" w:hAnsi="Georgia"/>
          <w:sz w:val="24"/>
          <w:szCs w:val="24"/>
        </w:rPr>
        <w:t>. For example, PJM Interconnection LLC bans the public and journalists from witnessing Finance Committee meetings where details of its</w:t>
      </w:r>
      <w:r w:rsidR="008145AA">
        <w:rPr>
          <w:rFonts w:ascii="Georgia" w:hAnsi="Georgia"/>
          <w:sz w:val="24"/>
          <w:szCs w:val="24"/>
        </w:rPr>
        <w:t xml:space="preserve"> $300 million a year in</w:t>
      </w:r>
      <w:r w:rsidR="00E32922">
        <w:rPr>
          <w:rFonts w:ascii="Georgia" w:hAnsi="Georgia"/>
          <w:sz w:val="24"/>
          <w:szCs w:val="24"/>
        </w:rPr>
        <w:t xml:space="preserve"> ratepayer-funded expenditures are deliberated</w:t>
      </w:r>
      <w:r w:rsidR="001628C6">
        <w:rPr>
          <w:rFonts w:ascii="Georgia" w:hAnsi="Georgia"/>
          <w:sz w:val="24"/>
          <w:szCs w:val="24"/>
        </w:rPr>
        <w:t xml:space="preserve">. </w:t>
      </w:r>
      <w:r w:rsidR="009B7AF0">
        <w:rPr>
          <w:rFonts w:ascii="Georgia" w:hAnsi="Georgia"/>
          <w:sz w:val="24"/>
          <w:szCs w:val="24"/>
        </w:rPr>
        <w:t xml:space="preserve">The lack of </w:t>
      </w:r>
      <w:r w:rsidR="002002AB">
        <w:rPr>
          <w:rFonts w:ascii="Georgia" w:hAnsi="Georgia"/>
          <w:sz w:val="24"/>
          <w:szCs w:val="24"/>
        </w:rPr>
        <w:t>public access to RTO stakeholder proceedings, combined with the</w:t>
      </w:r>
      <w:r w:rsidR="00E107B3">
        <w:rPr>
          <w:rFonts w:ascii="Georgia" w:hAnsi="Georgia"/>
          <w:sz w:val="24"/>
          <w:szCs w:val="24"/>
        </w:rPr>
        <w:t>ir</w:t>
      </w:r>
      <w:r w:rsidR="002002AB">
        <w:rPr>
          <w:rFonts w:ascii="Georgia" w:hAnsi="Georgia"/>
          <w:sz w:val="24"/>
          <w:szCs w:val="24"/>
        </w:rPr>
        <w:t xml:space="preserve"> </w:t>
      </w:r>
      <w:r w:rsidR="001844DE">
        <w:rPr>
          <w:rFonts w:ascii="Georgia" w:hAnsi="Georgia"/>
          <w:sz w:val="24"/>
          <w:szCs w:val="24"/>
        </w:rPr>
        <w:t>unique</w:t>
      </w:r>
      <w:r w:rsidR="002002AB">
        <w:rPr>
          <w:rFonts w:ascii="Georgia" w:hAnsi="Georgia"/>
          <w:sz w:val="24"/>
          <w:szCs w:val="24"/>
        </w:rPr>
        <w:t xml:space="preserve"> public interest role, necessitates </w:t>
      </w:r>
      <w:r w:rsidR="00B32601">
        <w:rPr>
          <w:rFonts w:ascii="Georgia" w:hAnsi="Georgia"/>
          <w:sz w:val="24"/>
          <w:szCs w:val="24"/>
        </w:rPr>
        <w:t xml:space="preserve">enhanced levels of reporting disclosure. The Commission should require all RTOs to disburse </w:t>
      </w:r>
      <w:r w:rsidR="008424C3">
        <w:rPr>
          <w:rFonts w:ascii="Georgia" w:hAnsi="Georgia"/>
          <w:sz w:val="24"/>
          <w:szCs w:val="24"/>
        </w:rPr>
        <w:t>monthly reports to the public detailing all lobbying and political activities, including details of</w:t>
      </w:r>
      <w:r w:rsidR="001D2147">
        <w:rPr>
          <w:rFonts w:ascii="Georgia" w:hAnsi="Georgia"/>
          <w:sz w:val="24"/>
          <w:szCs w:val="24"/>
        </w:rPr>
        <w:t xml:space="preserve"> lobbying </w:t>
      </w:r>
      <w:r w:rsidR="008424C3">
        <w:rPr>
          <w:rFonts w:ascii="Georgia" w:hAnsi="Georgia"/>
          <w:sz w:val="24"/>
          <w:szCs w:val="24"/>
        </w:rPr>
        <w:t xml:space="preserve">meetings with </w:t>
      </w:r>
      <w:r w:rsidR="00660455">
        <w:rPr>
          <w:rFonts w:ascii="Georgia" w:hAnsi="Georgia"/>
          <w:sz w:val="24"/>
          <w:szCs w:val="24"/>
        </w:rPr>
        <w:t>public officials</w:t>
      </w:r>
      <w:r w:rsidR="00B1765E">
        <w:rPr>
          <w:rFonts w:ascii="Georgia" w:hAnsi="Georgia"/>
          <w:sz w:val="24"/>
          <w:szCs w:val="24"/>
        </w:rPr>
        <w:t xml:space="preserve">, </w:t>
      </w:r>
      <w:r w:rsidR="00660455">
        <w:rPr>
          <w:rFonts w:ascii="Georgia" w:hAnsi="Georgia"/>
          <w:sz w:val="24"/>
          <w:szCs w:val="24"/>
        </w:rPr>
        <w:t xml:space="preserve">based upon the </w:t>
      </w:r>
      <w:r w:rsidR="00660455" w:rsidRPr="00660455">
        <w:rPr>
          <w:rFonts w:ascii="Georgia" w:hAnsi="Georgia"/>
          <w:sz w:val="24"/>
          <w:szCs w:val="24"/>
        </w:rPr>
        <w:t>October 19, 2006 order of th</w:t>
      </w:r>
      <w:r w:rsidR="00CC1091">
        <w:rPr>
          <w:rFonts w:ascii="Georgia" w:hAnsi="Georgia"/>
          <w:sz w:val="24"/>
          <w:szCs w:val="24"/>
        </w:rPr>
        <w:t xml:space="preserve">e </w:t>
      </w:r>
      <w:r w:rsidR="00660455" w:rsidRPr="00660455">
        <w:rPr>
          <w:rFonts w:ascii="Georgia" w:hAnsi="Georgia"/>
          <w:sz w:val="24"/>
          <w:szCs w:val="24"/>
        </w:rPr>
        <w:t xml:space="preserve">Commission </w:t>
      </w:r>
      <w:r w:rsidR="001928EB">
        <w:rPr>
          <w:rFonts w:ascii="Georgia" w:hAnsi="Georgia"/>
          <w:sz w:val="24"/>
          <w:szCs w:val="24"/>
        </w:rPr>
        <w:t>(</w:t>
      </w:r>
      <w:r w:rsidR="001928EB" w:rsidRPr="001928EB">
        <w:rPr>
          <w:rFonts w:ascii="Georgia" w:hAnsi="Georgia"/>
          <w:sz w:val="24"/>
          <w:szCs w:val="24"/>
        </w:rPr>
        <w:t>117 FERC ¶ 61,070</w:t>
      </w:r>
      <w:r w:rsidR="00450E0E">
        <w:rPr>
          <w:rFonts w:ascii="Georgia" w:hAnsi="Georgia"/>
          <w:sz w:val="24"/>
          <w:szCs w:val="24"/>
        </w:rPr>
        <w:t xml:space="preserve">) </w:t>
      </w:r>
      <w:r w:rsidR="001928EB">
        <w:rPr>
          <w:rFonts w:ascii="Georgia" w:hAnsi="Georgia"/>
          <w:sz w:val="24"/>
          <w:szCs w:val="24"/>
        </w:rPr>
        <w:t>requiring</w:t>
      </w:r>
      <w:r w:rsidR="00660455" w:rsidRPr="00660455">
        <w:rPr>
          <w:rFonts w:ascii="Georgia" w:hAnsi="Georgia"/>
          <w:sz w:val="24"/>
          <w:szCs w:val="24"/>
        </w:rPr>
        <w:t xml:space="preserve"> ISO New</w:t>
      </w:r>
      <w:r w:rsidR="00450E0E">
        <w:rPr>
          <w:rFonts w:ascii="Georgia" w:hAnsi="Georgia"/>
          <w:sz w:val="24"/>
          <w:szCs w:val="24"/>
        </w:rPr>
        <w:t xml:space="preserve"> </w:t>
      </w:r>
      <w:r w:rsidR="00660455" w:rsidRPr="00660455">
        <w:rPr>
          <w:rFonts w:ascii="Georgia" w:hAnsi="Georgia"/>
          <w:sz w:val="24"/>
          <w:szCs w:val="24"/>
        </w:rPr>
        <w:t>England Inc. to post on its website a monthly report</w:t>
      </w:r>
      <w:r w:rsidR="001928EB">
        <w:rPr>
          <w:rFonts w:ascii="Georgia" w:hAnsi="Georgia"/>
          <w:sz w:val="24"/>
          <w:szCs w:val="24"/>
        </w:rPr>
        <w:t xml:space="preserve"> detailing all</w:t>
      </w:r>
      <w:r w:rsidR="00660455" w:rsidRPr="00660455">
        <w:rPr>
          <w:rFonts w:ascii="Georgia" w:hAnsi="Georgia"/>
          <w:sz w:val="24"/>
          <w:szCs w:val="24"/>
        </w:rPr>
        <w:t xml:space="preserve"> legislative-related meetings</w:t>
      </w:r>
      <w:r w:rsidR="001033C7">
        <w:rPr>
          <w:rFonts w:ascii="Georgia" w:hAnsi="Georgia"/>
          <w:sz w:val="24"/>
          <w:szCs w:val="24"/>
        </w:rPr>
        <w:t>.</w:t>
      </w:r>
      <w:r w:rsidR="005C0D33">
        <w:rPr>
          <w:rStyle w:val="FootnoteReference"/>
          <w:rFonts w:ascii="Georgia" w:hAnsi="Georgia"/>
          <w:sz w:val="24"/>
          <w:szCs w:val="24"/>
        </w:rPr>
        <w:footnoteReference w:id="9"/>
      </w:r>
      <w:r w:rsidR="00DD6B95">
        <w:rPr>
          <w:rFonts w:ascii="Georgia" w:hAnsi="Georgia"/>
          <w:sz w:val="24"/>
          <w:szCs w:val="24"/>
        </w:rPr>
        <w:t xml:space="preserve"> </w:t>
      </w:r>
      <w:r w:rsidR="00B1765E">
        <w:rPr>
          <w:rFonts w:ascii="Georgia" w:hAnsi="Georgia"/>
          <w:sz w:val="24"/>
          <w:szCs w:val="24"/>
        </w:rPr>
        <w:t>Additional detail</w:t>
      </w:r>
      <w:r w:rsidR="00086B90">
        <w:rPr>
          <w:rFonts w:ascii="Georgia" w:hAnsi="Georgia"/>
          <w:sz w:val="24"/>
          <w:szCs w:val="24"/>
        </w:rPr>
        <w:t xml:space="preserve"> on RTO expenditures for bonuses paid to top executives</w:t>
      </w:r>
      <w:r w:rsidR="008948E8">
        <w:rPr>
          <w:rFonts w:ascii="Georgia" w:hAnsi="Georgia"/>
          <w:sz w:val="24"/>
          <w:szCs w:val="24"/>
        </w:rPr>
        <w:t xml:space="preserve"> (FERC Form 1 filings only </w:t>
      </w:r>
      <w:r w:rsidR="00EA19D6">
        <w:rPr>
          <w:rFonts w:ascii="Georgia" w:hAnsi="Georgia"/>
          <w:sz w:val="24"/>
          <w:szCs w:val="24"/>
        </w:rPr>
        <w:t>capture</w:t>
      </w:r>
      <w:r w:rsidR="008948E8">
        <w:rPr>
          <w:rFonts w:ascii="Georgia" w:hAnsi="Georgia"/>
          <w:sz w:val="24"/>
          <w:szCs w:val="24"/>
        </w:rPr>
        <w:t xml:space="preserve"> the base salary paid to top RTO executives, which often constitutes a minor</w:t>
      </w:r>
      <w:r w:rsidR="00EA19D6">
        <w:rPr>
          <w:rFonts w:ascii="Georgia" w:hAnsi="Georgia"/>
          <w:sz w:val="24"/>
          <w:szCs w:val="24"/>
        </w:rPr>
        <w:t xml:space="preserve"> component of their full, ratepayer-funded compensation package)</w:t>
      </w:r>
      <w:r w:rsidR="00086B90">
        <w:rPr>
          <w:rFonts w:ascii="Georgia" w:hAnsi="Georgia"/>
          <w:sz w:val="24"/>
          <w:szCs w:val="24"/>
        </w:rPr>
        <w:t>, compensation paid to board of directors</w:t>
      </w:r>
      <w:r w:rsidR="008145AA">
        <w:rPr>
          <w:rFonts w:ascii="Georgia" w:hAnsi="Georgia"/>
          <w:sz w:val="24"/>
          <w:szCs w:val="24"/>
        </w:rPr>
        <w:t xml:space="preserve"> and</w:t>
      </w:r>
      <w:r w:rsidR="00086B90">
        <w:rPr>
          <w:rFonts w:ascii="Georgia" w:hAnsi="Georgia"/>
          <w:sz w:val="24"/>
          <w:szCs w:val="24"/>
        </w:rPr>
        <w:t xml:space="preserve"> </w:t>
      </w:r>
      <w:r w:rsidR="00A57811">
        <w:rPr>
          <w:rFonts w:ascii="Georgia" w:hAnsi="Georgia"/>
          <w:sz w:val="24"/>
          <w:szCs w:val="24"/>
        </w:rPr>
        <w:t>financial sponsorship of conferences</w:t>
      </w:r>
      <w:r w:rsidR="008145AA">
        <w:rPr>
          <w:rFonts w:ascii="Georgia" w:hAnsi="Georgia"/>
          <w:sz w:val="24"/>
          <w:szCs w:val="24"/>
        </w:rPr>
        <w:t xml:space="preserve"> should be among the included enhancements.</w:t>
      </w:r>
      <w:r w:rsidR="00A57811">
        <w:rPr>
          <w:rFonts w:ascii="Georgia" w:hAnsi="Georgia"/>
          <w:sz w:val="24"/>
          <w:szCs w:val="24"/>
        </w:rPr>
        <w:t xml:space="preserve"> </w:t>
      </w:r>
    </w:p>
    <w:p w14:paraId="65B15050" w14:textId="77777777" w:rsidR="00D7609D" w:rsidRDefault="00D7609D" w:rsidP="00660455">
      <w:pPr>
        <w:rPr>
          <w:rFonts w:ascii="Georgia" w:hAnsi="Georgia"/>
          <w:sz w:val="24"/>
          <w:szCs w:val="24"/>
        </w:rPr>
      </w:pPr>
    </w:p>
    <w:p w14:paraId="16297C19" w14:textId="41621373" w:rsidR="00EF2935" w:rsidRDefault="00D7609D" w:rsidP="00F23C4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8145AA">
        <w:rPr>
          <w:rFonts w:ascii="Georgia" w:hAnsi="Georgia"/>
          <w:b/>
          <w:bCs/>
          <w:sz w:val="24"/>
          <w:szCs w:val="24"/>
        </w:rPr>
        <w:t xml:space="preserve">Finally, </w:t>
      </w:r>
      <w:r w:rsidR="00533DA4">
        <w:rPr>
          <w:rFonts w:ascii="Georgia" w:hAnsi="Georgia"/>
          <w:b/>
          <w:bCs/>
          <w:sz w:val="24"/>
          <w:szCs w:val="24"/>
        </w:rPr>
        <w:t>improved</w:t>
      </w:r>
      <w:r w:rsidR="00533DA4" w:rsidRPr="008145AA">
        <w:rPr>
          <w:rFonts w:ascii="Georgia" w:hAnsi="Georgia"/>
          <w:b/>
          <w:bCs/>
          <w:sz w:val="24"/>
          <w:szCs w:val="24"/>
        </w:rPr>
        <w:t xml:space="preserve"> </w:t>
      </w:r>
      <w:r w:rsidR="000A6040" w:rsidRPr="008145AA">
        <w:rPr>
          <w:rFonts w:ascii="Georgia" w:hAnsi="Georgia"/>
          <w:b/>
          <w:bCs/>
          <w:sz w:val="24"/>
          <w:szCs w:val="24"/>
        </w:rPr>
        <w:t xml:space="preserve">political expenditure </w:t>
      </w:r>
      <w:r w:rsidR="008E2E2E" w:rsidRPr="008145AA">
        <w:rPr>
          <w:rFonts w:ascii="Georgia" w:hAnsi="Georgia"/>
          <w:b/>
          <w:bCs/>
          <w:sz w:val="24"/>
          <w:szCs w:val="24"/>
        </w:rPr>
        <w:t>disclosure must</w:t>
      </w:r>
      <w:r w:rsidR="000A6040" w:rsidRPr="008145AA">
        <w:rPr>
          <w:rFonts w:ascii="Georgia" w:hAnsi="Georgia"/>
          <w:b/>
          <w:bCs/>
          <w:sz w:val="24"/>
          <w:szCs w:val="24"/>
        </w:rPr>
        <w:t xml:space="preserve"> be accompanied by </w:t>
      </w:r>
      <w:r w:rsidR="00733A0C">
        <w:rPr>
          <w:rFonts w:ascii="Georgia" w:hAnsi="Georgia"/>
          <w:b/>
          <w:bCs/>
          <w:sz w:val="24"/>
          <w:szCs w:val="24"/>
        </w:rPr>
        <w:t>upgrades</w:t>
      </w:r>
      <w:r w:rsidR="00733A0C" w:rsidRPr="008145AA">
        <w:rPr>
          <w:rFonts w:ascii="Georgia" w:hAnsi="Georgia"/>
          <w:b/>
          <w:bCs/>
          <w:sz w:val="24"/>
          <w:szCs w:val="24"/>
        </w:rPr>
        <w:t xml:space="preserve"> </w:t>
      </w:r>
      <w:r w:rsidR="000A6040" w:rsidRPr="008145AA">
        <w:rPr>
          <w:rFonts w:ascii="Georgia" w:hAnsi="Georgia"/>
          <w:b/>
          <w:bCs/>
          <w:sz w:val="24"/>
          <w:szCs w:val="24"/>
        </w:rPr>
        <w:t xml:space="preserve">to </w:t>
      </w:r>
      <w:r w:rsidR="005709C2" w:rsidRPr="008145AA">
        <w:rPr>
          <w:rFonts w:ascii="Georgia" w:hAnsi="Georgia"/>
          <w:b/>
          <w:bCs/>
          <w:sz w:val="24"/>
          <w:szCs w:val="24"/>
        </w:rPr>
        <w:t>the Commission’s website</w:t>
      </w:r>
      <w:r w:rsidR="002F5621">
        <w:rPr>
          <w:rFonts w:ascii="Georgia" w:hAnsi="Georgia"/>
          <w:sz w:val="24"/>
          <w:szCs w:val="24"/>
        </w:rPr>
        <w:t>, requiring</w:t>
      </w:r>
      <w:r w:rsidR="000864DC">
        <w:rPr>
          <w:rFonts w:ascii="Georgia" w:hAnsi="Georgia"/>
          <w:sz w:val="24"/>
          <w:szCs w:val="24"/>
        </w:rPr>
        <w:t xml:space="preserve"> an overhaul of the availability of the FERC annual reports</w:t>
      </w:r>
      <w:r w:rsidR="006E1F7B">
        <w:rPr>
          <w:rFonts w:ascii="Georgia" w:hAnsi="Georgia"/>
          <w:sz w:val="24"/>
          <w:szCs w:val="24"/>
        </w:rPr>
        <w:t xml:space="preserve"> by electric utilities (Form 1); natural gas companies (Form 2), </w:t>
      </w:r>
      <w:r w:rsidR="00617F10">
        <w:rPr>
          <w:rFonts w:ascii="Georgia" w:hAnsi="Georgia"/>
          <w:sz w:val="24"/>
          <w:szCs w:val="24"/>
        </w:rPr>
        <w:t xml:space="preserve">and </w:t>
      </w:r>
      <w:r w:rsidR="006E1F7B">
        <w:rPr>
          <w:rFonts w:ascii="Georgia" w:hAnsi="Georgia"/>
          <w:sz w:val="24"/>
          <w:szCs w:val="24"/>
        </w:rPr>
        <w:t>oil pipeline companies (Form 6)</w:t>
      </w:r>
      <w:r w:rsidR="00973F92">
        <w:rPr>
          <w:rFonts w:ascii="Georgia" w:hAnsi="Georgia"/>
          <w:sz w:val="24"/>
          <w:szCs w:val="24"/>
        </w:rPr>
        <w:t xml:space="preserve">. </w:t>
      </w:r>
      <w:r w:rsidR="002F5621">
        <w:rPr>
          <w:rFonts w:ascii="Georgia" w:hAnsi="Georgia"/>
          <w:sz w:val="24"/>
          <w:szCs w:val="24"/>
        </w:rPr>
        <w:t>M</w:t>
      </w:r>
      <w:r w:rsidR="00973F92">
        <w:rPr>
          <w:rFonts w:ascii="Georgia" w:hAnsi="Georgia"/>
          <w:sz w:val="24"/>
          <w:szCs w:val="24"/>
        </w:rPr>
        <w:t>embers of the public seeking to access these reports endure a cumbersome</w:t>
      </w:r>
      <w:r w:rsidR="00240FF3">
        <w:rPr>
          <w:rFonts w:ascii="Georgia" w:hAnsi="Georgia"/>
          <w:sz w:val="24"/>
          <w:szCs w:val="24"/>
        </w:rPr>
        <w:t xml:space="preserve"> process that begins at the Commission’s eLibrary </w:t>
      </w:r>
      <w:r w:rsidR="00DD0863">
        <w:rPr>
          <w:rFonts w:ascii="Georgia" w:hAnsi="Georgia"/>
          <w:sz w:val="24"/>
          <w:szCs w:val="24"/>
        </w:rPr>
        <w:t>web</w:t>
      </w:r>
      <w:r w:rsidR="00240FF3">
        <w:rPr>
          <w:rFonts w:ascii="Georgia" w:hAnsi="Georgia"/>
          <w:sz w:val="24"/>
          <w:szCs w:val="24"/>
        </w:rPr>
        <w:t>page</w:t>
      </w:r>
      <w:r w:rsidR="00B87BE3">
        <w:rPr>
          <w:rStyle w:val="FootnoteReference"/>
          <w:rFonts w:ascii="Georgia" w:hAnsi="Georgia"/>
          <w:sz w:val="24"/>
          <w:szCs w:val="24"/>
        </w:rPr>
        <w:footnoteReference w:id="10"/>
      </w:r>
      <w:r w:rsidR="003648A9">
        <w:rPr>
          <w:rFonts w:ascii="Georgia" w:hAnsi="Georgia"/>
          <w:sz w:val="24"/>
          <w:szCs w:val="24"/>
        </w:rPr>
        <w:t>, and under</w:t>
      </w:r>
      <w:r w:rsidR="003648A9" w:rsidRPr="003648A9">
        <w:rPr>
          <w:rFonts w:ascii="Georgia" w:hAnsi="Georgia"/>
          <w:sz w:val="24"/>
          <w:szCs w:val="24"/>
        </w:rPr>
        <w:t xml:space="preserve"> </w:t>
      </w:r>
      <w:r w:rsidR="003648A9" w:rsidRPr="003648A9">
        <w:rPr>
          <w:rFonts w:ascii="Georgia" w:hAnsi="Georgia"/>
          <w:i/>
          <w:iCs/>
          <w:sz w:val="24"/>
          <w:szCs w:val="24"/>
        </w:rPr>
        <w:t>Document Class</w:t>
      </w:r>
      <w:r w:rsidR="003648A9" w:rsidRPr="003648A9">
        <w:rPr>
          <w:rFonts w:ascii="Georgia" w:hAnsi="Georgia"/>
          <w:sz w:val="24"/>
          <w:szCs w:val="24"/>
        </w:rPr>
        <w:t xml:space="preserve">, </w:t>
      </w:r>
      <w:r w:rsidR="003648A9">
        <w:rPr>
          <w:rFonts w:ascii="Georgia" w:hAnsi="Georgia"/>
          <w:sz w:val="24"/>
          <w:szCs w:val="24"/>
        </w:rPr>
        <w:t xml:space="preserve">the user must </w:t>
      </w:r>
      <w:r w:rsidR="003648A9" w:rsidRPr="003648A9">
        <w:rPr>
          <w:rFonts w:ascii="Georgia" w:hAnsi="Georgia"/>
          <w:sz w:val="24"/>
          <w:szCs w:val="24"/>
        </w:rPr>
        <w:t>select dropdown arrows for Report/Form, the</w:t>
      </w:r>
      <w:r w:rsidR="0030257E">
        <w:rPr>
          <w:rFonts w:ascii="Georgia" w:hAnsi="Georgia"/>
          <w:sz w:val="24"/>
          <w:szCs w:val="24"/>
        </w:rPr>
        <w:t xml:space="preserve">n check off each </w:t>
      </w:r>
      <w:r w:rsidR="00783C02">
        <w:rPr>
          <w:rFonts w:ascii="Georgia" w:hAnsi="Georgia"/>
          <w:sz w:val="24"/>
          <w:szCs w:val="24"/>
        </w:rPr>
        <w:t>relevant</w:t>
      </w:r>
      <w:r w:rsidR="0030257E">
        <w:rPr>
          <w:rFonts w:ascii="Georgia" w:hAnsi="Georgia"/>
          <w:sz w:val="24"/>
          <w:szCs w:val="24"/>
        </w:rPr>
        <w:t xml:space="preserve"> form (Form 1, Form 2, </w:t>
      </w:r>
      <w:r w:rsidR="00543A07">
        <w:rPr>
          <w:rFonts w:ascii="Georgia" w:hAnsi="Georgia"/>
          <w:sz w:val="24"/>
          <w:szCs w:val="24"/>
        </w:rPr>
        <w:t xml:space="preserve">or </w:t>
      </w:r>
      <w:r w:rsidR="0030257E">
        <w:rPr>
          <w:rFonts w:ascii="Georgia" w:hAnsi="Georgia"/>
          <w:sz w:val="24"/>
          <w:szCs w:val="24"/>
        </w:rPr>
        <w:t xml:space="preserve">Form 6). The public interest would be better served for the Commission to have a </w:t>
      </w:r>
      <w:r w:rsidR="00DD0863">
        <w:rPr>
          <w:rFonts w:ascii="Georgia" w:hAnsi="Georgia"/>
          <w:sz w:val="24"/>
          <w:szCs w:val="24"/>
        </w:rPr>
        <w:t>dedicated</w:t>
      </w:r>
      <w:r w:rsidR="000A68FB">
        <w:rPr>
          <w:rFonts w:ascii="Georgia" w:hAnsi="Georgia"/>
          <w:sz w:val="24"/>
          <w:szCs w:val="24"/>
        </w:rPr>
        <w:t xml:space="preserve"> Annual Report page, with a</w:t>
      </w:r>
      <w:r w:rsidR="00E066C5">
        <w:rPr>
          <w:rFonts w:ascii="Georgia" w:hAnsi="Georgia"/>
          <w:sz w:val="24"/>
          <w:szCs w:val="24"/>
        </w:rPr>
        <w:t xml:space="preserve"> </w:t>
      </w:r>
      <w:r w:rsidR="000A68FB">
        <w:rPr>
          <w:rFonts w:ascii="Georgia" w:hAnsi="Georgia"/>
          <w:sz w:val="24"/>
          <w:szCs w:val="24"/>
        </w:rPr>
        <w:t xml:space="preserve">simplified user interface to make searching for </w:t>
      </w:r>
      <w:r w:rsidR="00EF2935">
        <w:rPr>
          <w:rFonts w:ascii="Georgia" w:hAnsi="Georgia"/>
          <w:sz w:val="24"/>
          <w:szCs w:val="24"/>
        </w:rPr>
        <w:t>company annual reports much easier.</w:t>
      </w:r>
      <w:r w:rsidR="009160F9">
        <w:rPr>
          <w:rFonts w:ascii="Georgia" w:hAnsi="Georgia"/>
          <w:sz w:val="24"/>
          <w:szCs w:val="24"/>
        </w:rPr>
        <w:t xml:space="preserve"> For example, </w:t>
      </w:r>
      <w:r w:rsidR="001F472E">
        <w:rPr>
          <w:rFonts w:ascii="Georgia" w:hAnsi="Georgia"/>
          <w:sz w:val="24"/>
          <w:szCs w:val="24"/>
        </w:rPr>
        <w:t xml:space="preserve">the Commission could feature a Utility Annual Report landing page, with </w:t>
      </w:r>
      <w:r w:rsidR="00733A0C">
        <w:rPr>
          <w:rFonts w:ascii="Georgia" w:hAnsi="Georgia"/>
          <w:sz w:val="24"/>
          <w:szCs w:val="24"/>
        </w:rPr>
        <w:t xml:space="preserve">just </w:t>
      </w:r>
      <w:r w:rsidR="001F472E">
        <w:rPr>
          <w:rFonts w:ascii="Georgia" w:hAnsi="Georgia"/>
          <w:sz w:val="24"/>
          <w:szCs w:val="24"/>
        </w:rPr>
        <w:t xml:space="preserve">three search fields: </w:t>
      </w:r>
      <w:r w:rsidR="00F900DA">
        <w:rPr>
          <w:rFonts w:ascii="Georgia" w:hAnsi="Georgia"/>
          <w:sz w:val="24"/>
          <w:szCs w:val="24"/>
        </w:rPr>
        <w:t>a text box to enter the</w:t>
      </w:r>
      <w:r w:rsidR="00F900DA" w:rsidRPr="00F900DA">
        <w:rPr>
          <w:rFonts w:ascii="Georgia" w:hAnsi="Georgia"/>
          <w:sz w:val="24"/>
          <w:szCs w:val="24"/>
        </w:rPr>
        <w:t xml:space="preserve"> utility/company name</w:t>
      </w:r>
      <w:r w:rsidR="00F900DA">
        <w:rPr>
          <w:rFonts w:ascii="Georgia" w:hAnsi="Georgia"/>
          <w:sz w:val="24"/>
          <w:szCs w:val="24"/>
        </w:rPr>
        <w:t>; a d</w:t>
      </w:r>
      <w:r w:rsidR="00F900DA" w:rsidRPr="00F900DA">
        <w:rPr>
          <w:rFonts w:ascii="Georgia" w:hAnsi="Georgia"/>
          <w:sz w:val="24"/>
          <w:szCs w:val="24"/>
        </w:rPr>
        <w:t>ropdown list of Annual Reports (Form 1 Electric, Form 2 Gas, Form 6 Oil)</w:t>
      </w:r>
      <w:r w:rsidR="008C01A0">
        <w:rPr>
          <w:rFonts w:ascii="Georgia" w:hAnsi="Georgia"/>
          <w:sz w:val="24"/>
          <w:szCs w:val="24"/>
        </w:rPr>
        <w:t>; and a d</w:t>
      </w:r>
      <w:r w:rsidR="00F900DA" w:rsidRPr="00F900DA">
        <w:rPr>
          <w:rFonts w:ascii="Georgia" w:hAnsi="Georgia"/>
          <w:sz w:val="24"/>
          <w:szCs w:val="24"/>
        </w:rPr>
        <w:t xml:space="preserve">ropdown list of </w:t>
      </w:r>
      <w:r w:rsidR="008C01A0" w:rsidRPr="00F900DA">
        <w:rPr>
          <w:rFonts w:ascii="Georgia" w:hAnsi="Georgia"/>
          <w:sz w:val="24"/>
          <w:szCs w:val="24"/>
        </w:rPr>
        <w:t>Annual</w:t>
      </w:r>
      <w:r w:rsidR="00F900DA" w:rsidRPr="00F900DA">
        <w:rPr>
          <w:rFonts w:ascii="Georgia" w:hAnsi="Georgia"/>
          <w:sz w:val="24"/>
          <w:szCs w:val="24"/>
        </w:rPr>
        <w:t xml:space="preserve"> Report Year</w:t>
      </w:r>
      <w:r w:rsidR="008C01A0">
        <w:rPr>
          <w:rFonts w:ascii="Georgia" w:hAnsi="Georgia"/>
          <w:sz w:val="24"/>
          <w:szCs w:val="24"/>
        </w:rPr>
        <w:t xml:space="preserve">. In addition, </w:t>
      </w:r>
      <w:r w:rsidR="00F900DA" w:rsidRPr="00F900DA">
        <w:rPr>
          <w:rFonts w:ascii="Georgia" w:hAnsi="Georgia"/>
          <w:sz w:val="24"/>
          <w:szCs w:val="24"/>
        </w:rPr>
        <w:t xml:space="preserve">the </w:t>
      </w:r>
      <w:r w:rsidR="008C01A0">
        <w:rPr>
          <w:rFonts w:ascii="Georgia" w:hAnsi="Georgia"/>
          <w:sz w:val="24"/>
          <w:szCs w:val="24"/>
        </w:rPr>
        <w:t>f</w:t>
      </w:r>
      <w:r w:rsidR="00F900DA" w:rsidRPr="00F900DA">
        <w:rPr>
          <w:rFonts w:ascii="Georgia" w:hAnsi="Georgia"/>
          <w:sz w:val="24"/>
          <w:szCs w:val="24"/>
        </w:rPr>
        <w:t xml:space="preserve">orms </w:t>
      </w:r>
      <w:r w:rsidR="00F900DA" w:rsidRPr="00F900DA">
        <w:rPr>
          <w:rFonts w:ascii="Georgia" w:hAnsi="Georgia"/>
          <w:sz w:val="24"/>
          <w:szCs w:val="24"/>
        </w:rPr>
        <w:lastRenderedPageBreak/>
        <w:t xml:space="preserve">themselves could use </w:t>
      </w:r>
      <w:r w:rsidR="008C01A0" w:rsidRPr="00F900DA">
        <w:rPr>
          <w:rFonts w:ascii="Georgia" w:hAnsi="Georgia"/>
          <w:sz w:val="24"/>
          <w:szCs w:val="24"/>
        </w:rPr>
        <w:t>readability</w:t>
      </w:r>
      <w:r w:rsidR="00F900DA" w:rsidRPr="00F900DA">
        <w:rPr>
          <w:rFonts w:ascii="Georgia" w:hAnsi="Georgia"/>
          <w:sz w:val="24"/>
          <w:szCs w:val="24"/>
        </w:rPr>
        <w:t xml:space="preserve"> improvements</w:t>
      </w:r>
      <w:r w:rsidR="00E066C5">
        <w:rPr>
          <w:rFonts w:ascii="Georgia" w:hAnsi="Georgia"/>
          <w:sz w:val="24"/>
          <w:szCs w:val="24"/>
        </w:rPr>
        <w:t>—</w:t>
      </w:r>
      <w:r w:rsidR="00F900DA" w:rsidRPr="00F900DA">
        <w:rPr>
          <w:rFonts w:ascii="Georgia" w:hAnsi="Georgia"/>
          <w:sz w:val="24"/>
          <w:szCs w:val="24"/>
        </w:rPr>
        <w:t xml:space="preserve">Public Citizen staff can't be the only ones who find </w:t>
      </w:r>
      <w:r w:rsidR="008C01A0" w:rsidRPr="00F900DA">
        <w:rPr>
          <w:rFonts w:ascii="Georgia" w:hAnsi="Georgia"/>
          <w:sz w:val="24"/>
          <w:szCs w:val="24"/>
        </w:rPr>
        <w:t>navigating</w:t>
      </w:r>
      <w:r w:rsidR="00F900DA" w:rsidRPr="00F900DA">
        <w:rPr>
          <w:rFonts w:ascii="Georgia" w:hAnsi="Georgia"/>
          <w:sz w:val="24"/>
          <w:szCs w:val="24"/>
        </w:rPr>
        <w:t xml:space="preserve"> the forms complicated and burdensome.</w:t>
      </w:r>
    </w:p>
    <w:p w14:paraId="2418ADAA" w14:textId="77777777" w:rsidR="008145AA" w:rsidRDefault="008145AA" w:rsidP="00F23C4C">
      <w:pPr>
        <w:spacing w:line="360" w:lineRule="auto"/>
        <w:rPr>
          <w:rFonts w:ascii="Georgia" w:hAnsi="Georgia"/>
          <w:sz w:val="24"/>
          <w:szCs w:val="24"/>
        </w:rPr>
      </w:pPr>
    </w:p>
    <w:p w14:paraId="5A1D4921" w14:textId="77777777" w:rsidR="00C062A8" w:rsidRDefault="00C062A8" w:rsidP="00F900DA">
      <w:pPr>
        <w:rPr>
          <w:rFonts w:ascii="Georgia" w:hAnsi="Georgia"/>
          <w:sz w:val="24"/>
          <w:szCs w:val="24"/>
        </w:rPr>
      </w:pPr>
    </w:p>
    <w:p w14:paraId="6B2D0C3F" w14:textId="77777777" w:rsidR="00C062A8" w:rsidRDefault="00C062A8" w:rsidP="00F900DA">
      <w:pPr>
        <w:rPr>
          <w:rFonts w:ascii="Georgia" w:hAnsi="Georgia"/>
          <w:sz w:val="24"/>
          <w:szCs w:val="24"/>
        </w:rPr>
      </w:pPr>
    </w:p>
    <w:p w14:paraId="20F5F72D" w14:textId="5F312CC7" w:rsidR="00C062A8" w:rsidRDefault="00C062A8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AB22F6">
        <w:rPr>
          <w:rFonts w:ascii="Georgia" w:hAnsi="Georgia"/>
          <w:sz w:val="24"/>
          <w:szCs w:val="24"/>
        </w:rPr>
        <w:t>Respectfully submitted,</w:t>
      </w:r>
    </w:p>
    <w:p w14:paraId="31766C64" w14:textId="77777777" w:rsidR="00AB22F6" w:rsidRDefault="00AB22F6" w:rsidP="00F900DA">
      <w:pPr>
        <w:rPr>
          <w:rFonts w:ascii="Georgia" w:hAnsi="Georgia"/>
          <w:sz w:val="24"/>
          <w:szCs w:val="24"/>
        </w:rPr>
      </w:pPr>
    </w:p>
    <w:p w14:paraId="6C1E1F23" w14:textId="2DD60E83" w:rsidR="00AB22F6" w:rsidRDefault="00AB22F6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3C4BA065" w14:textId="17296C68" w:rsidR="00AB22F6" w:rsidRDefault="00AB22F6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15FFC" w:rsidRPr="00715FFC">
        <w:rPr>
          <w:rFonts w:ascii="Georgia" w:hAnsi="Georgia"/>
          <w:sz w:val="24"/>
          <w:szCs w:val="24"/>
        </w:rPr>
        <w:t>Rachel Curley, Democracy Advocate</w:t>
      </w:r>
    </w:p>
    <w:p w14:paraId="036E98DF" w14:textId="30A23823" w:rsidR="00715FFC" w:rsidRDefault="00715FFC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56F8976D" w14:textId="4E34E3E1" w:rsidR="00715FFC" w:rsidRDefault="00715FFC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338E9480" w14:textId="0B3EFD2A" w:rsidR="00715FFC" w:rsidRDefault="00715FFC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5C17BC6C" w14:textId="7E34CA3A" w:rsidR="00715FFC" w:rsidRDefault="00715FFC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588-1000</w:t>
      </w:r>
    </w:p>
    <w:p w14:paraId="7279C33D" w14:textId="0797DF2A" w:rsidR="00715FFC" w:rsidRPr="00F23C4C" w:rsidRDefault="00715FFC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7" w:history="1">
        <w:r w:rsidRPr="00F23C4C">
          <w:rPr>
            <w:rStyle w:val="Hyperlink"/>
            <w:rFonts w:ascii="Georgia" w:hAnsi="Georgia"/>
            <w:color w:val="000000" w:themeColor="text1"/>
            <w:sz w:val="24"/>
            <w:szCs w:val="24"/>
            <w:u w:val="none"/>
          </w:rPr>
          <w:t>tslocum@citizen.org</w:t>
        </w:r>
      </w:hyperlink>
    </w:p>
    <w:p w14:paraId="15FC2429" w14:textId="64C6C52A" w:rsidR="00715FFC" w:rsidRPr="002E69B7" w:rsidRDefault="00715FFC" w:rsidP="00F900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23C4C" w:rsidRPr="00F23C4C">
        <w:rPr>
          <w:rFonts w:ascii="Georgia" w:hAnsi="Georgia"/>
          <w:sz w:val="24"/>
          <w:szCs w:val="24"/>
        </w:rPr>
        <w:t>rcurley@citizen.org</w:t>
      </w:r>
    </w:p>
    <w:p w14:paraId="124E17AD" w14:textId="65AFFCC3" w:rsidR="001E5FD4" w:rsidRPr="002E69B7" w:rsidRDefault="001E5FD4" w:rsidP="004473CE">
      <w:pPr>
        <w:rPr>
          <w:rFonts w:ascii="Georgia" w:hAnsi="Georgia"/>
          <w:sz w:val="24"/>
          <w:szCs w:val="24"/>
        </w:rPr>
      </w:pPr>
    </w:p>
    <w:sectPr w:rsidR="001E5FD4" w:rsidRPr="002E69B7" w:rsidSect="000B43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C9DB" w14:textId="77777777" w:rsidR="00296BC6" w:rsidRDefault="00296BC6" w:rsidP="008A2D96">
      <w:r>
        <w:separator/>
      </w:r>
    </w:p>
  </w:endnote>
  <w:endnote w:type="continuationSeparator" w:id="0">
    <w:p w14:paraId="240DCA5B" w14:textId="77777777" w:rsidR="00296BC6" w:rsidRDefault="00296BC6" w:rsidP="008A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923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3523D" w14:textId="230280EB" w:rsidR="000B43E7" w:rsidRDefault="000B43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AD9771" w14:textId="77777777" w:rsidR="000B43E7" w:rsidRDefault="000B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BD79" w14:textId="77777777" w:rsidR="00296BC6" w:rsidRDefault="00296BC6" w:rsidP="008A2D96">
      <w:r>
        <w:separator/>
      </w:r>
    </w:p>
  </w:footnote>
  <w:footnote w:type="continuationSeparator" w:id="0">
    <w:p w14:paraId="294CFDFE" w14:textId="77777777" w:rsidR="00296BC6" w:rsidRDefault="00296BC6" w:rsidP="008A2D96">
      <w:r>
        <w:continuationSeparator/>
      </w:r>
    </w:p>
  </w:footnote>
  <w:footnote w:id="1">
    <w:p w14:paraId="46BBAC20" w14:textId="77777777" w:rsidR="00FC5BCF" w:rsidRDefault="00FC5BCF" w:rsidP="00FC5B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2D96">
        <w:rPr>
          <w:rFonts w:ascii="Georgia" w:hAnsi="Georgia"/>
        </w:rPr>
        <w:t>www.citizen.org/about/annual-report/</w:t>
      </w:r>
    </w:p>
  </w:footnote>
  <w:footnote w:id="2">
    <w:p w14:paraId="6B447238" w14:textId="5BF74471" w:rsidR="00EF2BD2" w:rsidRDefault="00EF2B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E06">
        <w:rPr>
          <w:rFonts w:ascii="Georgia" w:hAnsi="Georgia"/>
        </w:rPr>
        <w:t>16 USC § 824.</w:t>
      </w:r>
    </w:p>
  </w:footnote>
  <w:footnote w:id="3">
    <w:p w14:paraId="15FC910A" w14:textId="61DC9E06" w:rsidR="004F0589" w:rsidRDefault="004F05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589">
        <w:rPr>
          <w:rFonts w:ascii="Georgia" w:hAnsi="Georgia"/>
        </w:rPr>
        <w:t>15 USC § 717(a).</w:t>
      </w:r>
    </w:p>
  </w:footnote>
  <w:footnote w:id="4">
    <w:p w14:paraId="173E2A0C" w14:textId="2399F0CD" w:rsidR="00FC5BCF" w:rsidRDefault="00FC5B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E06">
        <w:rPr>
          <w:rFonts w:ascii="Georgia" w:hAnsi="Georgia"/>
        </w:rPr>
        <w:t>16 USC § 824d(a).</w:t>
      </w:r>
    </w:p>
  </w:footnote>
  <w:footnote w:id="5">
    <w:p w14:paraId="06F87A94" w14:textId="748CCA56" w:rsidR="00C77DC8" w:rsidRDefault="00C77D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62A8">
        <w:rPr>
          <w:rFonts w:ascii="Georgia" w:hAnsi="Georgia"/>
        </w:rPr>
        <w:t>https://corporatereformcoalition.org/policy-solutions</w:t>
      </w:r>
    </w:p>
  </w:footnote>
  <w:footnote w:id="6">
    <w:p w14:paraId="0498380D" w14:textId="48DDBD6B" w:rsidR="00604E6B" w:rsidRDefault="00604E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62A8">
        <w:rPr>
          <w:rFonts w:ascii="Georgia" w:hAnsi="Georgia"/>
        </w:rPr>
        <w:t>www.reuters.com/article/us-wal-mart-stores-disclosure-lobbying-e/exclusive-wal-mart-improves-lobbying-disclosure-after-stockholder-push-idUSKBN0NY0AH20150513</w:t>
      </w:r>
    </w:p>
  </w:footnote>
  <w:footnote w:id="7">
    <w:p w14:paraId="4BF8AD1E" w14:textId="7DB89719" w:rsidR="00604E6B" w:rsidRDefault="00604E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4E6B">
        <w:t>www.npr.org/2021/07/23/1019567905/an-energy-company-behind-a-major-bribery-scandal-in-ohio-will-pay-a-230-million-</w:t>
      </w:r>
    </w:p>
  </w:footnote>
  <w:footnote w:id="8">
    <w:p w14:paraId="5F4673EA" w14:textId="2D898322" w:rsidR="00D724F5" w:rsidRDefault="00D72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4F5">
        <w:t>www.politicalaccountability.net/wp-content/uploads/2021/08/Conflicted-Consequences.pdf</w:t>
      </w:r>
    </w:p>
  </w:footnote>
  <w:footnote w:id="9">
    <w:p w14:paraId="747E0B3E" w14:textId="38054E52" w:rsidR="005C0D33" w:rsidRDefault="005C0D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1734">
        <w:rPr>
          <w:rFonts w:ascii="Georgia" w:hAnsi="Georgia"/>
        </w:rPr>
        <w:t xml:space="preserve">Examples are found at </w:t>
      </w:r>
      <w:r w:rsidRPr="00F23C4C">
        <w:rPr>
          <w:rFonts w:ascii="Georgia" w:hAnsi="Georgia"/>
          <w:i/>
          <w:iCs/>
        </w:rPr>
        <w:t>www.iso-ne.com/library/latest-published</w:t>
      </w:r>
      <w:r w:rsidRPr="00441734">
        <w:rPr>
          <w:rFonts w:ascii="Georgia" w:hAnsi="Georgia"/>
        </w:rPr>
        <w:t xml:space="preserve"> and include External </w:t>
      </w:r>
      <w:r w:rsidR="000B7040" w:rsidRPr="00441734">
        <w:rPr>
          <w:rFonts w:ascii="Georgia" w:hAnsi="Georgia"/>
        </w:rPr>
        <w:t>Affairs</w:t>
      </w:r>
      <w:r w:rsidRPr="00441734">
        <w:rPr>
          <w:rFonts w:ascii="Georgia" w:hAnsi="Georgia"/>
        </w:rPr>
        <w:t xml:space="preserve"> Monthly Issues Memo; Government Affairs Meeting Reports; Government Affairs Report Summaries; Government </w:t>
      </w:r>
      <w:r w:rsidR="000B7040" w:rsidRPr="00441734">
        <w:rPr>
          <w:rFonts w:ascii="Georgia" w:hAnsi="Georgia"/>
        </w:rPr>
        <w:t>Affairs</w:t>
      </w:r>
      <w:r w:rsidRPr="00441734">
        <w:rPr>
          <w:rFonts w:ascii="Georgia" w:hAnsi="Georgia"/>
        </w:rPr>
        <w:t xml:space="preserve"> Presentations; </w:t>
      </w:r>
      <w:r w:rsidR="000B7040" w:rsidRPr="00441734">
        <w:rPr>
          <w:rFonts w:ascii="Georgia" w:hAnsi="Georgia"/>
        </w:rPr>
        <w:t xml:space="preserve">and </w:t>
      </w:r>
      <w:r w:rsidRPr="00441734">
        <w:rPr>
          <w:rFonts w:ascii="Georgia" w:hAnsi="Georgia"/>
        </w:rPr>
        <w:t xml:space="preserve">Government Affairs </w:t>
      </w:r>
      <w:r w:rsidR="000B7040" w:rsidRPr="00441734">
        <w:rPr>
          <w:rFonts w:ascii="Georgia" w:hAnsi="Georgia"/>
        </w:rPr>
        <w:t>Correspondence.</w:t>
      </w:r>
    </w:p>
  </w:footnote>
  <w:footnote w:id="10">
    <w:p w14:paraId="5ED8130A" w14:textId="433C01F3" w:rsidR="00B87BE3" w:rsidRDefault="00B87B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7BE3">
        <w:rPr>
          <w:rFonts w:ascii="Georgia" w:hAnsi="Georgia"/>
        </w:rPr>
        <w:t>https://elibrary.ferc.gov/eLibrary/search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A426" w14:textId="4D5F9B9C" w:rsidR="006B1C98" w:rsidRPr="006B1C98" w:rsidRDefault="006B1C98" w:rsidP="006B1C98">
    <w:pPr>
      <w:pStyle w:val="Header"/>
      <w:jc w:val="center"/>
      <w:rPr>
        <w:rFonts w:ascii="Georgia" w:hAnsi="Georgia"/>
        <w:i/>
        <w:iCs/>
      </w:rPr>
    </w:pPr>
    <w:r w:rsidRPr="006B1C98">
      <w:rPr>
        <w:rFonts w:ascii="Georgia" w:hAnsi="Georgia"/>
        <w:i/>
        <w:iCs/>
      </w:rPr>
      <w:t>Comments of Public Citizen, Inc. • Docket No. RM22-5 • February 22, 2022</w:t>
    </w:r>
  </w:p>
  <w:p w14:paraId="250E9D95" w14:textId="77777777" w:rsidR="006B1C98" w:rsidRDefault="006B1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7"/>
    <w:rsid w:val="00022B13"/>
    <w:rsid w:val="00035DB6"/>
    <w:rsid w:val="00067FE7"/>
    <w:rsid w:val="000864DC"/>
    <w:rsid w:val="00086B90"/>
    <w:rsid w:val="000954DB"/>
    <w:rsid w:val="000A6040"/>
    <w:rsid w:val="000A68FB"/>
    <w:rsid w:val="000B43E7"/>
    <w:rsid w:val="000B7040"/>
    <w:rsid w:val="000B7839"/>
    <w:rsid w:val="000C0975"/>
    <w:rsid w:val="000D5F80"/>
    <w:rsid w:val="000E5187"/>
    <w:rsid w:val="000F4965"/>
    <w:rsid w:val="001033C7"/>
    <w:rsid w:val="00114FE0"/>
    <w:rsid w:val="0012357E"/>
    <w:rsid w:val="001362FE"/>
    <w:rsid w:val="00156F17"/>
    <w:rsid w:val="001628C6"/>
    <w:rsid w:val="00162C79"/>
    <w:rsid w:val="001671F3"/>
    <w:rsid w:val="001844DE"/>
    <w:rsid w:val="001928EB"/>
    <w:rsid w:val="001B711A"/>
    <w:rsid w:val="001D2147"/>
    <w:rsid w:val="001E3197"/>
    <w:rsid w:val="001E5FD4"/>
    <w:rsid w:val="001F472E"/>
    <w:rsid w:val="002002AB"/>
    <w:rsid w:val="00205E8B"/>
    <w:rsid w:val="002275D0"/>
    <w:rsid w:val="00237579"/>
    <w:rsid w:val="00240E06"/>
    <w:rsid w:val="00240FF3"/>
    <w:rsid w:val="002866A8"/>
    <w:rsid w:val="00296BC6"/>
    <w:rsid w:val="002A46A9"/>
    <w:rsid w:val="002E69B7"/>
    <w:rsid w:val="002F5621"/>
    <w:rsid w:val="0030257E"/>
    <w:rsid w:val="00314107"/>
    <w:rsid w:val="003156AB"/>
    <w:rsid w:val="00315FA7"/>
    <w:rsid w:val="0032218D"/>
    <w:rsid w:val="00327CF1"/>
    <w:rsid w:val="00352B3F"/>
    <w:rsid w:val="0035498C"/>
    <w:rsid w:val="003648A9"/>
    <w:rsid w:val="00390E36"/>
    <w:rsid w:val="003E6C41"/>
    <w:rsid w:val="004045B4"/>
    <w:rsid w:val="00406FCE"/>
    <w:rsid w:val="004224B8"/>
    <w:rsid w:val="00427FE7"/>
    <w:rsid w:val="00431006"/>
    <w:rsid w:val="00433E1C"/>
    <w:rsid w:val="00441734"/>
    <w:rsid w:val="004423C0"/>
    <w:rsid w:val="0044474A"/>
    <w:rsid w:val="004473CE"/>
    <w:rsid w:val="00450E0E"/>
    <w:rsid w:val="00454030"/>
    <w:rsid w:val="0048743E"/>
    <w:rsid w:val="004C1403"/>
    <w:rsid w:val="004C3085"/>
    <w:rsid w:val="004C688F"/>
    <w:rsid w:val="004D0B24"/>
    <w:rsid w:val="004D3068"/>
    <w:rsid w:val="004D30EA"/>
    <w:rsid w:val="004E079F"/>
    <w:rsid w:val="004F0589"/>
    <w:rsid w:val="004F11D3"/>
    <w:rsid w:val="00510C04"/>
    <w:rsid w:val="00531C99"/>
    <w:rsid w:val="00533DA4"/>
    <w:rsid w:val="00543A07"/>
    <w:rsid w:val="00544DF3"/>
    <w:rsid w:val="00556EE1"/>
    <w:rsid w:val="005709C2"/>
    <w:rsid w:val="005A31AD"/>
    <w:rsid w:val="005C0D33"/>
    <w:rsid w:val="005C4858"/>
    <w:rsid w:val="005C6274"/>
    <w:rsid w:val="006028F5"/>
    <w:rsid w:val="00604E6B"/>
    <w:rsid w:val="00617F10"/>
    <w:rsid w:val="006443BB"/>
    <w:rsid w:val="00646BFD"/>
    <w:rsid w:val="00660455"/>
    <w:rsid w:val="00666C7A"/>
    <w:rsid w:val="00691A1F"/>
    <w:rsid w:val="006A502A"/>
    <w:rsid w:val="006B1C98"/>
    <w:rsid w:val="006C579D"/>
    <w:rsid w:val="006C5EF2"/>
    <w:rsid w:val="006E1F7B"/>
    <w:rsid w:val="006E2B5E"/>
    <w:rsid w:val="0070244A"/>
    <w:rsid w:val="00715FFC"/>
    <w:rsid w:val="00733A0C"/>
    <w:rsid w:val="00741005"/>
    <w:rsid w:val="007412F9"/>
    <w:rsid w:val="00771E77"/>
    <w:rsid w:val="007743FB"/>
    <w:rsid w:val="00777ED6"/>
    <w:rsid w:val="00783C02"/>
    <w:rsid w:val="007A15DE"/>
    <w:rsid w:val="007A3B71"/>
    <w:rsid w:val="008145AA"/>
    <w:rsid w:val="00823B93"/>
    <w:rsid w:val="008424C3"/>
    <w:rsid w:val="0087680E"/>
    <w:rsid w:val="008948E8"/>
    <w:rsid w:val="008A2D96"/>
    <w:rsid w:val="008C01A0"/>
    <w:rsid w:val="008D6622"/>
    <w:rsid w:val="008E2E2E"/>
    <w:rsid w:val="008F008B"/>
    <w:rsid w:val="009160F9"/>
    <w:rsid w:val="00923DFD"/>
    <w:rsid w:val="00937755"/>
    <w:rsid w:val="009455CB"/>
    <w:rsid w:val="00956C90"/>
    <w:rsid w:val="00973F92"/>
    <w:rsid w:val="00976E3F"/>
    <w:rsid w:val="009A364E"/>
    <w:rsid w:val="009B376F"/>
    <w:rsid w:val="009B7AF0"/>
    <w:rsid w:val="009C6947"/>
    <w:rsid w:val="009D3BE4"/>
    <w:rsid w:val="009F427F"/>
    <w:rsid w:val="00A57811"/>
    <w:rsid w:val="00A66293"/>
    <w:rsid w:val="00A70F10"/>
    <w:rsid w:val="00AB22F6"/>
    <w:rsid w:val="00AD17CB"/>
    <w:rsid w:val="00B03E81"/>
    <w:rsid w:val="00B11026"/>
    <w:rsid w:val="00B1765E"/>
    <w:rsid w:val="00B32601"/>
    <w:rsid w:val="00B3276A"/>
    <w:rsid w:val="00B32A9F"/>
    <w:rsid w:val="00B87BE3"/>
    <w:rsid w:val="00BB3490"/>
    <w:rsid w:val="00C00034"/>
    <w:rsid w:val="00C02966"/>
    <w:rsid w:val="00C062A8"/>
    <w:rsid w:val="00C162CD"/>
    <w:rsid w:val="00C356D3"/>
    <w:rsid w:val="00C446F7"/>
    <w:rsid w:val="00C77DC8"/>
    <w:rsid w:val="00C82C03"/>
    <w:rsid w:val="00C90288"/>
    <w:rsid w:val="00CC1091"/>
    <w:rsid w:val="00CC1108"/>
    <w:rsid w:val="00CD0A8F"/>
    <w:rsid w:val="00CD21D6"/>
    <w:rsid w:val="00CD3343"/>
    <w:rsid w:val="00D069DC"/>
    <w:rsid w:val="00D50260"/>
    <w:rsid w:val="00D60BC0"/>
    <w:rsid w:val="00D709EF"/>
    <w:rsid w:val="00D724F5"/>
    <w:rsid w:val="00D7609D"/>
    <w:rsid w:val="00D90D5D"/>
    <w:rsid w:val="00DB2AAF"/>
    <w:rsid w:val="00DC2881"/>
    <w:rsid w:val="00DD0863"/>
    <w:rsid w:val="00DD6B95"/>
    <w:rsid w:val="00DF1D53"/>
    <w:rsid w:val="00E066C5"/>
    <w:rsid w:val="00E107B3"/>
    <w:rsid w:val="00E32922"/>
    <w:rsid w:val="00E6702A"/>
    <w:rsid w:val="00E763FD"/>
    <w:rsid w:val="00E81D2E"/>
    <w:rsid w:val="00E91088"/>
    <w:rsid w:val="00EA0F68"/>
    <w:rsid w:val="00EA19D6"/>
    <w:rsid w:val="00EA26EB"/>
    <w:rsid w:val="00EC71D7"/>
    <w:rsid w:val="00EF2935"/>
    <w:rsid w:val="00EF2BD2"/>
    <w:rsid w:val="00F10CAB"/>
    <w:rsid w:val="00F23C4C"/>
    <w:rsid w:val="00F31F43"/>
    <w:rsid w:val="00F816F2"/>
    <w:rsid w:val="00F900DA"/>
    <w:rsid w:val="00F914C5"/>
    <w:rsid w:val="00FA2507"/>
    <w:rsid w:val="00FC5BCF"/>
    <w:rsid w:val="00FD0730"/>
    <w:rsid w:val="00FD54E6"/>
    <w:rsid w:val="00FE5348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A833"/>
  <w15:chartTrackingRefBased/>
  <w15:docId w15:val="{029AEC0A-996C-47E0-BFC5-4C21FED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2D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D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D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4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E7"/>
  </w:style>
  <w:style w:type="paragraph" w:styleId="Footer">
    <w:name w:val="footer"/>
    <w:basedOn w:val="Normal"/>
    <w:link w:val="FooterChar"/>
    <w:uiPriority w:val="99"/>
    <w:unhideWhenUsed/>
    <w:rsid w:val="000B4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E7"/>
  </w:style>
  <w:style w:type="paragraph" w:styleId="Revision">
    <w:name w:val="Revision"/>
    <w:hidden/>
    <w:uiPriority w:val="99"/>
    <w:semiHidden/>
    <w:rsid w:val="00F914C5"/>
  </w:style>
  <w:style w:type="paragraph" w:customStyle="1" w:styleId="Default">
    <w:name w:val="Default"/>
    <w:rsid w:val="00C77D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4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673A-D141-4066-B592-48F9D98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T. Slocum</dc:creator>
  <cp:keywords/>
  <dc:description/>
  <cp:lastModifiedBy>Tyson T. Slocum</cp:lastModifiedBy>
  <cp:revision>13</cp:revision>
  <dcterms:created xsi:type="dcterms:W3CDTF">2022-02-22T00:29:00Z</dcterms:created>
  <dcterms:modified xsi:type="dcterms:W3CDTF">2022-02-22T11:47:00Z</dcterms:modified>
</cp:coreProperties>
</file>