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0F6B2" w14:textId="14394C32" w:rsidR="006443BB" w:rsidRPr="00DC1D96" w:rsidRDefault="004B38B0" w:rsidP="00DC1D96">
      <w:pPr>
        <w:jc w:val="center"/>
        <w:rPr>
          <w:rFonts w:ascii="Georgia" w:hAnsi="Georgia"/>
          <w:sz w:val="24"/>
          <w:szCs w:val="24"/>
        </w:rPr>
      </w:pPr>
      <w:r w:rsidRPr="00DC1D96">
        <w:rPr>
          <w:rFonts w:ascii="Georgia" w:hAnsi="Georgia"/>
          <w:sz w:val="24"/>
          <w:szCs w:val="24"/>
        </w:rPr>
        <w:t>UNITED STATES OF AMERICA</w:t>
      </w:r>
    </w:p>
    <w:p w14:paraId="54806B3D" w14:textId="51483C0E" w:rsidR="004B38B0" w:rsidRPr="00DC1D96" w:rsidRDefault="004B38B0" w:rsidP="00DC1D96">
      <w:pPr>
        <w:jc w:val="center"/>
        <w:rPr>
          <w:rFonts w:ascii="Georgia" w:hAnsi="Georgia"/>
          <w:sz w:val="24"/>
          <w:szCs w:val="24"/>
        </w:rPr>
      </w:pPr>
      <w:r w:rsidRPr="00DC1D96">
        <w:rPr>
          <w:rFonts w:ascii="Georgia" w:hAnsi="Georgia"/>
          <w:sz w:val="24"/>
          <w:szCs w:val="24"/>
        </w:rPr>
        <w:t>BEFORE THE</w:t>
      </w:r>
    </w:p>
    <w:p w14:paraId="12B84E53" w14:textId="3F0263ED" w:rsidR="004B38B0" w:rsidRPr="00DC1D96" w:rsidRDefault="004B38B0" w:rsidP="00DC1D96">
      <w:pPr>
        <w:jc w:val="center"/>
        <w:rPr>
          <w:rFonts w:ascii="Georgia" w:hAnsi="Georgia"/>
          <w:sz w:val="24"/>
          <w:szCs w:val="24"/>
        </w:rPr>
      </w:pPr>
      <w:r w:rsidRPr="00DC1D96">
        <w:rPr>
          <w:rFonts w:ascii="Georgia" w:hAnsi="Georgia"/>
          <w:sz w:val="24"/>
          <w:szCs w:val="24"/>
        </w:rPr>
        <w:t>FEDERAL ENERGY REGULATORY COMMISSION</w:t>
      </w:r>
    </w:p>
    <w:p w14:paraId="41455B58" w14:textId="77777777" w:rsidR="004B38B0" w:rsidRPr="00DC1D96" w:rsidRDefault="004B38B0">
      <w:pPr>
        <w:rPr>
          <w:rFonts w:ascii="Georgia" w:hAnsi="Georgia"/>
          <w:sz w:val="24"/>
          <w:szCs w:val="24"/>
        </w:rPr>
      </w:pPr>
    </w:p>
    <w:p w14:paraId="29B74D94" w14:textId="5746DC70" w:rsidR="004B38B0" w:rsidRDefault="004B38B0">
      <w:pPr>
        <w:rPr>
          <w:rFonts w:ascii="Georgia" w:hAnsi="Georgia"/>
          <w:sz w:val="24"/>
          <w:szCs w:val="24"/>
        </w:rPr>
      </w:pPr>
      <w:r w:rsidRPr="00DC1D96">
        <w:rPr>
          <w:rFonts w:ascii="Georgia" w:hAnsi="Georgia"/>
          <w:sz w:val="24"/>
          <w:szCs w:val="24"/>
        </w:rPr>
        <w:t>North American Electric Reliability Corporation</w:t>
      </w:r>
      <w:r w:rsidRPr="00DC1D96">
        <w:rPr>
          <w:rFonts w:ascii="Georgia" w:hAnsi="Georgia"/>
          <w:sz w:val="24"/>
          <w:szCs w:val="24"/>
        </w:rPr>
        <w:tab/>
      </w:r>
      <w:r w:rsidRPr="00DC1D96">
        <w:rPr>
          <w:rFonts w:ascii="Georgia" w:hAnsi="Georgia"/>
          <w:sz w:val="24"/>
          <w:szCs w:val="24"/>
        </w:rPr>
        <w:tab/>
      </w:r>
      <w:r w:rsidRPr="00DC1D96">
        <w:rPr>
          <w:rFonts w:ascii="Georgia" w:hAnsi="Georgia"/>
          <w:sz w:val="24"/>
          <w:szCs w:val="24"/>
        </w:rPr>
        <w:tab/>
        <w:t xml:space="preserve">Docket No. </w:t>
      </w:r>
      <w:r w:rsidRPr="00DC1D96">
        <w:rPr>
          <w:rFonts w:ascii="Georgia" w:hAnsi="Georgia"/>
          <w:sz w:val="24"/>
          <w:szCs w:val="24"/>
        </w:rPr>
        <w:t>RR23-1</w:t>
      </w:r>
    </w:p>
    <w:p w14:paraId="56F117DA" w14:textId="77777777" w:rsidR="00DC1D96" w:rsidRDefault="00DC1D96">
      <w:pPr>
        <w:rPr>
          <w:rFonts w:ascii="Georgia" w:hAnsi="Georgia"/>
          <w:sz w:val="24"/>
          <w:szCs w:val="24"/>
        </w:rPr>
      </w:pPr>
    </w:p>
    <w:p w14:paraId="5BA3D80E" w14:textId="77777777" w:rsidR="008A6973" w:rsidRDefault="008A6973" w:rsidP="00187424">
      <w:pPr>
        <w:jc w:val="center"/>
        <w:rPr>
          <w:rFonts w:ascii="Georgia" w:hAnsi="Georgia"/>
          <w:b/>
          <w:bCs/>
          <w:sz w:val="24"/>
          <w:szCs w:val="24"/>
        </w:rPr>
      </w:pPr>
    </w:p>
    <w:p w14:paraId="2667CD45" w14:textId="308E3C16" w:rsidR="00DC1D96" w:rsidRPr="00187424" w:rsidRDefault="00DC1D96" w:rsidP="00187424">
      <w:pPr>
        <w:jc w:val="center"/>
        <w:rPr>
          <w:rFonts w:ascii="Georgia" w:hAnsi="Georgia"/>
          <w:b/>
          <w:bCs/>
          <w:sz w:val="24"/>
          <w:szCs w:val="24"/>
        </w:rPr>
      </w:pPr>
      <w:r w:rsidRPr="00187424">
        <w:rPr>
          <w:rFonts w:ascii="Georgia" w:hAnsi="Georgia"/>
          <w:b/>
          <w:bCs/>
          <w:sz w:val="24"/>
          <w:szCs w:val="24"/>
        </w:rPr>
        <w:t>Comment of Public Citizen, Inc.</w:t>
      </w:r>
    </w:p>
    <w:p w14:paraId="64B4B081" w14:textId="77777777" w:rsidR="00DC1D96" w:rsidRDefault="00DC1D96">
      <w:pPr>
        <w:rPr>
          <w:rFonts w:ascii="Georgia" w:hAnsi="Georgia"/>
          <w:sz w:val="24"/>
          <w:szCs w:val="24"/>
        </w:rPr>
      </w:pPr>
    </w:p>
    <w:p w14:paraId="05216991" w14:textId="60462D6A" w:rsidR="00DC1D96" w:rsidRDefault="00DC1D96" w:rsidP="008A697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On May 15, </w:t>
      </w:r>
      <w:proofErr w:type="gramStart"/>
      <w:r>
        <w:rPr>
          <w:rFonts w:ascii="Georgia" w:hAnsi="Georgia"/>
          <w:sz w:val="24"/>
          <w:szCs w:val="24"/>
        </w:rPr>
        <w:t xml:space="preserve">the </w:t>
      </w:r>
      <w:r w:rsidRPr="00DC1D96">
        <w:rPr>
          <w:rFonts w:ascii="Georgia" w:hAnsi="Georgia"/>
          <w:sz w:val="24"/>
          <w:szCs w:val="24"/>
        </w:rPr>
        <w:t xml:space="preserve"> North</w:t>
      </w:r>
      <w:proofErr w:type="gramEnd"/>
      <w:r w:rsidRPr="00DC1D96">
        <w:rPr>
          <w:rFonts w:ascii="Georgia" w:hAnsi="Georgia"/>
          <w:sz w:val="24"/>
          <w:szCs w:val="24"/>
        </w:rPr>
        <w:t xml:space="preserve"> American Electric Reliability</w:t>
      </w:r>
      <w:r w:rsidR="006B4A66">
        <w:rPr>
          <w:rFonts w:ascii="Georgia" w:hAnsi="Georgia"/>
          <w:sz w:val="24"/>
          <w:szCs w:val="24"/>
        </w:rPr>
        <w:t xml:space="preserve"> </w:t>
      </w:r>
      <w:r w:rsidR="006B4A66" w:rsidRPr="006B4A66">
        <w:rPr>
          <w:rFonts w:ascii="Georgia" w:hAnsi="Georgia"/>
          <w:sz w:val="24"/>
          <w:szCs w:val="24"/>
        </w:rPr>
        <w:t xml:space="preserve">Corporation </w:t>
      </w:r>
      <w:r w:rsidR="006B4A66">
        <w:rPr>
          <w:rFonts w:ascii="Georgia" w:hAnsi="Georgia"/>
          <w:sz w:val="24"/>
          <w:szCs w:val="24"/>
        </w:rPr>
        <w:t xml:space="preserve">(NERC) petitioned </w:t>
      </w:r>
      <w:r w:rsidR="006B4A66" w:rsidRPr="006B4A66">
        <w:rPr>
          <w:rFonts w:ascii="Georgia" w:hAnsi="Georgia"/>
          <w:sz w:val="24"/>
          <w:szCs w:val="24"/>
        </w:rPr>
        <w:t>for approval of revisions to the Texas Reliability Entity,</w:t>
      </w:r>
      <w:r w:rsidR="006B4A66">
        <w:rPr>
          <w:rFonts w:ascii="Georgia" w:hAnsi="Georgia"/>
          <w:sz w:val="24"/>
          <w:szCs w:val="24"/>
        </w:rPr>
        <w:t xml:space="preserve"> </w:t>
      </w:r>
      <w:r w:rsidR="006B4A66" w:rsidRPr="006B4A66">
        <w:rPr>
          <w:rFonts w:ascii="Georgia" w:hAnsi="Georgia"/>
          <w:sz w:val="24"/>
          <w:szCs w:val="24"/>
        </w:rPr>
        <w:t xml:space="preserve">Inc. </w:t>
      </w:r>
      <w:r w:rsidR="006B4A66" w:rsidRPr="008A6973">
        <w:rPr>
          <w:rFonts w:ascii="Georgia" w:hAnsi="Georgia"/>
          <w:i/>
          <w:iCs/>
          <w:sz w:val="24"/>
          <w:szCs w:val="24"/>
        </w:rPr>
        <w:t>Regional Reliability Standards Development Process</w:t>
      </w:r>
      <w:r w:rsidR="002D1115">
        <w:rPr>
          <w:rFonts w:ascii="Georgia" w:hAnsi="Georgia"/>
          <w:sz w:val="24"/>
          <w:szCs w:val="24"/>
        </w:rPr>
        <w:t xml:space="preserve">, </w:t>
      </w:r>
      <w:r w:rsidR="002D1115" w:rsidRPr="002D1115">
        <w:rPr>
          <w:rFonts w:ascii="Georgia" w:hAnsi="Georgia"/>
          <w:sz w:val="24"/>
          <w:szCs w:val="24"/>
        </w:rPr>
        <w:t>by which Texas RE develops</w:t>
      </w:r>
      <w:r w:rsidR="002D1115">
        <w:rPr>
          <w:rFonts w:ascii="Georgia" w:hAnsi="Georgia"/>
          <w:sz w:val="24"/>
          <w:szCs w:val="24"/>
        </w:rPr>
        <w:t xml:space="preserve"> r</w:t>
      </w:r>
      <w:r w:rsidR="002D1115" w:rsidRPr="002D1115">
        <w:rPr>
          <w:rFonts w:ascii="Georgia" w:hAnsi="Georgia"/>
          <w:sz w:val="24"/>
          <w:szCs w:val="24"/>
        </w:rPr>
        <w:t xml:space="preserve">eliability </w:t>
      </w:r>
      <w:r w:rsidR="002D1115">
        <w:rPr>
          <w:rFonts w:ascii="Georgia" w:hAnsi="Georgia"/>
          <w:sz w:val="24"/>
          <w:szCs w:val="24"/>
        </w:rPr>
        <w:t>s</w:t>
      </w:r>
      <w:r w:rsidR="002D1115" w:rsidRPr="002D1115">
        <w:rPr>
          <w:rFonts w:ascii="Georgia" w:hAnsi="Georgia"/>
          <w:sz w:val="24"/>
          <w:szCs w:val="24"/>
        </w:rPr>
        <w:t>tandards for the Electric Reliability Council of Texas</w:t>
      </w:r>
      <w:r w:rsidR="002D1115">
        <w:rPr>
          <w:rFonts w:ascii="Georgia" w:hAnsi="Georgia"/>
          <w:sz w:val="24"/>
          <w:szCs w:val="24"/>
        </w:rPr>
        <w:t xml:space="preserve"> (ERCOT). </w:t>
      </w:r>
    </w:p>
    <w:p w14:paraId="7E829352" w14:textId="17AD759A" w:rsidR="002D1115" w:rsidRDefault="002D1115" w:rsidP="008A697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Section 1.1</w:t>
      </w:r>
      <w:r w:rsidR="00FD47DA">
        <w:rPr>
          <w:rFonts w:ascii="Georgia" w:hAnsi="Georgia"/>
          <w:sz w:val="24"/>
          <w:szCs w:val="24"/>
        </w:rPr>
        <w:t xml:space="preserve"> of the </w:t>
      </w:r>
      <w:r w:rsidR="00FD47DA" w:rsidRPr="00FD47DA">
        <w:rPr>
          <w:rFonts w:ascii="Georgia" w:hAnsi="Georgia"/>
          <w:sz w:val="24"/>
          <w:szCs w:val="24"/>
        </w:rPr>
        <w:t>Texas Reliability Entity, Inc.</w:t>
      </w:r>
      <w:r w:rsidR="00FD47DA">
        <w:rPr>
          <w:rFonts w:ascii="Georgia" w:hAnsi="Georgia"/>
          <w:sz w:val="24"/>
          <w:szCs w:val="24"/>
        </w:rPr>
        <w:t xml:space="preserve"> </w:t>
      </w:r>
      <w:r w:rsidR="00FD47DA" w:rsidRPr="008A6973">
        <w:rPr>
          <w:rFonts w:ascii="Georgia" w:hAnsi="Georgia"/>
          <w:i/>
          <w:iCs/>
          <w:sz w:val="24"/>
          <w:szCs w:val="24"/>
        </w:rPr>
        <w:t>Regional Standards Development Process</w:t>
      </w:r>
      <w:r w:rsidR="00FD47DA">
        <w:rPr>
          <w:rFonts w:ascii="Georgia" w:hAnsi="Georgia"/>
          <w:sz w:val="24"/>
          <w:szCs w:val="24"/>
        </w:rPr>
        <w:t xml:space="preserve"> is titled “</w:t>
      </w:r>
      <w:r w:rsidR="00FD47DA" w:rsidRPr="00FD47DA">
        <w:rPr>
          <w:rFonts w:ascii="Georgia" w:hAnsi="Georgia"/>
          <w:sz w:val="24"/>
          <w:szCs w:val="24"/>
        </w:rPr>
        <w:t>Reliability and Market Principles</w:t>
      </w:r>
      <w:r w:rsidR="00FD47DA">
        <w:rPr>
          <w:rFonts w:ascii="Georgia" w:hAnsi="Georgia"/>
          <w:sz w:val="24"/>
          <w:szCs w:val="24"/>
        </w:rPr>
        <w:t>” and states</w:t>
      </w:r>
      <w:r w:rsidR="00CA3337">
        <w:rPr>
          <w:rFonts w:ascii="Georgia" w:hAnsi="Georgia"/>
          <w:sz w:val="24"/>
          <w:szCs w:val="24"/>
        </w:rPr>
        <w:t>, in part:</w:t>
      </w:r>
    </w:p>
    <w:p w14:paraId="6F25C461" w14:textId="6BCCB56F" w:rsidR="00CA3337" w:rsidRDefault="00CA3337" w:rsidP="00CA3337">
      <w:pPr>
        <w:rPr>
          <w:rFonts w:ascii="Georgia" w:hAnsi="Georgia"/>
          <w:sz w:val="24"/>
          <w:szCs w:val="24"/>
        </w:rPr>
      </w:pPr>
    </w:p>
    <w:p w14:paraId="3B34A468" w14:textId="6B11F361" w:rsidR="00CA3337" w:rsidRPr="00CA3337" w:rsidRDefault="00CA3337" w:rsidP="00CA3337">
      <w:pPr>
        <w:ind w:left="720"/>
        <w:rPr>
          <w:rFonts w:ascii="Georgia" w:hAnsi="Georgia"/>
          <w:i/>
          <w:iCs/>
        </w:rPr>
      </w:pPr>
      <w:r w:rsidRPr="00CA3337">
        <w:rPr>
          <w:rFonts w:ascii="Georgia" w:hAnsi="Georgia"/>
          <w:i/>
          <w:iCs/>
        </w:rPr>
        <w:t xml:space="preserve">While NERC Reliability Standards are intended to promote </w:t>
      </w:r>
      <w:r w:rsidRPr="00CA3337">
        <w:rPr>
          <w:rFonts w:ascii="Georgia" w:hAnsi="Georgia"/>
          <w:i/>
          <w:iCs/>
        </w:rPr>
        <w:t xml:space="preserve">[Bulk Power System] </w:t>
      </w:r>
      <w:r w:rsidRPr="00CA3337">
        <w:rPr>
          <w:rFonts w:ascii="Georgia" w:hAnsi="Georgia"/>
          <w:i/>
          <w:iCs/>
        </w:rPr>
        <w:t>BPS reliability, they must also</w:t>
      </w:r>
      <w:r w:rsidRPr="00CA3337">
        <w:rPr>
          <w:rFonts w:ascii="Georgia" w:hAnsi="Georgia"/>
          <w:i/>
          <w:iCs/>
        </w:rPr>
        <w:t xml:space="preserve"> </w:t>
      </w:r>
      <w:r w:rsidRPr="00CA3337">
        <w:rPr>
          <w:rFonts w:ascii="Georgia" w:hAnsi="Georgia"/>
          <w:i/>
          <w:iCs/>
        </w:rPr>
        <w:t>accommodate competitive electricity markets. Reliability is a necessity for electricity markets,</w:t>
      </w:r>
      <w:r w:rsidRPr="00CA3337">
        <w:rPr>
          <w:rFonts w:ascii="Georgia" w:hAnsi="Georgia"/>
          <w:i/>
          <w:iCs/>
        </w:rPr>
        <w:t xml:space="preserve"> </w:t>
      </w:r>
      <w:r w:rsidRPr="00CA3337">
        <w:rPr>
          <w:rFonts w:ascii="Georgia" w:hAnsi="Georgia"/>
          <w:i/>
          <w:iCs/>
        </w:rPr>
        <w:t>and robust electricity markets can support reliability. The intent of considering the NERC Market</w:t>
      </w:r>
      <w:r w:rsidRPr="00CA3337">
        <w:rPr>
          <w:rFonts w:ascii="Georgia" w:hAnsi="Georgia"/>
          <w:i/>
          <w:iCs/>
        </w:rPr>
        <w:t xml:space="preserve"> </w:t>
      </w:r>
      <w:r w:rsidRPr="00CA3337">
        <w:rPr>
          <w:rFonts w:ascii="Georgia" w:hAnsi="Georgia"/>
          <w:i/>
          <w:iCs/>
        </w:rPr>
        <w:t>Principles is to ensure that Regional Standards are written to achieve their reliability objective</w:t>
      </w:r>
      <w:r w:rsidRPr="00CA3337">
        <w:rPr>
          <w:rFonts w:ascii="Georgia" w:hAnsi="Georgia"/>
          <w:i/>
          <w:iCs/>
        </w:rPr>
        <w:t xml:space="preserve"> </w:t>
      </w:r>
      <w:r w:rsidRPr="00CA3337">
        <w:rPr>
          <w:rFonts w:ascii="Georgia" w:hAnsi="Georgia"/>
          <w:i/>
          <w:iCs/>
        </w:rPr>
        <w:t>without causing undue restrictions or adverse impacts on competitive electricity markets.</w:t>
      </w:r>
      <w:r w:rsidRPr="00CA3337">
        <w:rPr>
          <w:rFonts w:ascii="Georgia" w:hAnsi="Georgia"/>
          <w:i/>
          <w:iCs/>
        </w:rPr>
        <w:t xml:space="preserve"> </w:t>
      </w:r>
      <w:r w:rsidRPr="00CA3337">
        <w:rPr>
          <w:rFonts w:ascii="Georgia" w:hAnsi="Georgia"/>
          <w:i/>
          <w:iCs/>
        </w:rPr>
        <w:t>Recognizing that BPS reliability and electricity markets are inseparable and mutually</w:t>
      </w:r>
      <w:r w:rsidRPr="00CA3337">
        <w:rPr>
          <w:rFonts w:ascii="Georgia" w:hAnsi="Georgia"/>
          <w:i/>
          <w:iCs/>
        </w:rPr>
        <w:t xml:space="preserve"> </w:t>
      </w:r>
      <w:r w:rsidRPr="00CA3337">
        <w:rPr>
          <w:rFonts w:ascii="Georgia" w:hAnsi="Georgia"/>
          <w:i/>
          <w:iCs/>
        </w:rPr>
        <w:t>interdependent, all Regional Standards shall be consistent with the NERC Market Principles.</w:t>
      </w:r>
    </w:p>
    <w:p w14:paraId="26F0C7E0" w14:textId="77777777" w:rsidR="00CA3337" w:rsidRDefault="00CA3337" w:rsidP="00CA3337">
      <w:pPr>
        <w:rPr>
          <w:rFonts w:ascii="Georgia" w:hAnsi="Georgia"/>
          <w:sz w:val="24"/>
          <w:szCs w:val="24"/>
        </w:rPr>
      </w:pPr>
    </w:p>
    <w:p w14:paraId="294A8184" w14:textId="782418D7" w:rsidR="00CA3337" w:rsidRDefault="00CA3337" w:rsidP="008A697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assertion that federal reliability standards “must also accommodate competitive electricity markets” and must “</w:t>
      </w:r>
      <w:r w:rsidRPr="00CA3337">
        <w:rPr>
          <w:rFonts w:ascii="Georgia" w:hAnsi="Georgia"/>
          <w:sz w:val="24"/>
          <w:szCs w:val="24"/>
        </w:rPr>
        <w:t>ensure that Regional Standards are written to achieve their reliability objective</w:t>
      </w:r>
      <w:r>
        <w:rPr>
          <w:rFonts w:ascii="Georgia" w:hAnsi="Georgia"/>
          <w:sz w:val="24"/>
          <w:szCs w:val="24"/>
        </w:rPr>
        <w:t xml:space="preserve"> </w:t>
      </w:r>
      <w:r w:rsidRPr="00CA3337">
        <w:rPr>
          <w:rFonts w:ascii="Georgia" w:hAnsi="Georgia"/>
          <w:sz w:val="24"/>
          <w:szCs w:val="24"/>
        </w:rPr>
        <w:t>without causing undue restrictions or adverse impacts on competitive electricity markets</w:t>
      </w:r>
      <w:r>
        <w:rPr>
          <w:rFonts w:ascii="Georgia" w:hAnsi="Georgia"/>
          <w:sz w:val="24"/>
          <w:szCs w:val="24"/>
        </w:rPr>
        <w:t>” is unsupported by any facts or statute. In reality, “competitive electricity markets” are struggling mightily to preserve reliability, and often competitive markets are the culprit in eroding BPS reliability.</w:t>
      </w:r>
      <w:r w:rsidR="008C4D4D">
        <w:rPr>
          <w:rFonts w:ascii="Georgia" w:hAnsi="Georgia"/>
          <w:sz w:val="24"/>
          <w:szCs w:val="24"/>
        </w:rPr>
        <w:t xml:space="preserve"> As FERC Commissioner Mark </w:t>
      </w:r>
      <w:r w:rsidR="00FF19C8">
        <w:rPr>
          <w:rFonts w:ascii="Georgia" w:hAnsi="Georgia"/>
          <w:sz w:val="24"/>
          <w:szCs w:val="24"/>
        </w:rPr>
        <w:t xml:space="preserve">C. </w:t>
      </w:r>
      <w:r w:rsidR="008C4D4D">
        <w:rPr>
          <w:rFonts w:ascii="Georgia" w:hAnsi="Georgia"/>
          <w:sz w:val="24"/>
          <w:szCs w:val="24"/>
        </w:rPr>
        <w:t>Christie recently wrote</w:t>
      </w:r>
      <w:r w:rsidR="00FF19C8">
        <w:rPr>
          <w:rFonts w:ascii="Georgia" w:hAnsi="Georgia"/>
          <w:sz w:val="24"/>
          <w:szCs w:val="24"/>
        </w:rPr>
        <w:t>:</w:t>
      </w:r>
      <w:r w:rsidR="008C4D4D">
        <w:rPr>
          <w:rFonts w:ascii="Georgia" w:hAnsi="Georgia"/>
          <w:sz w:val="24"/>
          <w:szCs w:val="24"/>
        </w:rPr>
        <w:t xml:space="preserve"> “</w:t>
      </w:r>
      <w:r w:rsidR="008C4D4D" w:rsidRPr="008C4D4D">
        <w:rPr>
          <w:rFonts w:ascii="Georgia" w:hAnsi="Georgia"/>
          <w:sz w:val="24"/>
          <w:szCs w:val="24"/>
        </w:rPr>
        <w:t>The experience of ERCOT – the purest example of a market approach to</w:t>
      </w:r>
      <w:r w:rsidR="008C4D4D">
        <w:rPr>
          <w:rFonts w:ascii="Georgia" w:hAnsi="Georgia"/>
          <w:sz w:val="24"/>
          <w:szCs w:val="24"/>
        </w:rPr>
        <w:t xml:space="preserve"> </w:t>
      </w:r>
      <w:r w:rsidR="008C4D4D" w:rsidRPr="008C4D4D">
        <w:rPr>
          <w:rFonts w:ascii="Georgia" w:hAnsi="Georgia"/>
          <w:sz w:val="24"/>
          <w:szCs w:val="24"/>
        </w:rPr>
        <w:t>reliability through use of SCP scarcity pricing -- during Winter Storm Uri should</w:t>
      </w:r>
      <w:r w:rsidR="008C4D4D">
        <w:rPr>
          <w:rFonts w:ascii="Georgia" w:hAnsi="Georgia"/>
          <w:sz w:val="24"/>
          <w:szCs w:val="24"/>
        </w:rPr>
        <w:t xml:space="preserve"> </w:t>
      </w:r>
      <w:r w:rsidR="008C4D4D" w:rsidRPr="008C4D4D">
        <w:rPr>
          <w:rFonts w:ascii="Georgia" w:hAnsi="Georgia"/>
          <w:sz w:val="24"/>
          <w:szCs w:val="24"/>
        </w:rPr>
        <w:t>disabuse anyone but the most committed theorist of the belief that a pure market</w:t>
      </w:r>
      <w:r w:rsidR="008C4D4D">
        <w:rPr>
          <w:rFonts w:ascii="Georgia" w:hAnsi="Georgia"/>
          <w:sz w:val="24"/>
          <w:szCs w:val="24"/>
        </w:rPr>
        <w:t xml:space="preserve"> </w:t>
      </w:r>
      <w:r w:rsidR="008C4D4D" w:rsidRPr="008C4D4D">
        <w:rPr>
          <w:rFonts w:ascii="Georgia" w:hAnsi="Georgia"/>
          <w:sz w:val="24"/>
          <w:szCs w:val="24"/>
        </w:rPr>
        <w:t>approach will be effective in ensuring reliability during extreme weather and unanticipated demand spikes.</w:t>
      </w:r>
      <w:r w:rsidR="008C4D4D">
        <w:rPr>
          <w:rFonts w:ascii="Georgia" w:hAnsi="Georgia"/>
          <w:sz w:val="24"/>
          <w:szCs w:val="24"/>
        </w:rPr>
        <w:t>”</w:t>
      </w:r>
      <w:r w:rsidR="00FF19C8">
        <w:rPr>
          <w:rStyle w:val="FootnoteReference"/>
          <w:rFonts w:ascii="Georgia" w:hAnsi="Georgia"/>
          <w:sz w:val="24"/>
          <w:szCs w:val="24"/>
        </w:rPr>
        <w:footnoteReference w:id="1"/>
      </w:r>
    </w:p>
    <w:p w14:paraId="5DB9A984" w14:textId="2B34BDEF" w:rsidR="00FF19C8" w:rsidRDefault="00FF19C8" w:rsidP="008A697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Indeed, Texas lawmakers have explicitly rejected “competitive electricity markets” </w:t>
      </w:r>
      <w:r w:rsidR="008A6973">
        <w:rPr>
          <w:rFonts w:ascii="Georgia" w:hAnsi="Georgia"/>
          <w:sz w:val="24"/>
          <w:szCs w:val="24"/>
        </w:rPr>
        <w:t xml:space="preserve">for ERCOT </w:t>
      </w:r>
      <w:r>
        <w:rPr>
          <w:rFonts w:ascii="Georgia" w:hAnsi="Georgia"/>
          <w:sz w:val="24"/>
          <w:szCs w:val="24"/>
        </w:rPr>
        <w:t xml:space="preserve">in passing legislation that will instead rely on </w:t>
      </w:r>
      <w:r w:rsidR="00355363">
        <w:rPr>
          <w:rFonts w:ascii="Georgia" w:hAnsi="Georgia"/>
          <w:sz w:val="24"/>
          <w:szCs w:val="24"/>
        </w:rPr>
        <w:t xml:space="preserve">subsidies and mandates to keep the lights on, including a new, annual $1 billion fund to pay natural gas generators to operate during reliability events, and the creation of a </w:t>
      </w:r>
      <w:r w:rsidR="00355363" w:rsidRPr="00355363">
        <w:rPr>
          <w:rFonts w:ascii="Georgia" w:hAnsi="Georgia"/>
          <w:sz w:val="24"/>
          <w:szCs w:val="24"/>
        </w:rPr>
        <w:t>dispatchable reliability reserve service</w:t>
      </w:r>
      <w:r w:rsidR="00355363">
        <w:rPr>
          <w:rFonts w:ascii="Georgia" w:hAnsi="Georgia"/>
          <w:sz w:val="24"/>
          <w:szCs w:val="24"/>
        </w:rPr>
        <w:t>.</w:t>
      </w:r>
      <w:r w:rsidR="00355363">
        <w:rPr>
          <w:rStyle w:val="FootnoteReference"/>
          <w:rFonts w:ascii="Georgia" w:hAnsi="Georgia"/>
          <w:sz w:val="24"/>
          <w:szCs w:val="24"/>
        </w:rPr>
        <w:footnoteReference w:id="2"/>
      </w:r>
      <w:r w:rsidR="00355363">
        <w:rPr>
          <w:rFonts w:ascii="Georgia" w:hAnsi="Georgia"/>
          <w:sz w:val="24"/>
          <w:szCs w:val="24"/>
        </w:rPr>
        <w:t xml:space="preserve"> </w:t>
      </w:r>
    </w:p>
    <w:p w14:paraId="50052586" w14:textId="4883C2E9" w:rsidR="00FD47DA" w:rsidRDefault="00355363" w:rsidP="008A6973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This follows the Commission’s February 16, 2023 order in Docket </w:t>
      </w:r>
      <w:r w:rsidRPr="00355363">
        <w:rPr>
          <w:rFonts w:ascii="Georgia" w:hAnsi="Georgia"/>
          <w:sz w:val="24"/>
          <w:szCs w:val="24"/>
        </w:rPr>
        <w:t>RD23-1</w:t>
      </w:r>
      <w:r>
        <w:rPr>
          <w:rFonts w:ascii="Georgia" w:hAnsi="Georgia"/>
          <w:sz w:val="24"/>
          <w:szCs w:val="24"/>
        </w:rPr>
        <w:t xml:space="preserve"> which compel</w:t>
      </w:r>
      <w:r w:rsidR="008A6973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generators to comply with new </w:t>
      </w:r>
      <w:r w:rsidRPr="00355363">
        <w:rPr>
          <w:rFonts w:ascii="Georgia" w:hAnsi="Georgia"/>
          <w:sz w:val="24"/>
          <w:szCs w:val="24"/>
        </w:rPr>
        <w:t>cold weather preparedness plan</w:t>
      </w:r>
      <w:r>
        <w:rPr>
          <w:rFonts w:ascii="Georgia" w:hAnsi="Georgia"/>
          <w:sz w:val="24"/>
          <w:szCs w:val="24"/>
        </w:rPr>
        <w:t>s, including mandated winterization of equipment.</w:t>
      </w:r>
    </w:p>
    <w:p w14:paraId="50B3F264" w14:textId="45823DEB" w:rsidR="00355363" w:rsidRDefault="00355363" w:rsidP="008A6973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NERC’s claim that reliability rules must not interfere with “competitive electricity markets” is unsupported by any facts or statute, and </w:t>
      </w:r>
      <w:r w:rsidR="008A6973">
        <w:rPr>
          <w:rFonts w:ascii="Georgia" w:hAnsi="Georgia"/>
          <w:sz w:val="24"/>
          <w:szCs w:val="24"/>
        </w:rPr>
        <w:t xml:space="preserve">all references should be removed from the </w:t>
      </w:r>
      <w:r w:rsidR="008A6973" w:rsidRPr="008A6973">
        <w:rPr>
          <w:rFonts w:ascii="Georgia" w:hAnsi="Georgia"/>
          <w:i/>
          <w:iCs/>
          <w:sz w:val="24"/>
          <w:szCs w:val="24"/>
        </w:rPr>
        <w:t>Regional Reliability Standards Development Process</w:t>
      </w:r>
      <w:r w:rsidR="008A6973">
        <w:rPr>
          <w:rFonts w:ascii="Georgia" w:hAnsi="Georgia"/>
          <w:sz w:val="24"/>
          <w:szCs w:val="24"/>
        </w:rPr>
        <w:t xml:space="preserve">. </w:t>
      </w:r>
    </w:p>
    <w:p w14:paraId="53F61B4B" w14:textId="77777777" w:rsidR="008A6973" w:rsidRDefault="008A6973" w:rsidP="00FD47DA">
      <w:pPr>
        <w:rPr>
          <w:rFonts w:ascii="Georgia" w:hAnsi="Georgia"/>
          <w:sz w:val="24"/>
          <w:szCs w:val="24"/>
        </w:rPr>
      </w:pPr>
    </w:p>
    <w:p w14:paraId="496A6B68" w14:textId="77777777" w:rsidR="008A6973" w:rsidRDefault="008A6973" w:rsidP="00FD47DA">
      <w:pPr>
        <w:rPr>
          <w:rFonts w:ascii="Georgia" w:hAnsi="Georgia"/>
          <w:sz w:val="24"/>
          <w:szCs w:val="24"/>
        </w:rPr>
      </w:pPr>
    </w:p>
    <w:p w14:paraId="36328A70" w14:textId="686EED40" w:rsidR="008A6973" w:rsidRDefault="008A6973" w:rsidP="00FD47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Respectfully submitted,</w:t>
      </w:r>
    </w:p>
    <w:p w14:paraId="7F25397B" w14:textId="77777777" w:rsidR="008A6973" w:rsidRDefault="008A6973" w:rsidP="00FD47DA">
      <w:pPr>
        <w:rPr>
          <w:rFonts w:ascii="Georgia" w:hAnsi="Georgia"/>
          <w:sz w:val="24"/>
          <w:szCs w:val="24"/>
        </w:rPr>
      </w:pPr>
    </w:p>
    <w:p w14:paraId="73C160CB" w14:textId="07611B6D" w:rsidR="008A6973" w:rsidRDefault="008A6973" w:rsidP="00FD47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66FC4D1B" w14:textId="6766E02B" w:rsidR="008A6973" w:rsidRDefault="008A6973" w:rsidP="00FD47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Public Citizen, Inc.</w:t>
      </w:r>
    </w:p>
    <w:p w14:paraId="1317CC25" w14:textId="19B399AD" w:rsidR="008A6973" w:rsidRDefault="008A6973" w:rsidP="00FD47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215 Pennsylvania Ave SE</w:t>
      </w:r>
    </w:p>
    <w:p w14:paraId="24407BA4" w14:textId="2C0A65CE" w:rsidR="008A6973" w:rsidRDefault="008A6973" w:rsidP="00FD47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Washington, DC  20003</w:t>
      </w:r>
    </w:p>
    <w:p w14:paraId="0EC5F50E" w14:textId="5FE0C944" w:rsidR="008A6973" w:rsidRDefault="008A6973" w:rsidP="00FD47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(202) 454-5191</w:t>
      </w:r>
    </w:p>
    <w:p w14:paraId="13A2395B" w14:textId="7894A6E9" w:rsidR="008A6973" w:rsidRPr="008A6973" w:rsidRDefault="008A6973" w:rsidP="00FD47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hyperlink r:id="rId7" w:history="1">
        <w:r w:rsidRPr="008A6973">
          <w:rPr>
            <w:rStyle w:val="Hyperlink"/>
            <w:rFonts w:ascii="Georgia" w:hAnsi="Georgia"/>
            <w:color w:val="auto"/>
            <w:sz w:val="24"/>
            <w:szCs w:val="24"/>
            <w:u w:val="none"/>
          </w:rPr>
          <w:t>tslocum@citizen.org</w:t>
        </w:r>
      </w:hyperlink>
    </w:p>
    <w:p w14:paraId="39220E7A" w14:textId="77777777" w:rsidR="008A6973" w:rsidRDefault="008A6973" w:rsidP="00FD47DA">
      <w:pPr>
        <w:rPr>
          <w:rFonts w:ascii="Georgia" w:hAnsi="Georgia"/>
          <w:sz w:val="24"/>
          <w:szCs w:val="24"/>
        </w:rPr>
      </w:pPr>
    </w:p>
    <w:p w14:paraId="34456B74" w14:textId="617F3764" w:rsidR="008A6973" w:rsidRPr="00DC1D96" w:rsidRDefault="008A6973" w:rsidP="00FD47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Filed June 5, 2023</w:t>
      </w:r>
    </w:p>
    <w:sectPr w:rsidR="008A6973" w:rsidRPr="00DC1D96" w:rsidSect="008A6973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2F006" w14:textId="77777777" w:rsidR="00FF19C8" w:rsidRDefault="00FF19C8" w:rsidP="00FF19C8">
      <w:r>
        <w:separator/>
      </w:r>
    </w:p>
  </w:endnote>
  <w:endnote w:type="continuationSeparator" w:id="0">
    <w:p w14:paraId="7521FF62" w14:textId="77777777" w:rsidR="00FF19C8" w:rsidRDefault="00FF19C8" w:rsidP="00FF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1756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422A288" w14:textId="52B8EEF0" w:rsidR="008A6973" w:rsidRDefault="008A697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293190A" w14:textId="77777777" w:rsidR="008A6973" w:rsidRDefault="008A69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5AF9D" w14:textId="77777777" w:rsidR="00FF19C8" w:rsidRDefault="00FF19C8" w:rsidP="00FF19C8">
      <w:r>
        <w:separator/>
      </w:r>
    </w:p>
  </w:footnote>
  <w:footnote w:type="continuationSeparator" w:id="0">
    <w:p w14:paraId="234C2AD0" w14:textId="77777777" w:rsidR="00FF19C8" w:rsidRDefault="00FF19C8" w:rsidP="00FF19C8">
      <w:r>
        <w:continuationSeparator/>
      </w:r>
    </w:p>
  </w:footnote>
  <w:footnote w:id="1">
    <w:p w14:paraId="01AEC0C2" w14:textId="3EA41C89" w:rsidR="00FF19C8" w:rsidRDefault="00FF19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19C8">
        <w:rPr>
          <w:rFonts w:ascii="Georgia" w:hAnsi="Georgia"/>
          <w:i/>
          <w:iCs/>
        </w:rPr>
        <w:t>It</w:t>
      </w:r>
      <w:r>
        <w:rPr>
          <w:rFonts w:ascii="Georgia" w:hAnsi="Georgia"/>
          <w:i/>
          <w:iCs/>
        </w:rPr>
        <w:t>’</w:t>
      </w:r>
      <w:r w:rsidRPr="00FF19C8">
        <w:rPr>
          <w:rFonts w:ascii="Georgia" w:hAnsi="Georgia"/>
          <w:i/>
          <w:iCs/>
        </w:rPr>
        <w:t>s Time to Reconsider Single-Clearing Price Mechanisms in U.S. Energy Markets</w:t>
      </w:r>
      <w:r w:rsidRPr="00FF19C8">
        <w:rPr>
          <w:rFonts w:ascii="Georgia" w:hAnsi="Georgia"/>
        </w:rPr>
        <w:t>, at page 12, www.eba-net.org/wp-content/uploads/2023/05/3-Commr-Christie1-30-1.pdf</w:t>
      </w:r>
    </w:p>
  </w:footnote>
  <w:footnote w:id="2">
    <w:p w14:paraId="73E53F5D" w14:textId="236ABB20" w:rsidR="00355363" w:rsidRDefault="0035536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55363">
        <w:t>www.utilitydive.com/news/texas-plan-to-provide-generators-with-incentives-worth-up-to-1b-annually-h/651484/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B0"/>
    <w:rsid w:val="000F4965"/>
    <w:rsid w:val="00187424"/>
    <w:rsid w:val="002D1115"/>
    <w:rsid w:val="00327CF1"/>
    <w:rsid w:val="00355363"/>
    <w:rsid w:val="004B38B0"/>
    <w:rsid w:val="006443BB"/>
    <w:rsid w:val="006B4A66"/>
    <w:rsid w:val="008A6973"/>
    <w:rsid w:val="008C4D4D"/>
    <w:rsid w:val="00AA5EE1"/>
    <w:rsid w:val="00CA3337"/>
    <w:rsid w:val="00D60970"/>
    <w:rsid w:val="00DC1D96"/>
    <w:rsid w:val="00FD47DA"/>
    <w:rsid w:val="00F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59E3B"/>
  <w15:chartTrackingRefBased/>
  <w15:docId w15:val="{8CD9191F-ED24-4210-9927-7D22DEAC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F19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19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19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A69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697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A69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973"/>
  </w:style>
  <w:style w:type="paragraph" w:styleId="Footer">
    <w:name w:val="footer"/>
    <w:basedOn w:val="Normal"/>
    <w:link w:val="FooterChar"/>
    <w:uiPriority w:val="99"/>
    <w:unhideWhenUsed/>
    <w:rsid w:val="008A69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slocum@citizen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CA596-4B21-4D70-A5C2-BDCB0CA4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1</cp:revision>
  <dcterms:created xsi:type="dcterms:W3CDTF">2023-06-05T14:36:00Z</dcterms:created>
  <dcterms:modified xsi:type="dcterms:W3CDTF">2023-06-05T18:34:00Z</dcterms:modified>
</cp:coreProperties>
</file>