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314D9" w14:textId="1E524F0F" w:rsidR="00C879F0" w:rsidRPr="00C879F0" w:rsidRDefault="00C879F0" w:rsidP="00C879F0">
      <w:pPr>
        <w:jc w:val="center"/>
        <w:rPr>
          <w:rFonts w:ascii="Georgia" w:hAnsi="Georgia"/>
          <w:sz w:val="24"/>
          <w:szCs w:val="24"/>
        </w:rPr>
      </w:pPr>
      <w:r w:rsidRPr="00C879F0">
        <w:rPr>
          <w:rFonts w:ascii="Georgia" w:hAnsi="Georgia"/>
          <w:sz w:val="24"/>
          <w:szCs w:val="24"/>
        </w:rPr>
        <w:t>UNITED STATES OF AMERICA</w:t>
      </w:r>
    </w:p>
    <w:p w14:paraId="56AFA420" w14:textId="6815F7E5" w:rsidR="00C879F0" w:rsidRPr="00C879F0" w:rsidRDefault="00C879F0" w:rsidP="00C879F0">
      <w:pPr>
        <w:jc w:val="center"/>
        <w:rPr>
          <w:rFonts w:ascii="Georgia" w:hAnsi="Georgia"/>
          <w:sz w:val="24"/>
          <w:szCs w:val="24"/>
        </w:rPr>
      </w:pPr>
      <w:r w:rsidRPr="00C879F0">
        <w:rPr>
          <w:rFonts w:ascii="Georgia" w:hAnsi="Georgia"/>
          <w:sz w:val="24"/>
          <w:szCs w:val="24"/>
        </w:rPr>
        <w:t>BEFORE THE</w:t>
      </w:r>
    </w:p>
    <w:p w14:paraId="087FAC52" w14:textId="54B384D3" w:rsidR="00AC343E" w:rsidRPr="00C879F0" w:rsidRDefault="00C879F0" w:rsidP="00C879F0">
      <w:pPr>
        <w:jc w:val="center"/>
        <w:rPr>
          <w:rFonts w:ascii="Georgia" w:hAnsi="Georgia"/>
          <w:sz w:val="24"/>
          <w:szCs w:val="24"/>
        </w:rPr>
      </w:pPr>
      <w:r w:rsidRPr="00C879F0">
        <w:rPr>
          <w:rFonts w:ascii="Georgia" w:hAnsi="Georgia"/>
          <w:sz w:val="24"/>
          <w:szCs w:val="24"/>
        </w:rPr>
        <w:t>FEDERAL ENERGY REGULATORY COMMISSION</w:t>
      </w:r>
    </w:p>
    <w:p w14:paraId="05FB757D" w14:textId="1AD6DFEE" w:rsidR="00C879F0" w:rsidRPr="00C879F0" w:rsidRDefault="00C879F0" w:rsidP="00C879F0">
      <w:pPr>
        <w:rPr>
          <w:rFonts w:ascii="Georgia" w:hAnsi="Georgia"/>
          <w:sz w:val="24"/>
          <w:szCs w:val="24"/>
        </w:rPr>
      </w:pPr>
    </w:p>
    <w:p w14:paraId="49AF0F7E" w14:textId="065F6AD1" w:rsidR="00C879F0" w:rsidRDefault="00C879F0" w:rsidP="00C879F0">
      <w:pPr>
        <w:rPr>
          <w:rFonts w:ascii="Georgia" w:hAnsi="Georgia"/>
          <w:sz w:val="24"/>
          <w:szCs w:val="24"/>
        </w:rPr>
      </w:pPr>
      <w:r w:rsidRPr="00C879F0">
        <w:rPr>
          <w:rFonts w:ascii="Georgia" w:hAnsi="Georgia"/>
          <w:sz w:val="24"/>
          <w:szCs w:val="24"/>
        </w:rPr>
        <w:t xml:space="preserve">Revisions to Regulations on Electric Reliability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C879F0">
        <w:rPr>
          <w:rFonts w:ascii="Georgia" w:hAnsi="Georgia"/>
          <w:sz w:val="24"/>
          <w:szCs w:val="24"/>
        </w:rPr>
        <w:t>Docket No. RM21-12</w:t>
      </w:r>
    </w:p>
    <w:p w14:paraId="405964AF" w14:textId="2B2C36D8" w:rsidR="00C879F0" w:rsidRDefault="00C879F0" w:rsidP="00C879F0">
      <w:pPr>
        <w:rPr>
          <w:rFonts w:ascii="Georgia" w:hAnsi="Georgia"/>
          <w:sz w:val="24"/>
          <w:szCs w:val="24"/>
        </w:rPr>
      </w:pPr>
      <w:r w:rsidRPr="00C879F0">
        <w:rPr>
          <w:rFonts w:ascii="Georgia" w:hAnsi="Georgia"/>
          <w:sz w:val="24"/>
          <w:szCs w:val="24"/>
        </w:rPr>
        <w:t>Organization Performance Assessments</w:t>
      </w:r>
    </w:p>
    <w:p w14:paraId="5A40BFC1" w14:textId="77777777" w:rsidR="002332B9" w:rsidRDefault="002332B9" w:rsidP="00C879F0">
      <w:pPr>
        <w:rPr>
          <w:rFonts w:ascii="Georgia" w:hAnsi="Georgia"/>
          <w:sz w:val="24"/>
          <w:szCs w:val="24"/>
        </w:rPr>
      </w:pPr>
    </w:p>
    <w:p w14:paraId="0B309F90" w14:textId="636601A5" w:rsidR="00C879F0" w:rsidRDefault="00C879F0" w:rsidP="00C879F0">
      <w:pPr>
        <w:rPr>
          <w:rFonts w:ascii="Georgia" w:hAnsi="Georgia"/>
          <w:sz w:val="24"/>
          <w:szCs w:val="24"/>
        </w:rPr>
      </w:pPr>
    </w:p>
    <w:p w14:paraId="5B5A08D5" w14:textId="4E280EB1" w:rsidR="00C879F0" w:rsidRPr="00C879F0" w:rsidRDefault="00C879F0" w:rsidP="00C879F0">
      <w:pPr>
        <w:jc w:val="center"/>
        <w:rPr>
          <w:rFonts w:ascii="Georgia" w:hAnsi="Georgia"/>
          <w:b/>
          <w:bCs/>
          <w:sz w:val="24"/>
          <w:szCs w:val="24"/>
        </w:rPr>
      </w:pPr>
      <w:r w:rsidRPr="00C879F0">
        <w:rPr>
          <w:rFonts w:ascii="Georgia" w:hAnsi="Georgia"/>
          <w:b/>
          <w:bCs/>
          <w:sz w:val="24"/>
          <w:szCs w:val="24"/>
        </w:rPr>
        <w:t>Comments of Public Citizen, Inc.</w:t>
      </w:r>
    </w:p>
    <w:p w14:paraId="71C86AD3" w14:textId="30B70848" w:rsidR="00C879F0" w:rsidRDefault="00C879F0" w:rsidP="00C879F0">
      <w:pPr>
        <w:rPr>
          <w:rFonts w:ascii="Georgia" w:hAnsi="Georgia"/>
          <w:sz w:val="24"/>
          <w:szCs w:val="24"/>
        </w:rPr>
      </w:pPr>
    </w:p>
    <w:p w14:paraId="1F57D8D2" w14:textId="78853ACD" w:rsidR="007A72AA" w:rsidRDefault="00FE2E77" w:rsidP="00473E5A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0E5AE1">
        <w:rPr>
          <w:rFonts w:ascii="Georgia" w:hAnsi="Georgia"/>
          <w:sz w:val="24"/>
          <w:szCs w:val="24"/>
        </w:rPr>
        <w:t>T</w:t>
      </w:r>
      <w:r w:rsidR="000E5AE1" w:rsidRPr="007A72AA">
        <w:rPr>
          <w:rFonts w:ascii="Georgia" w:hAnsi="Georgia"/>
          <w:sz w:val="24"/>
          <w:szCs w:val="24"/>
        </w:rPr>
        <w:t xml:space="preserve">he Commission seeks suggestions on how </w:t>
      </w:r>
      <w:r w:rsidR="001E7CFD">
        <w:rPr>
          <w:rFonts w:ascii="Georgia" w:hAnsi="Georgia"/>
          <w:sz w:val="24"/>
          <w:szCs w:val="24"/>
        </w:rPr>
        <w:t xml:space="preserve">the </w:t>
      </w:r>
      <w:r w:rsidR="001E7CFD" w:rsidRPr="007A72AA">
        <w:rPr>
          <w:rFonts w:ascii="Georgia" w:hAnsi="Georgia"/>
          <w:sz w:val="24"/>
          <w:szCs w:val="24"/>
        </w:rPr>
        <w:t xml:space="preserve">North American Electric Reliability Corporation </w:t>
      </w:r>
      <w:r w:rsidR="001E7CFD">
        <w:rPr>
          <w:rFonts w:ascii="Georgia" w:hAnsi="Georgia"/>
          <w:sz w:val="24"/>
          <w:szCs w:val="24"/>
        </w:rPr>
        <w:t>(</w:t>
      </w:r>
      <w:r w:rsidR="000E5AE1" w:rsidRPr="007A72AA">
        <w:rPr>
          <w:rFonts w:ascii="Georgia" w:hAnsi="Georgia"/>
          <w:sz w:val="24"/>
          <w:szCs w:val="24"/>
        </w:rPr>
        <w:t>NERC</w:t>
      </w:r>
      <w:r w:rsidR="001E7CFD">
        <w:rPr>
          <w:rFonts w:ascii="Georgia" w:hAnsi="Georgia"/>
          <w:sz w:val="24"/>
          <w:szCs w:val="24"/>
        </w:rPr>
        <w:t>)</w:t>
      </w:r>
      <w:r w:rsidR="000E5AE1" w:rsidRPr="007A72AA">
        <w:rPr>
          <w:rFonts w:ascii="Georgia" w:hAnsi="Georgia"/>
          <w:sz w:val="24"/>
          <w:szCs w:val="24"/>
        </w:rPr>
        <w:t xml:space="preserve"> can better “receive and respond to recommendations by the users, owners, and operators of the Bulk-Power System, and other interested parties for improvement of the Electric Reliability Organization’s operations, activities, oversight and procedures</w:t>
      </w:r>
      <w:r w:rsidR="002A79EE">
        <w:rPr>
          <w:rFonts w:ascii="Georgia" w:hAnsi="Georgia"/>
          <w:sz w:val="24"/>
          <w:szCs w:val="24"/>
        </w:rPr>
        <w:t>.</w:t>
      </w:r>
      <w:r w:rsidR="000E5AE1" w:rsidRPr="007A72AA">
        <w:rPr>
          <w:rFonts w:ascii="Georgia" w:hAnsi="Georgia"/>
          <w:sz w:val="24"/>
          <w:szCs w:val="24"/>
        </w:rPr>
        <w:t>”</w:t>
      </w:r>
      <w:r w:rsidR="000E5AE1">
        <w:rPr>
          <w:rStyle w:val="FootnoteReference"/>
          <w:rFonts w:ascii="Georgia" w:hAnsi="Georgia"/>
          <w:sz w:val="24"/>
          <w:szCs w:val="24"/>
        </w:rPr>
        <w:footnoteReference w:id="1"/>
      </w:r>
      <w:r w:rsidR="002A79EE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Public Citizen </w:t>
      </w:r>
      <w:r w:rsidR="008C30C1">
        <w:rPr>
          <w:rFonts w:ascii="Georgia" w:hAnsi="Georgia"/>
          <w:sz w:val="24"/>
          <w:szCs w:val="24"/>
        </w:rPr>
        <w:t>offers the following comments</w:t>
      </w:r>
      <w:r w:rsidR="007A72AA">
        <w:rPr>
          <w:rFonts w:ascii="Georgia" w:hAnsi="Georgia"/>
          <w:sz w:val="24"/>
          <w:szCs w:val="24"/>
        </w:rPr>
        <w:t>:</w:t>
      </w:r>
    </w:p>
    <w:p w14:paraId="2D8F44FB" w14:textId="3F4EDC2A" w:rsidR="000E5AE1" w:rsidRDefault="007A72AA" w:rsidP="00F17C5F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We </w:t>
      </w:r>
      <w:r w:rsidR="00FE2E77" w:rsidRPr="007A72AA">
        <w:rPr>
          <w:rFonts w:ascii="Georgia" w:hAnsi="Georgia"/>
          <w:sz w:val="24"/>
          <w:szCs w:val="24"/>
        </w:rPr>
        <w:t xml:space="preserve">strongly </w:t>
      </w:r>
      <w:r>
        <w:rPr>
          <w:rFonts w:ascii="Georgia" w:hAnsi="Georgia"/>
          <w:sz w:val="24"/>
          <w:szCs w:val="24"/>
        </w:rPr>
        <w:t>endorse</w:t>
      </w:r>
      <w:r w:rsidR="00FE2E77" w:rsidRPr="007A72AA">
        <w:rPr>
          <w:rFonts w:ascii="Georgia" w:hAnsi="Georgia"/>
          <w:sz w:val="24"/>
          <w:szCs w:val="24"/>
        </w:rPr>
        <w:t xml:space="preserve"> the Commission’s proposal </w:t>
      </w:r>
      <w:r w:rsidR="00BF5388" w:rsidRPr="007A72AA">
        <w:rPr>
          <w:rFonts w:ascii="Georgia" w:hAnsi="Georgia"/>
          <w:sz w:val="24"/>
          <w:szCs w:val="24"/>
        </w:rPr>
        <w:t>requ</w:t>
      </w:r>
      <w:r w:rsidR="003C3DFD">
        <w:rPr>
          <w:rFonts w:ascii="Georgia" w:hAnsi="Georgia"/>
          <w:sz w:val="24"/>
          <w:szCs w:val="24"/>
        </w:rPr>
        <w:t>iring</w:t>
      </w:r>
      <w:r w:rsidR="00BF5388" w:rsidRPr="007A72AA">
        <w:rPr>
          <w:rFonts w:ascii="Georgia" w:hAnsi="Georgia"/>
          <w:sz w:val="24"/>
          <w:szCs w:val="24"/>
        </w:rPr>
        <w:t xml:space="preserve"> NERC to submit assessments of its performance every three years instead of the current period of every five years</w:t>
      </w:r>
      <w:r w:rsidR="00BE76CF" w:rsidRPr="007A72AA">
        <w:rPr>
          <w:rFonts w:ascii="Georgia" w:hAnsi="Georgia"/>
          <w:sz w:val="24"/>
          <w:szCs w:val="24"/>
        </w:rPr>
        <w:t>.</w:t>
      </w:r>
      <w:r w:rsidR="00BF5B16" w:rsidRPr="007A72AA">
        <w:rPr>
          <w:rFonts w:ascii="Georgia" w:hAnsi="Georgia"/>
          <w:sz w:val="24"/>
          <w:szCs w:val="24"/>
        </w:rPr>
        <w:t xml:space="preserve"> </w:t>
      </w:r>
    </w:p>
    <w:p w14:paraId="45AF7F91" w14:textId="50937BD6" w:rsidR="002332B9" w:rsidRDefault="00B12E26" w:rsidP="00F17C5F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A72AA">
        <w:rPr>
          <w:rFonts w:ascii="Georgia" w:hAnsi="Georgia"/>
          <w:sz w:val="24"/>
          <w:szCs w:val="24"/>
        </w:rPr>
        <w:t xml:space="preserve">The Commission should </w:t>
      </w:r>
      <w:r w:rsidR="008E1E86">
        <w:rPr>
          <w:rFonts w:ascii="Georgia" w:hAnsi="Georgia"/>
          <w:sz w:val="24"/>
          <w:szCs w:val="24"/>
        </w:rPr>
        <w:t>compel</w:t>
      </w:r>
      <w:r w:rsidRPr="007A72AA">
        <w:rPr>
          <w:rFonts w:ascii="Georgia" w:hAnsi="Georgia"/>
          <w:sz w:val="24"/>
          <w:szCs w:val="24"/>
        </w:rPr>
        <w:t xml:space="preserve"> </w:t>
      </w:r>
      <w:r w:rsidR="00537F2A" w:rsidRPr="007A72AA">
        <w:rPr>
          <w:rFonts w:ascii="Georgia" w:hAnsi="Georgia"/>
          <w:sz w:val="24"/>
          <w:szCs w:val="24"/>
        </w:rPr>
        <w:t>changes to NERC’s Board of Trustees to diversify representation of stakeholders</w:t>
      </w:r>
      <w:r w:rsidR="002A79EE">
        <w:rPr>
          <w:rFonts w:ascii="Georgia" w:hAnsi="Georgia"/>
          <w:sz w:val="24"/>
          <w:szCs w:val="24"/>
        </w:rPr>
        <w:t>, including allocating at least one seat for</w:t>
      </w:r>
      <w:r w:rsidR="009051E8">
        <w:rPr>
          <w:rFonts w:ascii="Georgia" w:hAnsi="Georgia"/>
          <w:sz w:val="24"/>
          <w:szCs w:val="24"/>
        </w:rPr>
        <w:t xml:space="preserve"> an individual with professional experience as a bona fide consumer advocate</w:t>
      </w:r>
      <w:r w:rsidR="00537F2A" w:rsidRPr="007A72AA">
        <w:rPr>
          <w:rFonts w:ascii="Georgia" w:hAnsi="Georgia"/>
          <w:sz w:val="24"/>
          <w:szCs w:val="24"/>
        </w:rPr>
        <w:t>.</w:t>
      </w:r>
    </w:p>
    <w:p w14:paraId="06E5A812" w14:textId="6E16D711" w:rsidR="00B46983" w:rsidRDefault="00D02D19" w:rsidP="00F17C5F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FERC’s</w:t>
      </w:r>
      <w:r w:rsidR="00B46983">
        <w:rPr>
          <w:rFonts w:ascii="Georgia" w:hAnsi="Georgia"/>
          <w:sz w:val="24"/>
          <w:szCs w:val="24"/>
        </w:rPr>
        <w:t xml:space="preserve"> new Office of Public Participation should </w:t>
      </w:r>
      <w:r>
        <w:rPr>
          <w:rFonts w:ascii="Georgia" w:hAnsi="Georgia"/>
          <w:sz w:val="24"/>
          <w:szCs w:val="24"/>
        </w:rPr>
        <w:t>coordinate assistance to the public to participate in NERC stakeholder proceedings</w:t>
      </w:r>
      <w:r w:rsidR="007A1FC9">
        <w:rPr>
          <w:rFonts w:ascii="Georgia" w:hAnsi="Georgia"/>
          <w:sz w:val="24"/>
          <w:szCs w:val="24"/>
        </w:rPr>
        <w:t xml:space="preserve"> and public comment opportunities</w:t>
      </w:r>
      <w:r>
        <w:rPr>
          <w:rFonts w:ascii="Georgia" w:hAnsi="Georgia"/>
          <w:sz w:val="24"/>
          <w:szCs w:val="24"/>
        </w:rPr>
        <w:t>.</w:t>
      </w:r>
    </w:p>
    <w:p w14:paraId="7F4FB297" w14:textId="3F7B56B9" w:rsidR="00D02D19" w:rsidRDefault="00237D1C" w:rsidP="00F17C5F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Notices of </w:t>
      </w:r>
      <w:r w:rsidR="00B82664">
        <w:rPr>
          <w:rFonts w:ascii="Georgia" w:hAnsi="Georgia"/>
          <w:sz w:val="24"/>
          <w:szCs w:val="24"/>
        </w:rPr>
        <w:t xml:space="preserve">NERC </w:t>
      </w:r>
      <w:r>
        <w:rPr>
          <w:rFonts w:ascii="Georgia" w:hAnsi="Georgia"/>
          <w:sz w:val="24"/>
          <w:szCs w:val="24"/>
        </w:rPr>
        <w:t xml:space="preserve">public comment opportunities </w:t>
      </w:r>
      <w:r w:rsidR="00B82664">
        <w:rPr>
          <w:rFonts w:ascii="Georgia" w:hAnsi="Georgia"/>
          <w:sz w:val="24"/>
          <w:szCs w:val="24"/>
        </w:rPr>
        <w:t>should be posted in the Federal Register.</w:t>
      </w:r>
    </w:p>
    <w:p w14:paraId="79BAD3BE" w14:textId="31ADBC08" w:rsidR="003932EF" w:rsidRPr="007A72AA" w:rsidRDefault="003932EF" w:rsidP="00F17C5F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NERC stakeholder committees </w:t>
      </w:r>
      <w:r w:rsidR="008609B3">
        <w:rPr>
          <w:rFonts w:ascii="Georgia" w:hAnsi="Georgia"/>
          <w:sz w:val="24"/>
          <w:szCs w:val="24"/>
        </w:rPr>
        <w:t>should expand the number of allocated seats for</w:t>
      </w:r>
      <w:r>
        <w:rPr>
          <w:rFonts w:ascii="Georgia" w:hAnsi="Georgia"/>
          <w:sz w:val="24"/>
          <w:szCs w:val="24"/>
        </w:rPr>
        <w:t xml:space="preserve"> consumer advocates</w:t>
      </w:r>
      <w:r w:rsidR="00D23742">
        <w:rPr>
          <w:rFonts w:ascii="Georgia" w:hAnsi="Georgia"/>
          <w:sz w:val="24"/>
          <w:szCs w:val="24"/>
        </w:rPr>
        <w:t>, as in some cases there are no consumer advocates</w:t>
      </w:r>
      <w:r w:rsidR="00CC5EB2">
        <w:rPr>
          <w:rFonts w:ascii="Georgia" w:hAnsi="Georgia"/>
          <w:sz w:val="24"/>
          <w:szCs w:val="24"/>
        </w:rPr>
        <w:t xml:space="preserve"> present in key stakeholder proceedings</w:t>
      </w:r>
      <w:r w:rsidR="000B2B1C">
        <w:rPr>
          <w:rFonts w:ascii="Georgia" w:hAnsi="Georgia"/>
          <w:sz w:val="24"/>
          <w:szCs w:val="24"/>
        </w:rPr>
        <w:t xml:space="preserve">. </w:t>
      </w:r>
      <w:r w:rsidR="00EE7FF4">
        <w:rPr>
          <w:rFonts w:ascii="Georgia" w:hAnsi="Georgia"/>
          <w:sz w:val="24"/>
          <w:szCs w:val="24"/>
        </w:rPr>
        <w:t>Spaces</w:t>
      </w:r>
      <w:r w:rsidR="000B2B1C">
        <w:rPr>
          <w:rFonts w:ascii="Georgia" w:hAnsi="Georgia"/>
          <w:sz w:val="24"/>
          <w:szCs w:val="24"/>
        </w:rPr>
        <w:t xml:space="preserve"> for </w:t>
      </w:r>
      <w:r w:rsidR="00D003CE">
        <w:rPr>
          <w:rFonts w:ascii="Georgia" w:hAnsi="Georgia"/>
          <w:sz w:val="24"/>
          <w:szCs w:val="24"/>
        </w:rPr>
        <w:t xml:space="preserve">small end-use customers </w:t>
      </w:r>
      <w:r>
        <w:rPr>
          <w:rFonts w:ascii="Georgia" w:hAnsi="Georgia"/>
          <w:sz w:val="24"/>
          <w:szCs w:val="24"/>
        </w:rPr>
        <w:t xml:space="preserve">should </w:t>
      </w:r>
      <w:r w:rsidR="00DB086C">
        <w:rPr>
          <w:rFonts w:ascii="Georgia" w:hAnsi="Georgia"/>
          <w:sz w:val="24"/>
          <w:szCs w:val="24"/>
        </w:rPr>
        <w:t xml:space="preserve">be </w:t>
      </w:r>
      <w:r w:rsidR="001E7689">
        <w:rPr>
          <w:rFonts w:ascii="Georgia" w:hAnsi="Georgia"/>
          <w:sz w:val="24"/>
          <w:szCs w:val="24"/>
        </w:rPr>
        <w:t xml:space="preserve">reserved </w:t>
      </w:r>
      <w:r w:rsidR="00DB086C">
        <w:rPr>
          <w:rFonts w:ascii="Georgia" w:hAnsi="Georgia"/>
          <w:sz w:val="24"/>
          <w:szCs w:val="24"/>
        </w:rPr>
        <w:t>for bona fide consumer advocates</w:t>
      </w:r>
      <w:r w:rsidR="00DB086C">
        <w:rPr>
          <w:rFonts w:ascii="Cambria" w:hAnsi="Cambria"/>
          <w:sz w:val="24"/>
          <w:szCs w:val="24"/>
        </w:rPr>
        <w:t>—</w:t>
      </w:r>
      <w:r w:rsidR="00DB086C">
        <w:rPr>
          <w:rFonts w:ascii="Georgia" w:hAnsi="Georgia"/>
          <w:sz w:val="24"/>
          <w:szCs w:val="24"/>
        </w:rPr>
        <w:t>not utility executives who happen to pay a utility bill.</w:t>
      </w:r>
    </w:p>
    <w:p w14:paraId="20AC1AD6" w14:textId="77777777" w:rsidR="002332B9" w:rsidRDefault="002332B9" w:rsidP="00C879F0">
      <w:pPr>
        <w:rPr>
          <w:rFonts w:ascii="Georgia" w:hAnsi="Georgia"/>
          <w:sz w:val="24"/>
          <w:szCs w:val="24"/>
        </w:rPr>
      </w:pPr>
    </w:p>
    <w:p w14:paraId="46D0E0CF" w14:textId="77777777" w:rsidR="00AB3E55" w:rsidRDefault="00AB3E55" w:rsidP="00CC5EB2">
      <w:pPr>
        <w:rPr>
          <w:rFonts w:ascii="Georgia" w:hAnsi="Georgia"/>
          <w:b/>
          <w:bCs/>
          <w:sz w:val="24"/>
          <w:szCs w:val="24"/>
        </w:rPr>
      </w:pPr>
    </w:p>
    <w:p w14:paraId="7D58EC5B" w14:textId="040B7695" w:rsidR="002332B9" w:rsidRPr="00914435" w:rsidRDefault="002332B9" w:rsidP="002332B9">
      <w:pPr>
        <w:jc w:val="center"/>
        <w:rPr>
          <w:rFonts w:ascii="Georgia" w:hAnsi="Georgia"/>
          <w:b/>
          <w:bCs/>
          <w:sz w:val="24"/>
          <w:szCs w:val="24"/>
        </w:rPr>
      </w:pPr>
      <w:r w:rsidRPr="00914435">
        <w:rPr>
          <w:rFonts w:ascii="Georgia" w:hAnsi="Georgia"/>
          <w:b/>
          <w:bCs/>
          <w:sz w:val="24"/>
          <w:szCs w:val="24"/>
        </w:rPr>
        <w:t>About Public Citizen, Inc.</w:t>
      </w:r>
    </w:p>
    <w:p w14:paraId="577053DF" w14:textId="77777777" w:rsidR="002332B9" w:rsidRDefault="002332B9" w:rsidP="002332B9">
      <w:pPr>
        <w:rPr>
          <w:rFonts w:ascii="Georgia" w:hAnsi="Georgia"/>
          <w:sz w:val="24"/>
          <w:szCs w:val="24"/>
        </w:rPr>
      </w:pPr>
    </w:p>
    <w:p w14:paraId="03082598" w14:textId="5F9A78AF" w:rsidR="00C879F0" w:rsidRDefault="002332B9" w:rsidP="007A66BD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Established in 1971, </w:t>
      </w:r>
      <w:r w:rsidRPr="00F829B0">
        <w:rPr>
          <w:rFonts w:ascii="Georgia" w:hAnsi="Georgia"/>
          <w:sz w:val="24"/>
          <w:szCs w:val="24"/>
        </w:rPr>
        <w:t xml:space="preserve">Public Citizen is a national, not-for-profit, non-partisan, research and advocacy organization representing the interests of household consumers. </w:t>
      </w:r>
      <w:r w:rsidRPr="00C56952">
        <w:rPr>
          <w:rFonts w:ascii="Georgia" w:hAnsi="Georgia"/>
          <w:sz w:val="24"/>
          <w:szCs w:val="24"/>
        </w:rPr>
        <w:t xml:space="preserve">Public Citizen </w:t>
      </w:r>
      <w:r>
        <w:rPr>
          <w:rFonts w:ascii="Georgia" w:hAnsi="Georgia"/>
          <w:sz w:val="24"/>
          <w:szCs w:val="24"/>
        </w:rPr>
        <w:t xml:space="preserve">is </w:t>
      </w:r>
      <w:r w:rsidRPr="00F829B0">
        <w:rPr>
          <w:rFonts w:ascii="Georgia" w:hAnsi="Georgia"/>
          <w:sz w:val="24"/>
          <w:szCs w:val="24"/>
        </w:rPr>
        <w:t xml:space="preserve">active before FERC promoting just and reasonable rates, and </w:t>
      </w:r>
      <w:r w:rsidRPr="00F829B0">
        <w:rPr>
          <w:rFonts w:ascii="Georgia" w:hAnsi="Georgia"/>
          <w:sz w:val="24"/>
          <w:szCs w:val="24"/>
        </w:rPr>
        <w:lastRenderedPageBreak/>
        <w:t>supporting efforts for utilities to be accountable to the public interest.</w:t>
      </w:r>
      <w:r>
        <w:rPr>
          <w:rFonts w:ascii="Georgia" w:hAnsi="Georgia"/>
          <w:sz w:val="24"/>
          <w:szCs w:val="24"/>
        </w:rPr>
        <w:t xml:space="preserve"> </w:t>
      </w:r>
      <w:r w:rsidRPr="00F829B0">
        <w:rPr>
          <w:rFonts w:ascii="Georgia" w:hAnsi="Georgia"/>
          <w:sz w:val="24"/>
          <w:szCs w:val="24"/>
        </w:rPr>
        <w:t xml:space="preserve">Our financial details are located </w:t>
      </w:r>
      <w:r>
        <w:rPr>
          <w:rFonts w:ascii="Georgia" w:hAnsi="Georgia"/>
          <w:sz w:val="24"/>
          <w:szCs w:val="24"/>
        </w:rPr>
        <w:t>on</w:t>
      </w:r>
      <w:r w:rsidRPr="00F829B0">
        <w:rPr>
          <w:rFonts w:ascii="Georgia" w:hAnsi="Georgia"/>
          <w:sz w:val="24"/>
          <w:szCs w:val="24"/>
        </w:rPr>
        <w:t xml:space="preserve"> our web site.</w:t>
      </w:r>
      <w:r w:rsidRPr="00F829B0">
        <w:rPr>
          <w:rStyle w:val="FootnoteReference"/>
          <w:rFonts w:ascii="Georgia" w:hAnsi="Georgia"/>
          <w:sz w:val="24"/>
          <w:szCs w:val="24"/>
        </w:rPr>
        <w:footnoteReference w:id="2"/>
      </w:r>
    </w:p>
    <w:p w14:paraId="01763C85" w14:textId="77777777" w:rsidR="008D5446" w:rsidRDefault="008D5446" w:rsidP="001913BF">
      <w:pPr>
        <w:jc w:val="center"/>
        <w:rPr>
          <w:rFonts w:ascii="Georgia" w:hAnsi="Georgia"/>
          <w:b/>
          <w:bCs/>
          <w:sz w:val="24"/>
          <w:szCs w:val="24"/>
        </w:rPr>
      </w:pPr>
    </w:p>
    <w:p w14:paraId="4DA1B323" w14:textId="37C45178" w:rsidR="00473E5A" w:rsidRPr="001913BF" w:rsidRDefault="006B3C56" w:rsidP="001913BF">
      <w:pPr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Public Citizen Comments</w:t>
      </w:r>
    </w:p>
    <w:p w14:paraId="7A264991" w14:textId="29E13F35" w:rsidR="00D10E7F" w:rsidRDefault="00D10E7F" w:rsidP="00C879F0">
      <w:pPr>
        <w:rPr>
          <w:rFonts w:ascii="Georgia" w:hAnsi="Georgia"/>
          <w:sz w:val="24"/>
          <w:szCs w:val="24"/>
        </w:rPr>
      </w:pPr>
    </w:p>
    <w:p w14:paraId="79D8D70A" w14:textId="6388760B" w:rsidR="001E64E9" w:rsidRDefault="00E828B2" w:rsidP="00873C5A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First, </w:t>
      </w:r>
      <w:r w:rsidR="001A2EC2">
        <w:rPr>
          <w:rFonts w:ascii="Georgia" w:hAnsi="Georgia"/>
          <w:sz w:val="24"/>
          <w:szCs w:val="24"/>
        </w:rPr>
        <w:t xml:space="preserve">we </w:t>
      </w:r>
      <w:r w:rsidR="00480FA2">
        <w:rPr>
          <w:rFonts w:ascii="Georgia" w:hAnsi="Georgia"/>
          <w:sz w:val="24"/>
          <w:szCs w:val="24"/>
        </w:rPr>
        <w:t>endorse</w:t>
      </w:r>
      <w:r w:rsidR="00480FA2" w:rsidRPr="007A72AA">
        <w:rPr>
          <w:rFonts w:ascii="Georgia" w:hAnsi="Georgia"/>
          <w:sz w:val="24"/>
          <w:szCs w:val="24"/>
        </w:rPr>
        <w:t xml:space="preserve"> the Commission’s proposal requ</w:t>
      </w:r>
      <w:r w:rsidR="00480FA2">
        <w:rPr>
          <w:rFonts w:ascii="Georgia" w:hAnsi="Georgia"/>
          <w:sz w:val="24"/>
          <w:szCs w:val="24"/>
        </w:rPr>
        <w:t>iring</w:t>
      </w:r>
      <w:r w:rsidR="00480FA2" w:rsidRPr="007A72AA">
        <w:rPr>
          <w:rFonts w:ascii="Georgia" w:hAnsi="Georgia"/>
          <w:sz w:val="24"/>
          <w:szCs w:val="24"/>
        </w:rPr>
        <w:t xml:space="preserve"> NERC to submit assessments of its performance every three years instead of the current period of every five years. </w:t>
      </w:r>
    </w:p>
    <w:p w14:paraId="0ADFC805" w14:textId="77777777" w:rsidR="001A2EC2" w:rsidRDefault="001A2EC2" w:rsidP="00873C5A">
      <w:pPr>
        <w:spacing w:line="360" w:lineRule="auto"/>
        <w:ind w:firstLine="720"/>
        <w:rPr>
          <w:rFonts w:ascii="Georgia" w:hAnsi="Georgia"/>
          <w:sz w:val="24"/>
          <w:szCs w:val="24"/>
        </w:rPr>
      </w:pPr>
    </w:p>
    <w:p w14:paraId="7E2421FE" w14:textId="1D3129E4" w:rsidR="00D52457" w:rsidRDefault="001E64E9" w:rsidP="00873C5A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Second, </w:t>
      </w:r>
      <w:r w:rsidR="003A6864">
        <w:rPr>
          <w:rFonts w:ascii="Georgia" w:hAnsi="Georgia"/>
          <w:sz w:val="24"/>
          <w:szCs w:val="24"/>
        </w:rPr>
        <w:t xml:space="preserve">NERC’s </w:t>
      </w:r>
      <w:r w:rsidR="003A6864" w:rsidRPr="00820DDF">
        <w:rPr>
          <w:rFonts w:ascii="Georgia" w:hAnsi="Georgia"/>
          <w:sz w:val="24"/>
          <w:szCs w:val="24"/>
        </w:rPr>
        <w:t>Board of Trustees</w:t>
      </w:r>
      <w:r w:rsidR="003A6864">
        <w:rPr>
          <w:rFonts w:ascii="Georgia" w:hAnsi="Georgia"/>
          <w:sz w:val="24"/>
          <w:szCs w:val="24"/>
        </w:rPr>
        <w:t xml:space="preserve"> </w:t>
      </w:r>
      <w:r w:rsidR="003A6864" w:rsidRPr="00820DDF">
        <w:rPr>
          <w:rFonts w:ascii="Georgia" w:hAnsi="Georgia"/>
          <w:sz w:val="24"/>
          <w:szCs w:val="24"/>
        </w:rPr>
        <w:t xml:space="preserve">plays a </w:t>
      </w:r>
      <w:r w:rsidR="00380A2A">
        <w:rPr>
          <w:rFonts w:ascii="Georgia" w:hAnsi="Georgia"/>
          <w:sz w:val="24"/>
          <w:szCs w:val="24"/>
        </w:rPr>
        <w:t>central</w:t>
      </w:r>
      <w:r w:rsidR="003A6864" w:rsidRPr="00820DDF">
        <w:rPr>
          <w:rFonts w:ascii="Georgia" w:hAnsi="Georgia"/>
          <w:sz w:val="24"/>
          <w:szCs w:val="24"/>
        </w:rPr>
        <w:t xml:space="preserve"> role in maintaining independent oversigh</w:t>
      </w:r>
      <w:r w:rsidR="0024775E">
        <w:rPr>
          <w:rFonts w:ascii="Georgia" w:hAnsi="Georgia"/>
          <w:sz w:val="24"/>
          <w:szCs w:val="24"/>
        </w:rPr>
        <w:t>t for the nation’s electricity reliability. But d</w:t>
      </w:r>
      <w:r w:rsidR="00D52457">
        <w:rPr>
          <w:rFonts w:ascii="Georgia" w:hAnsi="Georgia"/>
          <w:sz w:val="24"/>
          <w:szCs w:val="24"/>
        </w:rPr>
        <w:t xml:space="preserve">espite NERC’s transformation </w:t>
      </w:r>
      <w:r w:rsidR="00792FF2">
        <w:rPr>
          <w:rFonts w:ascii="Georgia" w:hAnsi="Georgia"/>
          <w:sz w:val="24"/>
          <w:szCs w:val="24"/>
        </w:rPr>
        <w:t xml:space="preserve">from a </w:t>
      </w:r>
      <w:r w:rsidR="00364683">
        <w:rPr>
          <w:rFonts w:ascii="Georgia" w:hAnsi="Georgia"/>
          <w:sz w:val="24"/>
          <w:szCs w:val="24"/>
        </w:rPr>
        <w:t xml:space="preserve">voluntary </w:t>
      </w:r>
      <w:r w:rsidR="00792FF2">
        <w:rPr>
          <w:rFonts w:ascii="Georgia" w:hAnsi="Georgia"/>
          <w:sz w:val="24"/>
          <w:szCs w:val="24"/>
        </w:rPr>
        <w:t>coordination arm of the utility industry to its current status as</w:t>
      </w:r>
      <w:r w:rsidR="00D52457">
        <w:rPr>
          <w:rFonts w:ascii="Georgia" w:hAnsi="Georgia"/>
          <w:sz w:val="24"/>
          <w:szCs w:val="24"/>
        </w:rPr>
        <w:t xml:space="preserve"> the </w:t>
      </w:r>
      <w:r w:rsidR="00341B41">
        <w:rPr>
          <w:rFonts w:ascii="Georgia" w:hAnsi="Georgia"/>
          <w:sz w:val="24"/>
          <w:szCs w:val="24"/>
        </w:rPr>
        <w:t xml:space="preserve">nation’s </w:t>
      </w:r>
      <w:r w:rsidR="00C74FE9">
        <w:rPr>
          <w:rFonts w:ascii="Georgia" w:hAnsi="Georgia"/>
          <w:sz w:val="24"/>
          <w:szCs w:val="24"/>
        </w:rPr>
        <w:t xml:space="preserve">official </w:t>
      </w:r>
      <w:r w:rsidR="00AF02A3">
        <w:rPr>
          <w:rFonts w:ascii="Georgia" w:hAnsi="Georgia"/>
          <w:sz w:val="24"/>
          <w:szCs w:val="24"/>
        </w:rPr>
        <w:t xml:space="preserve">Electric </w:t>
      </w:r>
      <w:r w:rsidR="00C74FE9">
        <w:rPr>
          <w:rFonts w:ascii="Georgia" w:hAnsi="Georgia"/>
          <w:sz w:val="24"/>
          <w:szCs w:val="24"/>
        </w:rPr>
        <w:t>Reliability</w:t>
      </w:r>
      <w:r w:rsidR="00AF02A3">
        <w:rPr>
          <w:rFonts w:ascii="Georgia" w:hAnsi="Georgia"/>
          <w:sz w:val="24"/>
          <w:szCs w:val="24"/>
        </w:rPr>
        <w:t xml:space="preserve"> Organization, the orientation of </w:t>
      </w:r>
      <w:r w:rsidR="001B7218">
        <w:rPr>
          <w:rFonts w:ascii="Georgia" w:hAnsi="Georgia"/>
          <w:sz w:val="24"/>
          <w:szCs w:val="24"/>
        </w:rPr>
        <w:t>the</w:t>
      </w:r>
      <w:r w:rsidR="00AF02A3">
        <w:rPr>
          <w:rFonts w:ascii="Georgia" w:hAnsi="Georgia"/>
          <w:sz w:val="24"/>
          <w:szCs w:val="24"/>
        </w:rPr>
        <w:t xml:space="preserve"> membership</w:t>
      </w:r>
      <w:r w:rsidR="001B7218">
        <w:rPr>
          <w:rFonts w:ascii="Georgia" w:hAnsi="Georgia"/>
          <w:sz w:val="24"/>
          <w:szCs w:val="24"/>
        </w:rPr>
        <w:t xml:space="preserve"> of its Board of Trustees</w:t>
      </w:r>
      <w:r w:rsidR="00AF02A3">
        <w:rPr>
          <w:rFonts w:ascii="Georgia" w:hAnsi="Georgia"/>
          <w:sz w:val="24"/>
          <w:szCs w:val="24"/>
        </w:rPr>
        <w:t xml:space="preserve"> remains overwhelmingly </w:t>
      </w:r>
      <w:r w:rsidR="00F451F4">
        <w:rPr>
          <w:rFonts w:ascii="Georgia" w:hAnsi="Georgia"/>
          <w:sz w:val="24"/>
          <w:szCs w:val="24"/>
        </w:rPr>
        <w:t xml:space="preserve">comprised of former utility executives. </w:t>
      </w:r>
      <w:r w:rsidR="001B7218">
        <w:rPr>
          <w:rFonts w:ascii="Georgia" w:hAnsi="Georgia"/>
          <w:sz w:val="24"/>
          <w:szCs w:val="24"/>
        </w:rPr>
        <w:t xml:space="preserve">Ten of the twelve seats are currently </w:t>
      </w:r>
      <w:r w:rsidR="00C05E10">
        <w:rPr>
          <w:rFonts w:ascii="Georgia" w:hAnsi="Georgia"/>
          <w:sz w:val="24"/>
          <w:szCs w:val="24"/>
        </w:rPr>
        <w:t>occupied by</w:t>
      </w:r>
      <w:r w:rsidR="001B7218">
        <w:rPr>
          <w:rFonts w:ascii="Georgia" w:hAnsi="Georgia"/>
          <w:sz w:val="24"/>
          <w:szCs w:val="24"/>
        </w:rPr>
        <w:t xml:space="preserve"> </w:t>
      </w:r>
      <w:r w:rsidR="00657F31">
        <w:rPr>
          <w:rFonts w:ascii="Georgia" w:hAnsi="Georgia"/>
          <w:sz w:val="24"/>
          <w:szCs w:val="24"/>
        </w:rPr>
        <w:t>individuals</w:t>
      </w:r>
      <w:r w:rsidR="00D95FB5">
        <w:rPr>
          <w:rFonts w:ascii="Georgia" w:hAnsi="Georgia"/>
          <w:sz w:val="24"/>
          <w:szCs w:val="24"/>
        </w:rPr>
        <w:t xml:space="preserve"> who either were employed as senior executives in electric utility management or</w:t>
      </w:r>
      <w:r w:rsidR="003E3020">
        <w:rPr>
          <w:rFonts w:ascii="Georgia" w:hAnsi="Georgia"/>
          <w:sz w:val="24"/>
          <w:szCs w:val="24"/>
        </w:rPr>
        <w:t xml:space="preserve"> advocated on behalf of utility interests in a trade association. </w:t>
      </w:r>
      <w:r w:rsidR="00087655" w:rsidRPr="00D10E7F">
        <w:rPr>
          <w:rFonts w:ascii="Georgia" w:hAnsi="Georgia"/>
          <w:sz w:val="24"/>
          <w:szCs w:val="24"/>
        </w:rPr>
        <w:t xml:space="preserve">Federal law requires NERC to have </w:t>
      </w:r>
      <w:r w:rsidR="00087655">
        <w:rPr>
          <w:rFonts w:ascii="Georgia" w:hAnsi="Georgia"/>
          <w:sz w:val="24"/>
          <w:szCs w:val="24"/>
        </w:rPr>
        <w:t>“</w:t>
      </w:r>
      <w:r w:rsidR="00087655" w:rsidRPr="00D10E7F">
        <w:rPr>
          <w:rFonts w:ascii="Georgia" w:hAnsi="Georgia"/>
          <w:sz w:val="24"/>
          <w:szCs w:val="24"/>
        </w:rPr>
        <w:t xml:space="preserve">established rules that assure its independence of the users and owners and operators of the bulk-power system, </w:t>
      </w:r>
      <w:r w:rsidR="00087655" w:rsidRPr="009F569D">
        <w:rPr>
          <w:rFonts w:ascii="Georgia" w:hAnsi="Georgia"/>
          <w:b/>
          <w:bCs/>
          <w:sz w:val="24"/>
          <w:szCs w:val="24"/>
        </w:rPr>
        <w:t>while assuring fair stakeholder representation in the selection of its directors</w:t>
      </w:r>
      <w:r w:rsidR="00EC0390">
        <w:rPr>
          <w:rFonts w:ascii="Georgia" w:hAnsi="Georgia"/>
          <w:sz w:val="24"/>
          <w:szCs w:val="24"/>
        </w:rPr>
        <w:t>” [emphasis added].</w:t>
      </w:r>
      <w:r w:rsidR="00C11686">
        <w:rPr>
          <w:rStyle w:val="FootnoteReference"/>
          <w:rFonts w:ascii="Georgia" w:hAnsi="Georgia"/>
          <w:sz w:val="24"/>
          <w:szCs w:val="24"/>
        </w:rPr>
        <w:footnoteReference w:id="3"/>
      </w:r>
      <w:r w:rsidR="00087655" w:rsidRPr="00D10E7F">
        <w:rPr>
          <w:rFonts w:ascii="Georgia" w:hAnsi="Georgia"/>
          <w:sz w:val="24"/>
          <w:szCs w:val="24"/>
        </w:rPr>
        <w:t xml:space="preserve"> </w:t>
      </w:r>
      <w:r w:rsidR="00F451F4">
        <w:rPr>
          <w:rFonts w:ascii="Georgia" w:hAnsi="Georgia"/>
          <w:sz w:val="24"/>
          <w:szCs w:val="24"/>
        </w:rPr>
        <w:t xml:space="preserve">The official </w:t>
      </w:r>
      <w:r w:rsidR="00115A92">
        <w:rPr>
          <w:rFonts w:ascii="Georgia" w:hAnsi="Georgia"/>
          <w:sz w:val="24"/>
          <w:szCs w:val="24"/>
        </w:rPr>
        <w:t xml:space="preserve">federal </w:t>
      </w:r>
      <w:r w:rsidR="00F451F4">
        <w:rPr>
          <w:rFonts w:ascii="Georgia" w:hAnsi="Georgia"/>
          <w:sz w:val="24"/>
          <w:szCs w:val="24"/>
        </w:rPr>
        <w:t xml:space="preserve">electricity </w:t>
      </w:r>
      <w:r w:rsidR="00AC1FD0">
        <w:rPr>
          <w:rFonts w:ascii="Georgia" w:hAnsi="Georgia"/>
          <w:sz w:val="24"/>
          <w:szCs w:val="24"/>
        </w:rPr>
        <w:t>reliability</w:t>
      </w:r>
      <w:r w:rsidR="00F451F4">
        <w:rPr>
          <w:rFonts w:ascii="Georgia" w:hAnsi="Georgia"/>
          <w:sz w:val="24"/>
          <w:szCs w:val="24"/>
        </w:rPr>
        <w:t xml:space="preserve"> organization should feature</w:t>
      </w:r>
      <w:r w:rsidR="00C51AA9">
        <w:rPr>
          <w:rFonts w:ascii="Georgia" w:hAnsi="Georgia"/>
          <w:sz w:val="24"/>
          <w:szCs w:val="24"/>
        </w:rPr>
        <w:t xml:space="preserve"> </w:t>
      </w:r>
      <w:r w:rsidR="00D228B1">
        <w:rPr>
          <w:rFonts w:ascii="Georgia" w:hAnsi="Georgia"/>
          <w:sz w:val="24"/>
          <w:szCs w:val="24"/>
        </w:rPr>
        <w:t>a Board of Trustees</w:t>
      </w:r>
      <w:r w:rsidR="00C51AA9">
        <w:rPr>
          <w:rFonts w:ascii="Georgia" w:hAnsi="Georgia"/>
          <w:sz w:val="24"/>
          <w:szCs w:val="24"/>
        </w:rPr>
        <w:t xml:space="preserve"> represent</w:t>
      </w:r>
      <w:r w:rsidR="006A599F">
        <w:rPr>
          <w:rFonts w:ascii="Georgia" w:hAnsi="Georgia"/>
          <w:sz w:val="24"/>
          <w:szCs w:val="24"/>
        </w:rPr>
        <w:t>ing</w:t>
      </w:r>
      <w:r w:rsidR="00C51AA9">
        <w:rPr>
          <w:rFonts w:ascii="Georgia" w:hAnsi="Georgia"/>
          <w:sz w:val="24"/>
          <w:szCs w:val="24"/>
        </w:rPr>
        <w:t xml:space="preserve"> </w:t>
      </w:r>
      <w:r w:rsidR="00AC1FD0">
        <w:rPr>
          <w:rFonts w:ascii="Georgia" w:hAnsi="Georgia"/>
          <w:sz w:val="24"/>
          <w:szCs w:val="24"/>
        </w:rPr>
        <w:t>diver</w:t>
      </w:r>
      <w:r w:rsidR="00D91D32">
        <w:rPr>
          <w:rFonts w:ascii="Georgia" w:hAnsi="Georgia"/>
          <w:sz w:val="24"/>
          <w:szCs w:val="24"/>
        </w:rPr>
        <w:t>se</w:t>
      </w:r>
      <w:r w:rsidR="000E7225">
        <w:rPr>
          <w:rFonts w:ascii="Georgia" w:hAnsi="Georgia"/>
          <w:sz w:val="24"/>
          <w:szCs w:val="24"/>
        </w:rPr>
        <w:t xml:space="preserve"> </w:t>
      </w:r>
      <w:r w:rsidR="00D91D32">
        <w:rPr>
          <w:rFonts w:ascii="Georgia" w:hAnsi="Georgia"/>
          <w:sz w:val="24"/>
          <w:szCs w:val="24"/>
        </w:rPr>
        <w:t>perspectives from all</w:t>
      </w:r>
      <w:r w:rsidR="00C51AA9">
        <w:rPr>
          <w:rFonts w:ascii="Georgia" w:hAnsi="Georgia"/>
          <w:sz w:val="24"/>
          <w:szCs w:val="24"/>
        </w:rPr>
        <w:t xml:space="preserve"> </w:t>
      </w:r>
      <w:r w:rsidR="0075559D">
        <w:rPr>
          <w:rFonts w:ascii="Georgia" w:hAnsi="Georgia"/>
          <w:sz w:val="24"/>
          <w:szCs w:val="24"/>
        </w:rPr>
        <w:t xml:space="preserve">stakeholders </w:t>
      </w:r>
      <w:r w:rsidR="00C51AA9">
        <w:rPr>
          <w:rFonts w:ascii="Georgia" w:hAnsi="Georgia"/>
          <w:sz w:val="24"/>
          <w:szCs w:val="24"/>
        </w:rPr>
        <w:t>impacted by reliability standards</w:t>
      </w:r>
      <w:r w:rsidR="0075559D">
        <w:rPr>
          <w:rFonts w:ascii="Cambria" w:hAnsi="Cambria"/>
          <w:sz w:val="24"/>
          <w:szCs w:val="24"/>
        </w:rPr>
        <w:t>—</w:t>
      </w:r>
      <w:r w:rsidR="00DC1461">
        <w:rPr>
          <w:rFonts w:ascii="Georgia" w:hAnsi="Georgia"/>
          <w:sz w:val="24"/>
          <w:szCs w:val="24"/>
        </w:rPr>
        <w:t xml:space="preserve">not just utilities. </w:t>
      </w:r>
      <w:r w:rsidR="0075559D">
        <w:rPr>
          <w:rFonts w:ascii="Georgia" w:hAnsi="Georgia"/>
          <w:sz w:val="24"/>
          <w:szCs w:val="24"/>
        </w:rPr>
        <w:t xml:space="preserve">Including at least one board seat for an individual with </w:t>
      </w:r>
      <w:r w:rsidR="00780792">
        <w:rPr>
          <w:rFonts w:ascii="Georgia" w:hAnsi="Georgia"/>
          <w:sz w:val="24"/>
          <w:szCs w:val="24"/>
        </w:rPr>
        <w:t xml:space="preserve">a professional background of bona fide consumer advocacy </w:t>
      </w:r>
      <w:r w:rsidR="00DC1461">
        <w:rPr>
          <w:rFonts w:ascii="Georgia" w:hAnsi="Georgia"/>
          <w:sz w:val="24"/>
          <w:szCs w:val="24"/>
        </w:rPr>
        <w:t xml:space="preserve">will help improve the organization’s </w:t>
      </w:r>
      <w:r w:rsidR="008C30C1">
        <w:rPr>
          <w:rFonts w:ascii="Georgia" w:hAnsi="Georgia"/>
          <w:sz w:val="24"/>
          <w:szCs w:val="24"/>
        </w:rPr>
        <w:t>guidance on needed reliability standards.</w:t>
      </w:r>
      <w:r w:rsidR="006528B6">
        <w:rPr>
          <w:rFonts w:ascii="Georgia" w:hAnsi="Georgia"/>
          <w:sz w:val="24"/>
          <w:szCs w:val="24"/>
        </w:rPr>
        <w:t xml:space="preserve"> </w:t>
      </w:r>
      <w:r w:rsidR="00F80DE1">
        <w:rPr>
          <w:rFonts w:ascii="Georgia" w:hAnsi="Georgia"/>
          <w:sz w:val="24"/>
          <w:szCs w:val="24"/>
        </w:rPr>
        <w:t>After all, it is consumers that u</w:t>
      </w:r>
      <w:r w:rsidR="00113ED4">
        <w:rPr>
          <w:rFonts w:ascii="Georgia" w:hAnsi="Georgia"/>
          <w:sz w:val="24"/>
          <w:szCs w:val="24"/>
        </w:rPr>
        <w:t xml:space="preserve">ltimately pay the bills for reliability. </w:t>
      </w:r>
      <w:r w:rsidR="00A4785D">
        <w:rPr>
          <w:rFonts w:ascii="Georgia" w:hAnsi="Georgia"/>
          <w:sz w:val="24"/>
          <w:szCs w:val="24"/>
        </w:rPr>
        <w:t>C</w:t>
      </w:r>
      <w:r w:rsidR="006A110C">
        <w:rPr>
          <w:rFonts w:ascii="Georgia" w:hAnsi="Georgia"/>
          <w:sz w:val="24"/>
          <w:szCs w:val="24"/>
        </w:rPr>
        <w:t>onsider</w:t>
      </w:r>
      <w:r w:rsidR="00421B50">
        <w:rPr>
          <w:rFonts w:ascii="Georgia" w:hAnsi="Georgia"/>
          <w:sz w:val="24"/>
          <w:szCs w:val="24"/>
        </w:rPr>
        <w:t>ations</w:t>
      </w:r>
      <w:r w:rsidR="00A4785D">
        <w:rPr>
          <w:rFonts w:ascii="Georgia" w:hAnsi="Georgia"/>
          <w:sz w:val="24"/>
          <w:szCs w:val="24"/>
        </w:rPr>
        <w:t xml:space="preserve"> for additional board requirements</w:t>
      </w:r>
      <w:r w:rsidR="00421B50">
        <w:rPr>
          <w:rFonts w:ascii="Georgia" w:hAnsi="Georgia"/>
          <w:sz w:val="24"/>
          <w:szCs w:val="24"/>
        </w:rPr>
        <w:t xml:space="preserve"> could include</w:t>
      </w:r>
      <w:r w:rsidR="00D12731">
        <w:rPr>
          <w:rFonts w:ascii="Georgia" w:hAnsi="Georgia"/>
          <w:sz w:val="24"/>
          <w:szCs w:val="24"/>
        </w:rPr>
        <w:t xml:space="preserve"> those with backgrounds in </w:t>
      </w:r>
      <w:r w:rsidR="00FF465E">
        <w:rPr>
          <w:rFonts w:ascii="Georgia" w:hAnsi="Georgia"/>
          <w:sz w:val="24"/>
          <w:szCs w:val="24"/>
        </w:rPr>
        <w:t>organized labor</w:t>
      </w:r>
      <w:r w:rsidR="00315887">
        <w:rPr>
          <w:rFonts w:ascii="Georgia" w:hAnsi="Georgia"/>
          <w:sz w:val="24"/>
          <w:szCs w:val="24"/>
        </w:rPr>
        <w:t>, and academics</w:t>
      </w:r>
      <w:r w:rsidR="004229EF">
        <w:rPr>
          <w:rFonts w:ascii="Georgia" w:hAnsi="Georgia"/>
          <w:sz w:val="24"/>
          <w:szCs w:val="24"/>
        </w:rPr>
        <w:t xml:space="preserve"> with concentrations studying the utility industry.</w:t>
      </w:r>
      <w:r w:rsidR="00347842">
        <w:rPr>
          <w:rFonts w:ascii="Georgia" w:hAnsi="Georgia"/>
          <w:sz w:val="24"/>
          <w:szCs w:val="24"/>
        </w:rPr>
        <w:t xml:space="preserve"> </w:t>
      </w:r>
    </w:p>
    <w:p w14:paraId="2408C879" w14:textId="59A124EF" w:rsidR="00045F62" w:rsidRDefault="00984527" w:rsidP="00873C5A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While </w:t>
      </w:r>
      <w:r w:rsidR="00ED1090">
        <w:rPr>
          <w:rFonts w:ascii="Georgia" w:hAnsi="Georgia"/>
          <w:sz w:val="24"/>
          <w:szCs w:val="24"/>
        </w:rPr>
        <w:t>utility executive</w:t>
      </w:r>
      <w:r>
        <w:rPr>
          <w:rFonts w:ascii="Georgia" w:hAnsi="Georgia"/>
          <w:sz w:val="24"/>
          <w:szCs w:val="24"/>
        </w:rPr>
        <w:t xml:space="preserve"> experience</w:t>
      </w:r>
      <w:r w:rsidR="00A23030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is</w:t>
      </w:r>
      <w:r w:rsidR="00ED1090">
        <w:rPr>
          <w:rFonts w:ascii="Georgia" w:hAnsi="Georgia"/>
          <w:sz w:val="24"/>
          <w:szCs w:val="24"/>
        </w:rPr>
        <w:t xml:space="preserve"> of course</w:t>
      </w:r>
      <w:r>
        <w:rPr>
          <w:rFonts w:ascii="Georgia" w:hAnsi="Georgia"/>
          <w:sz w:val="24"/>
          <w:szCs w:val="24"/>
        </w:rPr>
        <w:t xml:space="preserve"> valuable</w:t>
      </w:r>
      <w:r w:rsidR="007F3BEA">
        <w:rPr>
          <w:rFonts w:ascii="Georgia" w:hAnsi="Georgia"/>
          <w:sz w:val="24"/>
          <w:szCs w:val="24"/>
        </w:rPr>
        <w:t xml:space="preserve">, </w:t>
      </w:r>
      <w:r w:rsidR="00ED754B">
        <w:rPr>
          <w:rFonts w:ascii="Georgia" w:hAnsi="Georgia"/>
          <w:sz w:val="24"/>
          <w:szCs w:val="24"/>
        </w:rPr>
        <w:t>the post-Valentine</w:t>
      </w:r>
      <w:r w:rsidR="00A03816">
        <w:rPr>
          <w:rFonts w:ascii="Georgia" w:hAnsi="Georgia"/>
          <w:sz w:val="24"/>
          <w:szCs w:val="24"/>
        </w:rPr>
        <w:t xml:space="preserve">’s Day blackouts that ravaged ERCOT make clear that all </w:t>
      </w:r>
      <w:r w:rsidR="00F623DA">
        <w:rPr>
          <w:rFonts w:ascii="Georgia" w:hAnsi="Georgia"/>
          <w:sz w:val="24"/>
          <w:szCs w:val="24"/>
        </w:rPr>
        <w:t xml:space="preserve">segments of society are impacted by grid reliability, and </w:t>
      </w:r>
      <w:r w:rsidR="00912A03">
        <w:rPr>
          <w:rFonts w:ascii="Georgia" w:hAnsi="Georgia"/>
          <w:sz w:val="24"/>
          <w:szCs w:val="24"/>
        </w:rPr>
        <w:t>solutions require a seat at the table by</w:t>
      </w:r>
      <w:r w:rsidR="00EA3500">
        <w:rPr>
          <w:rFonts w:ascii="Georgia" w:hAnsi="Georgia"/>
          <w:sz w:val="24"/>
          <w:szCs w:val="24"/>
        </w:rPr>
        <w:t xml:space="preserve"> </w:t>
      </w:r>
      <w:r w:rsidR="00A56DB8">
        <w:rPr>
          <w:rFonts w:ascii="Georgia" w:hAnsi="Georgia"/>
          <w:sz w:val="24"/>
          <w:szCs w:val="24"/>
        </w:rPr>
        <w:t xml:space="preserve">various </w:t>
      </w:r>
      <w:r w:rsidR="00457048">
        <w:rPr>
          <w:rFonts w:ascii="Georgia" w:hAnsi="Georgia"/>
          <w:sz w:val="24"/>
          <w:szCs w:val="24"/>
        </w:rPr>
        <w:t xml:space="preserve">affected stakeholders. </w:t>
      </w:r>
      <w:r w:rsidR="003256CD">
        <w:rPr>
          <w:rFonts w:ascii="Georgia" w:hAnsi="Georgia"/>
          <w:sz w:val="24"/>
          <w:szCs w:val="24"/>
        </w:rPr>
        <w:lastRenderedPageBreak/>
        <w:t>As part of this rulemaking, the Commission should require NERC to formally</w:t>
      </w:r>
      <w:r w:rsidR="00550DF0">
        <w:rPr>
          <w:rFonts w:ascii="Georgia" w:hAnsi="Georgia"/>
          <w:sz w:val="24"/>
          <w:szCs w:val="24"/>
        </w:rPr>
        <w:t xml:space="preserve"> embark on a plan to include more diverse perspectives for the Board of Trustees.</w:t>
      </w:r>
      <w:r w:rsidR="00301FF1">
        <w:rPr>
          <w:rFonts w:ascii="Georgia" w:hAnsi="Georgia"/>
          <w:sz w:val="24"/>
          <w:szCs w:val="24"/>
        </w:rPr>
        <w:t xml:space="preserve"> </w:t>
      </w:r>
    </w:p>
    <w:p w14:paraId="679F57A3" w14:textId="77777777" w:rsidR="00A56DB8" w:rsidRDefault="00A56DB8" w:rsidP="005E23D1">
      <w:pPr>
        <w:ind w:firstLine="720"/>
        <w:rPr>
          <w:rFonts w:ascii="Georgia" w:hAnsi="Georgia"/>
          <w:sz w:val="24"/>
          <w:szCs w:val="24"/>
        </w:rPr>
      </w:pPr>
    </w:p>
    <w:p w14:paraId="694EBB2F" w14:textId="74C56B32" w:rsidR="00A56DB8" w:rsidRDefault="001E64E9" w:rsidP="00873C5A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Third</w:t>
      </w:r>
      <w:r w:rsidR="00E828B2">
        <w:rPr>
          <w:rFonts w:ascii="Georgia" w:hAnsi="Georgia"/>
          <w:sz w:val="24"/>
          <w:szCs w:val="24"/>
        </w:rPr>
        <w:t>, w</w:t>
      </w:r>
      <w:r w:rsidR="00085457">
        <w:rPr>
          <w:rFonts w:ascii="Georgia" w:hAnsi="Georgia"/>
          <w:sz w:val="24"/>
          <w:szCs w:val="24"/>
        </w:rPr>
        <w:t>e urge the Commission</w:t>
      </w:r>
      <w:r w:rsidR="00295C30">
        <w:rPr>
          <w:rFonts w:ascii="Georgia" w:hAnsi="Georgia"/>
          <w:sz w:val="24"/>
          <w:szCs w:val="24"/>
        </w:rPr>
        <w:t>’s new Office of Public Particip</w:t>
      </w:r>
      <w:r w:rsidR="00983DC2">
        <w:rPr>
          <w:rFonts w:ascii="Georgia" w:hAnsi="Georgia"/>
          <w:sz w:val="24"/>
          <w:szCs w:val="24"/>
        </w:rPr>
        <w:t>a</w:t>
      </w:r>
      <w:r w:rsidR="00295C30">
        <w:rPr>
          <w:rFonts w:ascii="Georgia" w:hAnsi="Georgia"/>
          <w:sz w:val="24"/>
          <w:szCs w:val="24"/>
        </w:rPr>
        <w:t>tion</w:t>
      </w:r>
      <w:r w:rsidR="00295C30">
        <w:rPr>
          <w:rStyle w:val="FootnoteReference"/>
          <w:rFonts w:ascii="Georgia" w:hAnsi="Georgia"/>
          <w:sz w:val="24"/>
          <w:szCs w:val="24"/>
        </w:rPr>
        <w:footnoteReference w:id="4"/>
      </w:r>
      <w:r w:rsidR="00085457">
        <w:rPr>
          <w:rFonts w:ascii="Georgia" w:hAnsi="Georgia"/>
          <w:sz w:val="24"/>
          <w:szCs w:val="24"/>
        </w:rPr>
        <w:t xml:space="preserve"> to include </w:t>
      </w:r>
      <w:r w:rsidR="009917B3">
        <w:rPr>
          <w:rFonts w:ascii="Georgia" w:hAnsi="Georgia"/>
          <w:sz w:val="24"/>
          <w:szCs w:val="24"/>
        </w:rPr>
        <w:t xml:space="preserve">responsibilities to coordinate outreach to the public </w:t>
      </w:r>
      <w:r w:rsidR="00965A00">
        <w:rPr>
          <w:rFonts w:ascii="Georgia" w:hAnsi="Georgia"/>
          <w:sz w:val="24"/>
          <w:szCs w:val="24"/>
        </w:rPr>
        <w:t xml:space="preserve">and consumer advocates </w:t>
      </w:r>
      <w:r w:rsidR="009917B3">
        <w:rPr>
          <w:rFonts w:ascii="Georgia" w:hAnsi="Georgia"/>
          <w:sz w:val="24"/>
          <w:szCs w:val="24"/>
        </w:rPr>
        <w:t xml:space="preserve">on </w:t>
      </w:r>
      <w:r w:rsidR="00085457">
        <w:rPr>
          <w:rFonts w:ascii="Georgia" w:hAnsi="Georgia"/>
          <w:sz w:val="24"/>
          <w:szCs w:val="24"/>
        </w:rPr>
        <w:t xml:space="preserve">NERC </w:t>
      </w:r>
      <w:r w:rsidR="009917B3">
        <w:rPr>
          <w:rFonts w:ascii="Georgia" w:hAnsi="Georgia"/>
          <w:sz w:val="24"/>
          <w:szCs w:val="24"/>
        </w:rPr>
        <w:t>proceedings</w:t>
      </w:r>
      <w:r w:rsidR="00965A00">
        <w:rPr>
          <w:rFonts w:ascii="Georgia" w:hAnsi="Georgia"/>
          <w:sz w:val="24"/>
          <w:szCs w:val="24"/>
        </w:rPr>
        <w:t>,</w:t>
      </w:r>
      <w:r w:rsidR="009917B3">
        <w:rPr>
          <w:rFonts w:ascii="Georgia" w:hAnsi="Georgia"/>
          <w:sz w:val="24"/>
          <w:szCs w:val="24"/>
        </w:rPr>
        <w:t xml:space="preserve"> </w:t>
      </w:r>
      <w:r w:rsidR="001F3B86">
        <w:rPr>
          <w:rFonts w:ascii="Georgia" w:hAnsi="Georgia"/>
          <w:sz w:val="24"/>
          <w:szCs w:val="24"/>
        </w:rPr>
        <w:t xml:space="preserve">public </w:t>
      </w:r>
      <w:r w:rsidR="009917B3">
        <w:rPr>
          <w:rFonts w:ascii="Georgia" w:hAnsi="Georgia"/>
          <w:sz w:val="24"/>
          <w:szCs w:val="24"/>
        </w:rPr>
        <w:t xml:space="preserve">comment </w:t>
      </w:r>
      <w:r w:rsidR="00F92D9A">
        <w:rPr>
          <w:rFonts w:ascii="Georgia" w:hAnsi="Georgia"/>
          <w:sz w:val="24"/>
          <w:szCs w:val="24"/>
        </w:rPr>
        <w:t>opportunities</w:t>
      </w:r>
      <w:r w:rsidR="00965A00">
        <w:rPr>
          <w:rFonts w:ascii="Georgia" w:hAnsi="Georgia"/>
          <w:sz w:val="24"/>
          <w:szCs w:val="24"/>
        </w:rPr>
        <w:t xml:space="preserve">, and </w:t>
      </w:r>
      <w:r w:rsidR="00E76066">
        <w:rPr>
          <w:rFonts w:ascii="Georgia" w:hAnsi="Georgia"/>
          <w:sz w:val="24"/>
          <w:szCs w:val="24"/>
        </w:rPr>
        <w:t>stakeholder committee participation</w:t>
      </w:r>
      <w:r w:rsidR="009917B3">
        <w:rPr>
          <w:rFonts w:ascii="Georgia" w:hAnsi="Georgia"/>
          <w:sz w:val="24"/>
          <w:szCs w:val="24"/>
        </w:rPr>
        <w:t>.</w:t>
      </w:r>
    </w:p>
    <w:p w14:paraId="6C2F1F72" w14:textId="66F1E799" w:rsidR="00085457" w:rsidRDefault="009917B3" w:rsidP="005E23D1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14:paraId="49E492C8" w14:textId="36AC86FA" w:rsidR="00F66CDD" w:rsidRDefault="001E64E9" w:rsidP="00873C5A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Fourth</w:t>
      </w:r>
      <w:r w:rsidR="00E421E9">
        <w:rPr>
          <w:rFonts w:ascii="Georgia" w:hAnsi="Georgia"/>
          <w:sz w:val="24"/>
          <w:szCs w:val="24"/>
        </w:rPr>
        <w:t>, w</w:t>
      </w:r>
      <w:r w:rsidR="00CF0745">
        <w:rPr>
          <w:rFonts w:ascii="Georgia" w:hAnsi="Georgia"/>
          <w:sz w:val="24"/>
          <w:szCs w:val="24"/>
        </w:rPr>
        <w:t>e applaud the Commission’s proposal</w:t>
      </w:r>
      <w:r w:rsidR="00203E38">
        <w:rPr>
          <w:rFonts w:ascii="Georgia" w:hAnsi="Georgia"/>
          <w:sz w:val="24"/>
          <w:szCs w:val="24"/>
        </w:rPr>
        <w:t xml:space="preserve"> </w:t>
      </w:r>
      <w:r w:rsidR="00CF2409">
        <w:rPr>
          <w:rFonts w:ascii="Georgia" w:hAnsi="Georgia"/>
          <w:sz w:val="24"/>
          <w:szCs w:val="24"/>
        </w:rPr>
        <w:t>requiring NERC</w:t>
      </w:r>
      <w:r w:rsidR="00203E38">
        <w:rPr>
          <w:rFonts w:ascii="Georgia" w:hAnsi="Georgia"/>
          <w:sz w:val="24"/>
          <w:szCs w:val="24"/>
        </w:rPr>
        <w:t xml:space="preserve"> </w:t>
      </w:r>
      <w:r w:rsidR="00CF2409">
        <w:rPr>
          <w:rFonts w:ascii="Georgia" w:hAnsi="Georgia"/>
          <w:sz w:val="24"/>
          <w:szCs w:val="24"/>
        </w:rPr>
        <w:t>“</w:t>
      </w:r>
      <w:r w:rsidR="00203E38" w:rsidRPr="00203E38">
        <w:rPr>
          <w:rFonts w:ascii="Georgia" w:hAnsi="Georgia"/>
          <w:sz w:val="24"/>
          <w:szCs w:val="24"/>
        </w:rPr>
        <w:t>to add a formal requirement for a public comment period to solicit Regional Entities, users, owners, and operators of the Bulk-Power System, and other interested parties for improvement of the ERO's operations, activities, oversight and procedures.</w:t>
      </w:r>
      <w:r w:rsidR="00CF2409">
        <w:rPr>
          <w:rFonts w:ascii="Georgia" w:hAnsi="Georgia"/>
          <w:sz w:val="24"/>
          <w:szCs w:val="24"/>
        </w:rPr>
        <w:t>”</w:t>
      </w:r>
      <w:r w:rsidR="00900138">
        <w:rPr>
          <w:rStyle w:val="FootnoteReference"/>
          <w:rFonts w:ascii="Georgia" w:hAnsi="Georgia"/>
          <w:sz w:val="24"/>
          <w:szCs w:val="24"/>
        </w:rPr>
        <w:footnoteReference w:id="5"/>
      </w:r>
      <w:r w:rsidR="00CF2409">
        <w:rPr>
          <w:rFonts w:ascii="Georgia" w:hAnsi="Georgia"/>
          <w:sz w:val="24"/>
          <w:szCs w:val="24"/>
        </w:rPr>
        <w:t xml:space="preserve"> We </w:t>
      </w:r>
      <w:r w:rsidR="00F937CA">
        <w:rPr>
          <w:rFonts w:ascii="Georgia" w:hAnsi="Georgia"/>
          <w:sz w:val="24"/>
          <w:szCs w:val="24"/>
        </w:rPr>
        <w:t>advise</w:t>
      </w:r>
      <w:r w:rsidR="00CF2409">
        <w:rPr>
          <w:rFonts w:ascii="Georgia" w:hAnsi="Georgia"/>
          <w:sz w:val="24"/>
          <w:szCs w:val="24"/>
        </w:rPr>
        <w:t xml:space="preserve"> the Commission to specifically include “consumer advocates”</w:t>
      </w:r>
      <w:r w:rsidR="00382F37">
        <w:rPr>
          <w:rFonts w:ascii="Georgia" w:hAnsi="Georgia"/>
          <w:sz w:val="24"/>
          <w:szCs w:val="24"/>
        </w:rPr>
        <w:t xml:space="preserve"> in this suggested list of parties for NERC to engage.</w:t>
      </w:r>
    </w:p>
    <w:p w14:paraId="1C0FC96E" w14:textId="77777777" w:rsidR="001F3B86" w:rsidRDefault="001F3B86" w:rsidP="00E03E60">
      <w:pPr>
        <w:ind w:firstLine="720"/>
        <w:rPr>
          <w:rFonts w:ascii="Georgia" w:hAnsi="Georgia"/>
          <w:sz w:val="24"/>
          <w:szCs w:val="24"/>
        </w:rPr>
      </w:pPr>
    </w:p>
    <w:p w14:paraId="126E626B" w14:textId="54D239E2" w:rsidR="00E9665D" w:rsidRDefault="00E9665D" w:rsidP="00873C5A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E421E9">
        <w:rPr>
          <w:rFonts w:ascii="Georgia" w:hAnsi="Georgia"/>
          <w:sz w:val="24"/>
          <w:szCs w:val="24"/>
        </w:rPr>
        <w:t>F</w:t>
      </w:r>
      <w:r w:rsidR="001E64E9">
        <w:rPr>
          <w:rFonts w:ascii="Georgia" w:hAnsi="Georgia"/>
          <w:sz w:val="24"/>
          <w:szCs w:val="24"/>
        </w:rPr>
        <w:t>ifth</w:t>
      </w:r>
      <w:r w:rsidR="00E421E9">
        <w:rPr>
          <w:rFonts w:ascii="Georgia" w:hAnsi="Georgia"/>
          <w:sz w:val="24"/>
          <w:szCs w:val="24"/>
        </w:rPr>
        <w:t>, w</w:t>
      </w:r>
      <w:r>
        <w:rPr>
          <w:rFonts w:ascii="Georgia" w:hAnsi="Georgia"/>
          <w:sz w:val="24"/>
          <w:szCs w:val="24"/>
        </w:rPr>
        <w:t xml:space="preserve">e </w:t>
      </w:r>
      <w:r w:rsidR="00871FB0">
        <w:rPr>
          <w:rFonts w:ascii="Georgia" w:hAnsi="Georgia"/>
          <w:sz w:val="24"/>
          <w:szCs w:val="24"/>
        </w:rPr>
        <w:t>recommend that the</w:t>
      </w:r>
      <w:r>
        <w:rPr>
          <w:rFonts w:ascii="Georgia" w:hAnsi="Georgia"/>
          <w:sz w:val="24"/>
          <w:szCs w:val="24"/>
        </w:rPr>
        <w:t xml:space="preserve"> Commission </w:t>
      </w:r>
      <w:r w:rsidR="00444553">
        <w:rPr>
          <w:rFonts w:ascii="Georgia" w:hAnsi="Georgia"/>
          <w:sz w:val="24"/>
          <w:szCs w:val="24"/>
        </w:rPr>
        <w:t xml:space="preserve">require NERC to post notice of public comment </w:t>
      </w:r>
      <w:r w:rsidR="001F3B86">
        <w:rPr>
          <w:rFonts w:ascii="Georgia" w:hAnsi="Georgia"/>
          <w:sz w:val="24"/>
          <w:szCs w:val="24"/>
        </w:rPr>
        <w:t>opportunities</w:t>
      </w:r>
      <w:r w:rsidR="00444553">
        <w:rPr>
          <w:rFonts w:ascii="Georgia" w:hAnsi="Georgia"/>
          <w:sz w:val="24"/>
          <w:szCs w:val="24"/>
        </w:rPr>
        <w:t xml:space="preserve"> in the </w:t>
      </w:r>
      <w:r w:rsidR="00444553" w:rsidRPr="00444553">
        <w:rPr>
          <w:rFonts w:ascii="Georgia" w:hAnsi="Georgia"/>
          <w:i/>
          <w:iCs/>
          <w:sz w:val="24"/>
          <w:szCs w:val="24"/>
        </w:rPr>
        <w:t>Federal Register</w:t>
      </w:r>
      <w:r w:rsidR="000F6D3B">
        <w:rPr>
          <w:rFonts w:ascii="Georgia" w:hAnsi="Georgia"/>
          <w:sz w:val="24"/>
          <w:szCs w:val="24"/>
        </w:rPr>
        <w:t>, in addition to NERC’s web site</w:t>
      </w:r>
      <w:r w:rsidR="00444553">
        <w:rPr>
          <w:rFonts w:ascii="Georgia" w:hAnsi="Georgia"/>
          <w:sz w:val="24"/>
          <w:szCs w:val="24"/>
        </w:rPr>
        <w:t>.</w:t>
      </w:r>
      <w:r w:rsidR="000F6D3B">
        <w:rPr>
          <w:rFonts w:ascii="Georgia" w:hAnsi="Georgia"/>
          <w:sz w:val="24"/>
          <w:szCs w:val="24"/>
        </w:rPr>
        <w:t xml:space="preserve"> The Federal Register is the standard</w:t>
      </w:r>
      <w:r w:rsidR="002B11DC">
        <w:rPr>
          <w:rFonts w:ascii="Georgia" w:hAnsi="Georgia"/>
          <w:sz w:val="24"/>
          <w:szCs w:val="24"/>
        </w:rPr>
        <w:t xml:space="preserve"> medium to notify the public of federal-</w:t>
      </w:r>
      <w:r w:rsidR="00657F31">
        <w:rPr>
          <w:rFonts w:ascii="Georgia" w:hAnsi="Georgia"/>
          <w:sz w:val="24"/>
          <w:szCs w:val="24"/>
        </w:rPr>
        <w:t>jurisdictional</w:t>
      </w:r>
      <w:r w:rsidR="002B11DC">
        <w:rPr>
          <w:rFonts w:ascii="Georgia" w:hAnsi="Georgia"/>
          <w:sz w:val="24"/>
          <w:szCs w:val="24"/>
        </w:rPr>
        <w:t xml:space="preserve"> comment periods. </w:t>
      </w:r>
    </w:p>
    <w:p w14:paraId="0E93A13E" w14:textId="509D7514" w:rsidR="0048403C" w:rsidRDefault="0048403C" w:rsidP="00873C5A">
      <w:pPr>
        <w:spacing w:line="360" w:lineRule="auto"/>
        <w:rPr>
          <w:rFonts w:ascii="Georgia" w:hAnsi="Georgia"/>
          <w:sz w:val="24"/>
          <w:szCs w:val="24"/>
        </w:rPr>
      </w:pPr>
    </w:p>
    <w:p w14:paraId="006A4389" w14:textId="3B30A071" w:rsidR="00932660" w:rsidRDefault="0048403C" w:rsidP="00873C5A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1E64E9">
        <w:rPr>
          <w:rFonts w:ascii="Georgia" w:hAnsi="Georgia"/>
          <w:sz w:val="24"/>
          <w:szCs w:val="24"/>
        </w:rPr>
        <w:t>Sixth</w:t>
      </w:r>
      <w:r w:rsidR="00E421E9">
        <w:rPr>
          <w:rFonts w:ascii="Georgia" w:hAnsi="Georgia"/>
          <w:sz w:val="24"/>
          <w:szCs w:val="24"/>
        </w:rPr>
        <w:t>, i</w:t>
      </w:r>
      <w:r>
        <w:rPr>
          <w:rFonts w:ascii="Georgia" w:hAnsi="Georgia"/>
          <w:sz w:val="24"/>
          <w:szCs w:val="24"/>
        </w:rPr>
        <w:t xml:space="preserve">n comments we provided </w:t>
      </w:r>
      <w:r w:rsidR="00DC6C09">
        <w:rPr>
          <w:rFonts w:ascii="Georgia" w:hAnsi="Georgia"/>
          <w:sz w:val="24"/>
          <w:szCs w:val="24"/>
        </w:rPr>
        <w:t>last</w:t>
      </w:r>
      <w:r w:rsidR="006E4BE1">
        <w:rPr>
          <w:rFonts w:ascii="Georgia" w:hAnsi="Georgia"/>
          <w:sz w:val="24"/>
          <w:szCs w:val="24"/>
        </w:rPr>
        <w:t xml:space="preserve"> year</w:t>
      </w:r>
      <w:r w:rsidR="00DC6C09">
        <w:rPr>
          <w:rFonts w:ascii="Georgia" w:hAnsi="Georgia"/>
          <w:sz w:val="24"/>
          <w:szCs w:val="24"/>
        </w:rPr>
        <w:t xml:space="preserve"> to the Commission,</w:t>
      </w:r>
      <w:r w:rsidR="00DC6C09">
        <w:rPr>
          <w:rStyle w:val="FootnoteReference"/>
          <w:rFonts w:ascii="Georgia" w:hAnsi="Georgia"/>
          <w:sz w:val="24"/>
          <w:szCs w:val="24"/>
        </w:rPr>
        <w:footnoteReference w:id="6"/>
      </w:r>
      <w:r w:rsidR="006E4BE1">
        <w:rPr>
          <w:rFonts w:ascii="Georgia" w:hAnsi="Georgia"/>
          <w:sz w:val="24"/>
          <w:szCs w:val="24"/>
        </w:rPr>
        <w:t xml:space="preserve"> we noted that reserved seats for </w:t>
      </w:r>
      <w:r w:rsidR="002476E6">
        <w:rPr>
          <w:rFonts w:ascii="Georgia" w:hAnsi="Georgia"/>
          <w:sz w:val="24"/>
          <w:szCs w:val="24"/>
        </w:rPr>
        <w:t xml:space="preserve">consumer advocates in </w:t>
      </w:r>
      <w:r w:rsidR="0006205C">
        <w:rPr>
          <w:rFonts w:ascii="Georgia" w:hAnsi="Georgia"/>
          <w:sz w:val="24"/>
          <w:szCs w:val="24"/>
        </w:rPr>
        <w:t xml:space="preserve">NERC’s </w:t>
      </w:r>
      <w:r w:rsidR="006E4BE1">
        <w:rPr>
          <w:rFonts w:ascii="Georgia" w:hAnsi="Georgia"/>
          <w:sz w:val="24"/>
          <w:szCs w:val="24"/>
        </w:rPr>
        <w:t xml:space="preserve">stakeholder committees </w:t>
      </w:r>
      <w:r w:rsidR="0006205C">
        <w:rPr>
          <w:rFonts w:ascii="Georgia" w:hAnsi="Georgia"/>
          <w:sz w:val="24"/>
          <w:szCs w:val="24"/>
        </w:rPr>
        <w:t>(</w:t>
      </w:r>
      <w:r w:rsidR="006E4BE1">
        <w:rPr>
          <w:rFonts w:ascii="Georgia" w:hAnsi="Georgia"/>
          <w:sz w:val="24"/>
          <w:szCs w:val="24"/>
        </w:rPr>
        <w:t xml:space="preserve">such as the </w:t>
      </w:r>
      <w:r w:rsidR="003441C1" w:rsidRPr="003441C1">
        <w:rPr>
          <w:rFonts w:ascii="Georgia" w:hAnsi="Georgia"/>
          <w:sz w:val="24"/>
          <w:szCs w:val="24"/>
        </w:rPr>
        <w:t>Reliability And Security Technical Committee</w:t>
      </w:r>
      <w:r w:rsidR="0006205C">
        <w:rPr>
          <w:rFonts w:ascii="Georgia" w:hAnsi="Georgia"/>
          <w:sz w:val="24"/>
          <w:szCs w:val="24"/>
        </w:rPr>
        <w:t>)</w:t>
      </w:r>
      <w:r w:rsidR="00C105EF">
        <w:rPr>
          <w:rFonts w:ascii="Georgia" w:hAnsi="Georgia"/>
          <w:sz w:val="24"/>
          <w:szCs w:val="24"/>
        </w:rPr>
        <w:t xml:space="preserve"> were underrepresented in relation to </w:t>
      </w:r>
      <w:r w:rsidR="00732595">
        <w:rPr>
          <w:rFonts w:ascii="Georgia" w:hAnsi="Georgia"/>
          <w:sz w:val="24"/>
          <w:szCs w:val="24"/>
        </w:rPr>
        <w:t>guaranteed</w:t>
      </w:r>
      <w:r w:rsidR="00C105EF">
        <w:rPr>
          <w:rFonts w:ascii="Georgia" w:hAnsi="Georgia"/>
          <w:sz w:val="24"/>
          <w:szCs w:val="24"/>
        </w:rPr>
        <w:t xml:space="preserve"> slots for utilities</w:t>
      </w:r>
      <w:r w:rsidR="00EB5E3C">
        <w:rPr>
          <w:rFonts w:ascii="Georgia" w:hAnsi="Georgia"/>
          <w:sz w:val="24"/>
          <w:szCs w:val="24"/>
        </w:rPr>
        <w:t>,</w:t>
      </w:r>
      <w:r w:rsidR="00C105EF">
        <w:rPr>
          <w:rFonts w:ascii="Georgia" w:hAnsi="Georgia"/>
          <w:sz w:val="24"/>
          <w:szCs w:val="24"/>
        </w:rPr>
        <w:t xml:space="preserve"> generation owners</w:t>
      </w:r>
      <w:r w:rsidR="00EA6E8A">
        <w:rPr>
          <w:rFonts w:ascii="Georgia" w:hAnsi="Georgia"/>
          <w:sz w:val="24"/>
          <w:szCs w:val="24"/>
        </w:rPr>
        <w:t xml:space="preserve">, </w:t>
      </w:r>
      <w:r w:rsidR="002374F8">
        <w:rPr>
          <w:rFonts w:ascii="Georgia" w:hAnsi="Georgia"/>
          <w:sz w:val="24"/>
          <w:szCs w:val="24"/>
        </w:rPr>
        <w:t xml:space="preserve">and financial traders, </w:t>
      </w:r>
      <w:r w:rsidR="00EA6E8A">
        <w:rPr>
          <w:rFonts w:ascii="Georgia" w:hAnsi="Georgia"/>
          <w:sz w:val="24"/>
          <w:szCs w:val="24"/>
        </w:rPr>
        <w:t xml:space="preserve">and that consumer advocates had </w:t>
      </w:r>
      <w:r w:rsidR="002476E6">
        <w:rPr>
          <w:rFonts w:ascii="Georgia" w:hAnsi="Georgia"/>
          <w:sz w:val="24"/>
          <w:szCs w:val="24"/>
        </w:rPr>
        <w:t>no</w:t>
      </w:r>
      <w:r w:rsidR="00EA6E8A">
        <w:rPr>
          <w:rFonts w:ascii="Georgia" w:hAnsi="Georgia"/>
          <w:sz w:val="24"/>
          <w:szCs w:val="24"/>
        </w:rPr>
        <w:t xml:space="preserve"> representation in the at-large</w:t>
      </w:r>
      <w:r w:rsidR="00732595">
        <w:rPr>
          <w:rFonts w:ascii="Georgia" w:hAnsi="Georgia"/>
          <w:sz w:val="24"/>
          <w:szCs w:val="24"/>
        </w:rPr>
        <w:t xml:space="preserve"> categor</w:t>
      </w:r>
      <w:r w:rsidR="002374F8">
        <w:rPr>
          <w:rFonts w:ascii="Georgia" w:hAnsi="Georgia"/>
          <w:sz w:val="24"/>
          <w:szCs w:val="24"/>
        </w:rPr>
        <w:t>ies</w:t>
      </w:r>
      <w:r w:rsidR="00732595">
        <w:rPr>
          <w:rFonts w:ascii="Georgia" w:hAnsi="Georgia"/>
          <w:sz w:val="24"/>
          <w:szCs w:val="24"/>
        </w:rPr>
        <w:t xml:space="preserve">. </w:t>
      </w:r>
    </w:p>
    <w:p w14:paraId="43AEBCAC" w14:textId="3EA8B421" w:rsidR="008078C7" w:rsidRDefault="00B12EA1" w:rsidP="00932660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This is a common problem throughout the composition of NERC’s various stakeholder committees.</w:t>
      </w:r>
      <w:r w:rsidR="00932660">
        <w:rPr>
          <w:rFonts w:ascii="Georgia" w:hAnsi="Georgia"/>
          <w:sz w:val="24"/>
          <w:szCs w:val="24"/>
        </w:rPr>
        <w:t xml:space="preserve"> </w:t>
      </w:r>
      <w:r w:rsidR="002C2D10">
        <w:rPr>
          <w:rFonts w:ascii="Georgia" w:hAnsi="Georgia"/>
          <w:sz w:val="24"/>
          <w:szCs w:val="24"/>
        </w:rPr>
        <w:t xml:space="preserve">For example, </w:t>
      </w:r>
      <w:r w:rsidR="00971DA7">
        <w:rPr>
          <w:rFonts w:ascii="Georgia" w:hAnsi="Georgia"/>
          <w:sz w:val="24"/>
          <w:szCs w:val="24"/>
        </w:rPr>
        <w:t xml:space="preserve">the </w:t>
      </w:r>
      <w:r w:rsidR="00932660" w:rsidRPr="00932660">
        <w:rPr>
          <w:rFonts w:ascii="Georgia" w:hAnsi="Georgia"/>
          <w:sz w:val="24"/>
          <w:szCs w:val="24"/>
        </w:rPr>
        <w:t xml:space="preserve">2020 </w:t>
      </w:r>
      <w:r w:rsidR="00932660">
        <w:rPr>
          <w:rFonts w:ascii="Georgia" w:hAnsi="Georgia"/>
          <w:sz w:val="24"/>
          <w:szCs w:val="24"/>
        </w:rPr>
        <w:t>r</w:t>
      </w:r>
      <w:r w:rsidR="00932660" w:rsidRPr="00932660">
        <w:rPr>
          <w:rFonts w:ascii="Georgia" w:hAnsi="Georgia"/>
          <w:sz w:val="24"/>
          <w:szCs w:val="24"/>
        </w:rPr>
        <w:t xml:space="preserve">oster of </w:t>
      </w:r>
      <w:r w:rsidR="00971DA7">
        <w:rPr>
          <w:rFonts w:ascii="Georgia" w:hAnsi="Georgia"/>
          <w:sz w:val="24"/>
          <w:szCs w:val="24"/>
        </w:rPr>
        <w:t>NERC’s powerful</w:t>
      </w:r>
      <w:r w:rsidR="00932660" w:rsidRPr="00932660">
        <w:rPr>
          <w:rFonts w:ascii="Georgia" w:hAnsi="Georgia"/>
          <w:sz w:val="24"/>
          <w:szCs w:val="24"/>
        </w:rPr>
        <w:t xml:space="preserve"> Reliability Issues Steering Committee </w:t>
      </w:r>
      <w:r w:rsidR="00895E84">
        <w:rPr>
          <w:rFonts w:ascii="Georgia" w:hAnsi="Georgia"/>
          <w:sz w:val="24"/>
          <w:szCs w:val="24"/>
        </w:rPr>
        <w:t>feature</w:t>
      </w:r>
      <w:r w:rsidR="00502A7D">
        <w:rPr>
          <w:rFonts w:ascii="Georgia" w:hAnsi="Georgia"/>
          <w:sz w:val="24"/>
          <w:szCs w:val="24"/>
        </w:rPr>
        <w:t>s</w:t>
      </w:r>
      <w:r w:rsidR="00932660" w:rsidRPr="00932660">
        <w:rPr>
          <w:rFonts w:ascii="Georgia" w:hAnsi="Georgia"/>
          <w:sz w:val="24"/>
          <w:szCs w:val="24"/>
        </w:rPr>
        <w:t xml:space="preserve"> </w:t>
      </w:r>
      <w:r w:rsidR="00B73DEF">
        <w:rPr>
          <w:rFonts w:ascii="Georgia" w:hAnsi="Georgia"/>
          <w:sz w:val="24"/>
          <w:szCs w:val="24"/>
        </w:rPr>
        <w:t xml:space="preserve">not </w:t>
      </w:r>
      <w:r w:rsidR="00932660" w:rsidRPr="00932660">
        <w:rPr>
          <w:rFonts w:ascii="Georgia" w:hAnsi="Georgia"/>
          <w:sz w:val="24"/>
          <w:szCs w:val="24"/>
        </w:rPr>
        <w:t>a single consumer advocate.</w:t>
      </w:r>
      <w:r w:rsidR="001705A0">
        <w:rPr>
          <w:rFonts w:ascii="Georgia" w:hAnsi="Georgia"/>
          <w:sz w:val="24"/>
          <w:szCs w:val="24"/>
        </w:rPr>
        <w:t xml:space="preserve"> </w:t>
      </w:r>
    </w:p>
    <w:p w14:paraId="43A16AE4" w14:textId="1E55FB65" w:rsidR="0048403C" w:rsidRDefault="008078C7" w:rsidP="00873C5A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ab/>
        <w:t>In addition, we noted last year that i</w:t>
      </w:r>
      <w:r w:rsidRPr="00820DDF">
        <w:rPr>
          <w:rFonts w:ascii="Georgia" w:hAnsi="Georgia"/>
          <w:sz w:val="24"/>
          <w:szCs w:val="24"/>
        </w:rPr>
        <w:t xml:space="preserve">n order to qualify to run as a voting representative for the small end-use electricity sector, NERC simply requires that candidates pay a utility bill. This means that any individual—including employees of investor owned utilities or other entities represented in the other sectors—are free to run for a voting seat. </w:t>
      </w:r>
      <w:r w:rsidR="00B73DEF">
        <w:rPr>
          <w:rFonts w:ascii="Georgia" w:hAnsi="Georgia"/>
          <w:sz w:val="24"/>
          <w:szCs w:val="24"/>
        </w:rPr>
        <w:t xml:space="preserve">Indeed, it is quite common for NERC to permit utility executives to run as candidates for the end-use sector, forcing bona fide consumer advocates to compete for representation. </w:t>
      </w:r>
      <w:r w:rsidRPr="00820DDF">
        <w:rPr>
          <w:rFonts w:ascii="Georgia" w:hAnsi="Georgia"/>
          <w:sz w:val="24"/>
          <w:szCs w:val="24"/>
        </w:rPr>
        <w:t>The result is that the small end-use electricity sector is not guaranteed to have an individual representing a bona-fide household consumer advocate.</w:t>
      </w:r>
      <w:r w:rsidR="00B12EA1">
        <w:rPr>
          <w:rFonts w:ascii="Georgia" w:hAnsi="Georgia"/>
          <w:sz w:val="24"/>
          <w:szCs w:val="24"/>
        </w:rPr>
        <w:t xml:space="preserve"> </w:t>
      </w:r>
      <w:r w:rsidR="007B2028">
        <w:rPr>
          <w:rFonts w:ascii="Georgia" w:hAnsi="Georgia"/>
          <w:sz w:val="24"/>
          <w:szCs w:val="24"/>
        </w:rPr>
        <w:t xml:space="preserve">FERC should </w:t>
      </w:r>
      <w:r w:rsidR="00773085">
        <w:rPr>
          <w:rFonts w:ascii="Georgia" w:hAnsi="Georgia"/>
          <w:sz w:val="24"/>
          <w:szCs w:val="24"/>
        </w:rPr>
        <w:t xml:space="preserve">therefore </w:t>
      </w:r>
      <w:r w:rsidR="007B2028">
        <w:rPr>
          <w:rFonts w:ascii="Georgia" w:hAnsi="Georgia"/>
          <w:sz w:val="24"/>
          <w:szCs w:val="24"/>
        </w:rPr>
        <w:t xml:space="preserve">require NERC to amend its charter to </w:t>
      </w:r>
      <w:r w:rsidR="00657224">
        <w:rPr>
          <w:rFonts w:ascii="Georgia" w:hAnsi="Georgia"/>
          <w:sz w:val="24"/>
          <w:szCs w:val="24"/>
        </w:rPr>
        <w:t xml:space="preserve">reserve small end-use electricity sector seats for bona fide </w:t>
      </w:r>
      <w:r w:rsidR="005779F9">
        <w:rPr>
          <w:rFonts w:ascii="Georgia" w:hAnsi="Georgia"/>
          <w:sz w:val="24"/>
          <w:szCs w:val="24"/>
        </w:rPr>
        <w:t>consumer advocates.</w:t>
      </w:r>
    </w:p>
    <w:p w14:paraId="0087119A" w14:textId="4FDACDB5" w:rsidR="00473E5A" w:rsidRDefault="00691D10" w:rsidP="00873C5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14:paraId="5AD03229" w14:textId="77777777" w:rsidR="00DF5D9B" w:rsidRDefault="00DF5D9B" w:rsidP="00C879F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14:paraId="38DA547D" w14:textId="71295C8B" w:rsidR="00C879F0" w:rsidRDefault="00DF5D9B" w:rsidP="00DF5D9B">
      <w:pPr>
        <w:ind w:left="720"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Respectfully submitted,</w:t>
      </w:r>
    </w:p>
    <w:p w14:paraId="3F2933D9" w14:textId="2AB6D9D6" w:rsidR="00DF5D9B" w:rsidRDefault="00DF5D9B" w:rsidP="00C879F0">
      <w:pPr>
        <w:rPr>
          <w:rFonts w:ascii="Georgia" w:hAnsi="Georgia"/>
          <w:sz w:val="24"/>
          <w:szCs w:val="24"/>
        </w:rPr>
      </w:pPr>
    </w:p>
    <w:p w14:paraId="43CF9D97" w14:textId="048EE732" w:rsidR="00DF5D9B" w:rsidRDefault="00DF5D9B" w:rsidP="00C879F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Tyson Slocum, Energy Program Director</w:t>
      </w:r>
    </w:p>
    <w:p w14:paraId="79482F38" w14:textId="70DA623C" w:rsidR="00DF5D9B" w:rsidRDefault="00DF5D9B" w:rsidP="00C879F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Public Citizen, Inc.</w:t>
      </w:r>
    </w:p>
    <w:p w14:paraId="04F77BC1" w14:textId="6554301D" w:rsidR="00DF5D9B" w:rsidRDefault="00DF5D9B" w:rsidP="00C879F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215 Pennsylvania Ave SE</w:t>
      </w:r>
    </w:p>
    <w:p w14:paraId="69C6BD6C" w14:textId="730EF2C3" w:rsidR="00DF5D9B" w:rsidRDefault="00DF5D9B" w:rsidP="00C879F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Washington, DC  20003</w:t>
      </w:r>
    </w:p>
    <w:p w14:paraId="1F84291D" w14:textId="4EAA0AA0" w:rsidR="00DF5D9B" w:rsidRDefault="00DF5D9B" w:rsidP="00C879F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(202) 454-5191</w:t>
      </w:r>
    </w:p>
    <w:p w14:paraId="6C666D0C" w14:textId="694758DF" w:rsidR="00DF5D9B" w:rsidRPr="00C879F0" w:rsidRDefault="00DF5D9B" w:rsidP="00C879F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tslocum@citizen.org</w:t>
      </w:r>
    </w:p>
    <w:sectPr w:rsidR="00DF5D9B" w:rsidRPr="00C879F0" w:rsidSect="00CE50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4772E" w14:textId="77777777" w:rsidR="000F7A2E" w:rsidRDefault="000F7A2E" w:rsidP="002332B9">
      <w:r>
        <w:separator/>
      </w:r>
    </w:p>
  </w:endnote>
  <w:endnote w:type="continuationSeparator" w:id="0">
    <w:p w14:paraId="0355C409" w14:textId="77777777" w:rsidR="000F7A2E" w:rsidRDefault="000F7A2E" w:rsidP="0023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1EC75" w14:textId="77777777" w:rsidR="00CE50DF" w:rsidRDefault="00CE50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86457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212CF0B" w14:textId="398F5CAD" w:rsidR="00CE50DF" w:rsidRDefault="00CE50D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F4DE7A3" w14:textId="77777777" w:rsidR="00CE50DF" w:rsidRDefault="00CE50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C165D" w14:textId="77777777" w:rsidR="00CE50DF" w:rsidRDefault="00CE50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7355A" w14:textId="77777777" w:rsidR="000F7A2E" w:rsidRDefault="000F7A2E" w:rsidP="002332B9">
      <w:r>
        <w:separator/>
      </w:r>
    </w:p>
  </w:footnote>
  <w:footnote w:type="continuationSeparator" w:id="0">
    <w:p w14:paraId="63B459B0" w14:textId="77777777" w:rsidR="000F7A2E" w:rsidRDefault="000F7A2E" w:rsidP="002332B9">
      <w:r>
        <w:continuationSeparator/>
      </w:r>
    </w:p>
  </w:footnote>
  <w:footnote w:id="1">
    <w:p w14:paraId="6F9B3A41" w14:textId="77777777" w:rsidR="000E5AE1" w:rsidRDefault="000E5AE1" w:rsidP="000E5AE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Georgia" w:hAnsi="Georgia"/>
        </w:rPr>
        <w:t>NOPR, a</w:t>
      </w:r>
      <w:r w:rsidRPr="00473E5A">
        <w:rPr>
          <w:rFonts w:ascii="Georgia" w:hAnsi="Georgia"/>
        </w:rPr>
        <w:t>t page 1.</w:t>
      </w:r>
    </w:p>
  </w:footnote>
  <w:footnote w:id="2">
    <w:p w14:paraId="5B94CFF8" w14:textId="77777777" w:rsidR="002332B9" w:rsidRPr="00102BC8" w:rsidRDefault="002332B9" w:rsidP="002332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632E96">
          <w:rPr>
            <w:rStyle w:val="Hyperlink"/>
            <w:rFonts w:ascii="Georgia" w:hAnsi="Georgia"/>
            <w:color w:val="auto"/>
            <w:u w:val="none"/>
          </w:rPr>
          <w:t>www.citizen.org/about/annual-report/</w:t>
        </w:r>
      </w:hyperlink>
    </w:p>
  </w:footnote>
  <w:footnote w:id="3">
    <w:p w14:paraId="7B22F60B" w14:textId="5C6AF32C" w:rsidR="00C11686" w:rsidRDefault="00C1168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00138">
        <w:rPr>
          <w:rFonts w:ascii="Georgia" w:hAnsi="Georgia"/>
        </w:rPr>
        <w:t>16 USC § 824o(c)(2)(A).</w:t>
      </w:r>
    </w:p>
  </w:footnote>
  <w:footnote w:id="4">
    <w:p w14:paraId="7940C5D4" w14:textId="77777777" w:rsidR="00295C30" w:rsidRDefault="00295C30" w:rsidP="00295C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80501">
        <w:rPr>
          <w:rFonts w:ascii="Georgia" w:hAnsi="Georgia"/>
        </w:rPr>
        <w:t>FERC Docket No. AD21-9.</w:t>
      </w:r>
    </w:p>
  </w:footnote>
  <w:footnote w:id="5">
    <w:p w14:paraId="1BAC66E4" w14:textId="4A37098F" w:rsidR="00900138" w:rsidRDefault="0090013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Georgia" w:hAnsi="Georgia"/>
        </w:rPr>
        <w:t>NOPR, a</w:t>
      </w:r>
      <w:r w:rsidRPr="00900138">
        <w:rPr>
          <w:rFonts w:ascii="Georgia" w:hAnsi="Georgia"/>
        </w:rPr>
        <w:t>t paragraph 15.</w:t>
      </w:r>
    </w:p>
  </w:footnote>
  <w:footnote w:id="6">
    <w:p w14:paraId="58B8125D" w14:textId="23A7C3EC" w:rsidR="00DC6C09" w:rsidRDefault="00DC6C0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C6C09">
        <w:rPr>
          <w:rFonts w:ascii="Georgia" w:hAnsi="Georgia"/>
          <w:i/>
          <w:iCs/>
        </w:rPr>
        <w:t>Joint Comments By Consumer Advocates on NERC Cybersecurity</w:t>
      </w:r>
      <w:r w:rsidRPr="00DC6C09">
        <w:rPr>
          <w:rFonts w:ascii="Georgia" w:hAnsi="Georgia"/>
        </w:rPr>
        <w:t>, Docket No. RR19-7-001, June 19, 2020, www.citizen.org/article/joint-comments-by-consumer-advocates-on-nerc-cybersecurity-to-ferc/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FD9FC" w14:textId="77777777" w:rsidR="00CE50DF" w:rsidRDefault="00CE50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034D4" w14:textId="5EB951AD" w:rsidR="00831B19" w:rsidRPr="00831B19" w:rsidRDefault="00831B19" w:rsidP="00831B19">
    <w:pPr>
      <w:pStyle w:val="Header"/>
      <w:jc w:val="center"/>
      <w:rPr>
        <w:rFonts w:ascii="Georgia" w:hAnsi="Georgia"/>
        <w:i/>
        <w:iCs/>
      </w:rPr>
    </w:pPr>
    <w:r w:rsidRPr="00831B19">
      <w:rPr>
        <w:rFonts w:ascii="Georgia" w:hAnsi="Georgia"/>
        <w:i/>
        <w:iCs/>
      </w:rPr>
      <w:t>Comments of Public Citizen • Docket No. RM21-2 • March 1, 2021</w:t>
    </w:r>
  </w:p>
  <w:p w14:paraId="40D83003" w14:textId="77777777" w:rsidR="00CE50DF" w:rsidRDefault="00CE50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79365" w14:textId="77777777" w:rsidR="00CE50DF" w:rsidRDefault="00CE50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5298B"/>
    <w:multiLevelType w:val="hybridMultilevel"/>
    <w:tmpl w:val="0C44E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9F0"/>
    <w:rsid w:val="00000BFF"/>
    <w:rsid w:val="00003196"/>
    <w:rsid w:val="00007827"/>
    <w:rsid w:val="00045F62"/>
    <w:rsid w:val="0006205C"/>
    <w:rsid w:val="00080501"/>
    <w:rsid w:val="000813AF"/>
    <w:rsid w:val="00085457"/>
    <w:rsid w:val="00087655"/>
    <w:rsid w:val="000B2B1C"/>
    <w:rsid w:val="000D5D00"/>
    <w:rsid w:val="000E15EC"/>
    <w:rsid w:val="000E358B"/>
    <w:rsid w:val="000E5AE1"/>
    <w:rsid w:val="000E7225"/>
    <w:rsid w:val="000F6D3B"/>
    <w:rsid w:val="000F7A2E"/>
    <w:rsid w:val="00101D25"/>
    <w:rsid w:val="00113ED4"/>
    <w:rsid w:val="00115A92"/>
    <w:rsid w:val="001705A0"/>
    <w:rsid w:val="001913BF"/>
    <w:rsid w:val="001A2EC2"/>
    <w:rsid w:val="001B62CD"/>
    <w:rsid w:val="001B7218"/>
    <w:rsid w:val="001E64E9"/>
    <w:rsid w:val="001E68F3"/>
    <w:rsid w:val="001E7689"/>
    <w:rsid w:val="001E7CFD"/>
    <w:rsid w:val="001F3B86"/>
    <w:rsid w:val="00203E38"/>
    <w:rsid w:val="0020490B"/>
    <w:rsid w:val="002332B9"/>
    <w:rsid w:val="002374F8"/>
    <w:rsid w:val="00237D1C"/>
    <w:rsid w:val="00240283"/>
    <w:rsid w:val="00243E13"/>
    <w:rsid w:val="002476E6"/>
    <w:rsid w:val="0024775E"/>
    <w:rsid w:val="00262497"/>
    <w:rsid w:val="00295C30"/>
    <w:rsid w:val="002A79EE"/>
    <w:rsid w:val="002B11DC"/>
    <w:rsid w:val="002B4555"/>
    <w:rsid w:val="002C2D10"/>
    <w:rsid w:val="00301FF1"/>
    <w:rsid w:val="00315887"/>
    <w:rsid w:val="003256CD"/>
    <w:rsid w:val="00341B41"/>
    <w:rsid w:val="003441C1"/>
    <w:rsid w:val="00347842"/>
    <w:rsid w:val="00357276"/>
    <w:rsid w:val="00364683"/>
    <w:rsid w:val="00380A2A"/>
    <w:rsid w:val="00382F37"/>
    <w:rsid w:val="003932EF"/>
    <w:rsid w:val="003A6864"/>
    <w:rsid w:val="003C3DFD"/>
    <w:rsid w:val="003E3020"/>
    <w:rsid w:val="003E7686"/>
    <w:rsid w:val="00421B50"/>
    <w:rsid w:val="004229EF"/>
    <w:rsid w:val="00427521"/>
    <w:rsid w:val="00444553"/>
    <w:rsid w:val="00457048"/>
    <w:rsid w:val="00473E5A"/>
    <w:rsid w:val="00480FA2"/>
    <w:rsid w:val="0048403C"/>
    <w:rsid w:val="004936F2"/>
    <w:rsid w:val="004A0350"/>
    <w:rsid w:val="004A08BA"/>
    <w:rsid w:val="004B0158"/>
    <w:rsid w:val="00502A7D"/>
    <w:rsid w:val="00536FF1"/>
    <w:rsid w:val="00537F2A"/>
    <w:rsid w:val="00550DF0"/>
    <w:rsid w:val="005779F9"/>
    <w:rsid w:val="005813CF"/>
    <w:rsid w:val="005B7D26"/>
    <w:rsid w:val="005D194B"/>
    <w:rsid w:val="005E23D1"/>
    <w:rsid w:val="005E2557"/>
    <w:rsid w:val="006528B6"/>
    <w:rsid w:val="00657224"/>
    <w:rsid w:val="00657F31"/>
    <w:rsid w:val="00662EDA"/>
    <w:rsid w:val="00691D10"/>
    <w:rsid w:val="006A110C"/>
    <w:rsid w:val="006A599F"/>
    <w:rsid w:val="006B3C56"/>
    <w:rsid w:val="006E4BE1"/>
    <w:rsid w:val="00732595"/>
    <w:rsid w:val="0073774C"/>
    <w:rsid w:val="0074278A"/>
    <w:rsid w:val="007470E7"/>
    <w:rsid w:val="0075559D"/>
    <w:rsid w:val="00761FE1"/>
    <w:rsid w:val="00764DB1"/>
    <w:rsid w:val="00764E61"/>
    <w:rsid w:val="00773085"/>
    <w:rsid w:val="00780792"/>
    <w:rsid w:val="00792FF2"/>
    <w:rsid w:val="007A1FC9"/>
    <w:rsid w:val="007A43F1"/>
    <w:rsid w:val="007A66BD"/>
    <w:rsid w:val="007A72AA"/>
    <w:rsid w:val="007B2028"/>
    <w:rsid w:val="007F3BEA"/>
    <w:rsid w:val="00807538"/>
    <w:rsid w:val="008078C7"/>
    <w:rsid w:val="00831B19"/>
    <w:rsid w:val="008609B3"/>
    <w:rsid w:val="00871FB0"/>
    <w:rsid w:val="00873C5A"/>
    <w:rsid w:val="00873CA0"/>
    <w:rsid w:val="00895ABD"/>
    <w:rsid w:val="00895E84"/>
    <w:rsid w:val="008A430A"/>
    <w:rsid w:val="008B19E0"/>
    <w:rsid w:val="008C30C1"/>
    <w:rsid w:val="008C59F5"/>
    <w:rsid w:val="008D45F5"/>
    <w:rsid w:val="008D5446"/>
    <w:rsid w:val="008D67B5"/>
    <w:rsid w:val="008E1E86"/>
    <w:rsid w:val="00900138"/>
    <w:rsid w:val="00903B32"/>
    <w:rsid w:val="009051E8"/>
    <w:rsid w:val="00912A03"/>
    <w:rsid w:val="00932660"/>
    <w:rsid w:val="00965A00"/>
    <w:rsid w:val="00971DA7"/>
    <w:rsid w:val="00983DC2"/>
    <w:rsid w:val="00984527"/>
    <w:rsid w:val="009917B3"/>
    <w:rsid w:val="009A1A0D"/>
    <w:rsid w:val="009F569D"/>
    <w:rsid w:val="00A03816"/>
    <w:rsid w:val="00A23030"/>
    <w:rsid w:val="00A4785D"/>
    <w:rsid w:val="00A56DB8"/>
    <w:rsid w:val="00A76F93"/>
    <w:rsid w:val="00AB0045"/>
    <w:rsid w:val="00AB3E55"/>
    <w:rsid w:val="00AC1FD0"/>
    <w:rsid w:val="00AC2979"/>
    <w:rsid w:val="00AF02A3"/>
    <w:rsid w:val="00B12E26"/>
    <w:rsid w:val="00B12EA1"/>
    <w:rsid w:val="00B131D5"/>
    <w:rsid w:val="00B36140"/>
    <w:rsid w:val="00B46983"/>
    <w:rsid w:val="00B73DEF"/>
    <w:rsid w:val="00B77F51"/>
    <w:rsid w:val="00B82664"/>
    <w:rsid w:val="00BD56EC"/>
    <w:rsid w:val="00BE76CF"/>
    <w:rsid w:val="00BF3DA6"/>
    <w:rsid w:val="00BF5388"/>
    <w:rsid w:val="00BF5B16"/>
    <w:rsid w:val="00C05E10"/>
    <w:rsid w:val="00C105EF"/>
    <w:rsid w:val="00C11686"/>
    <w:rsid w:val="00C51AA9"/>
    <w:rsid w:val="00C74FE9"/>
    <w:rsid w:val="00C8190F"/>
    <w:rsid w:val="00C879F0"/>
    <w:rsid w:val="00CB633F"/>
    <w:rsid w:val="00CC5EB2"/>
    <w:rsid w:val="00CE50DF"/>
    <w:rsid w:val="00CE5C5E"/>
    <w:rsid w:val="00CF0745"/>
    <w:rsid w:val="00CF2409"/>
    <w:rsid w:val="00D003CE"/>
    <w:rsid w:val="00D02D19"/>
    <w:rsid w:val="00D10E7F"/>
    <w:rsid w:val="00D12731"/>
    <w:rsid w:val="00D228B1"/>
    <w:rsid w:val="00D23742"/>
    <w:rsid w:val="00D23FCE"/>
    <w:rsid w:val="00D476FC"/>
    <w:rsid w:val="00D52457"/>
    <w:rsid w:val="00D90E08"/>
    <w:rsid w:val="00D91D32"/>
    <w:rsid w:val="00D95FB5"/>
    <w:rsid w:val="00DB086C"/>
    <w:rsid w:val="00DB6173"/>
    <w:rsid w:val="00DC1461"/>
    <w:rsid w:val="00DC6C09"/>
    <w:rsid w:val="00DD1E3C"/>
    <w:rsid w:val="00DF5D9B"/>
    <w:rsid w:val="00E03E60"/>
    <w:rsid w:val="00E2348E"/>
    <w:rsid w:val="00E421E9"/>
    <w:rsid w:val="00E628A8"/>
    <w:rsid w:val="00E76066"/>
    <w:rsid w:val="00E828B2"/>
    <w:rsid w:val="00E91FA8"/>
    <w:rsid w:val="00E9665D"/>
    <w:rsid w:val="00EA3500"/>
    <w:rsid w:val="00EA6E8A"/>
    <w:rsid w:val="00EB40ED"/>
    <w:rsid w:val="00EB5E3C"/>
    <w:rsid w:val="00EB79B7"/>
    <w:rsid w:val="00EC0390"/>
    <w:rsid w:val="00ED1090"/>
    <w:rsid w:val="00ED754B"/>
    <w:rsid w:val="00EE3D27"/>
    <w:rsid w:val="00EE7FF4"/>
    <w:rsid w:val="00EF19DF"/>
    <w:rsid w:val="00EF363E"/>
    <w:rsid w:val="00F17C5F"/>
    <w:rsid w:val="00F451F4"/>
    <w:rsid w:val="00F45721"/>
    <w:rsid w:val="00F54359"/>
    <w:rsid w:val="00F623DA"/>
    <w:rsid w:val="00F66CDD"/>
    <w:rsid w:val="00F80DE1"/>
    <w:rsid w:val="00F92D9A"/>
    <w:rsid w:val="00F937CA"/>
    <w:rsid w:val="00FA6D5A"/>
    <w:rsid w:val="00FE2E77"/>
    <w:rsid w:val="00F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F1898"/>
  <w15:chartTrackingRefBased/>
  <w15:docId w15:val="{6C135B87-6930-4134-A60A-1BF7722F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rsid w:val="001E68F3"/>
    <w:pPr>
      <w:keepLines/>
      <w:widowControl w:val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1E68F3"/>
  </w:style>
  <w:style w:type="character" w:styleId="FootnoteReference">
    <w:name w:val="footnote reference"/>
    <w:basedOn w:val="DefaultParagraphFont"/>
    <w:uiPriority w:val="99"/>
    <w:semiHidden/>
    <w:unhideWhenUsed/>
    <w:rsid w:val="002332B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332B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5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0DF"/>
  </w:style>
  <w:style w:type="paragraph" w:styleId="Footer">
    <w:name w:val="footer"/>
    <w:basedOn w:val="Normal"/>
    <w:link w:val="FooterChar"/>
    <w:uiPriority w:val="99"/>
    <w:unhideWhenUsed/>
    <w:rsid w:val="00CE5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0DF"/>
  </w:style>
  <w:style w:type="paragraph" w:styleId="ListParagraph">
    <w:name w:val="List Paragraph"/>
    <w:basedOn w:val="Normal"/>
    <w:uiPriority w:val="34"/>
    <w:qFormat/>
    <w:rsid w:val="007A7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tizen.org/about/annual-re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A6A4F-D532-41DC-987E-77C5B3D56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4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 Slocum</dc:creator>
  <cp:keywords/>
  <dc:description/>
  <cp:lastModifiedBy>Tyson Slocum</cp:lastModifiedBy>
  <cp:revision>211</cp:revision>
  <dcterms:created xsi:type="dcterms:W3CDTF">2021-02-27T12:28:00Z</dcterms:created>
  <dcterms:modified xsi:type="dcterms:W3CDTF">2021-03-01T12:29:00Z</dcterms:modified>
</cp:coreProperties>
</file>