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DBED2" w14:textId="50A7A8B3" w:rsidR="00F4458A" w:rsidRPr="00B033EA" w:rsidRDefault="00F4458A" w:rsidP="00311E89">
      <w:pPr>
        <w:jc w:val="center"/>
        <w:rPr>
          <w:rFonts w:ascii="Georgia" w:hAnsi="Georgia"/>
          <w:sz w:val="24"/>
          <w:szCs w:val="24"/>
        </w:rPr>
      </w:pPr>
      <w:r w:rsidRPr="00B033EA">
        <w:rPr>
          <w:rFonts w:ascii="Georgia" w:hAnsi="Georgia"/>
          <w:sz w:val="24"/>
          <w:szCs w:val="24"/>
        </w:rPr>
        <w:t>UNITED STATES OF AMERICA</w:t>
      </w:r>
    </w:p>
    <w:p w14:paraId="4AFFAAD3" w14:textId="7691584A" w:rsidR="00F4458A" w:rsidRPr="00B033EA" w:rsidRDefault="00F4458A" w:rsidP="00311E89">
      <w:pPr>
        <w:jc w:val="center"/>
        <w:rPr>
          <w:rFonts w:ascii="Georgia" w:hAnsi="Georgia"/>
          <w:sz w:val="24"/>
          <w:szCs w:val="24"/>
        </w:rPr>
      </w:pPr>
      <w:r w:rsidRPr="00B033EA">
        <w:rPr>
          <w:rFonts w:ascii="Georgia" w:hAnsi="Georgia"/>
          <w:sz w:val="24"/>
          <w:szCs w:val="24"/>
        </w:rPr>
        <w:t>BEFORE THE</w:t>
      </w:r>
    </w:p>
    <w:p w14:paraId="40F50233" w14:textId="2BB512F8" w:rsidR="00F4458A" w:rsidRPr="00B033EA" w:rsidRDefault="00F4458A" w:rsidP="00311E89">
      <w:pPr>
        <w:jc w:val="center"/>
        <w:rPr>
          <w:rFonts w:ascii="Georgia" w:hAnsi="Georgia"/>
          <w:sz w:val="24"/>
          <w:szCs w:val="24"/>
        </w:rPr>
      </w:pPr>
      <w:r w:rsidRPr="00B033EA">
        <w:rPr>
          <w:rFonts w:ascii="Georgia" w:hAnsi="Georgia"/>
          <w:sz w:val="24"/>
          <w:szCs w:val="24"/>
        </w:rPr>
        <w:t>FEDERAL ENERGY REGULATORY COMMISSION</w:t>
      </w:r>
    </w:p>
    <w:p w14:paraId="5CA59114" w14:textId="56BB9610" w:rsidR="00F4458A" w:rsidRPr="00B033EA" w:rsidRDefault="00F4458A" w:rsidP="00A21E13">
      <w:pPr>
        <w:rPr>
          <w:rFonts w:ascii="Georgia" w:hAnsi="Georgia"/>
          <w:sz w:val="24"/>
          <w:szCs w:val="24"/>
        </w:rPr>
      </w:pPr>
    </w:p>
    <w:p w14:paraId="7578CFEE" w14:textId="66E721D7" w:rsidR="00F4458A" w:rsidRPr="00B033EA" w:rsidRDefault="00F4458A" w:rsidP="00A21E13">
      <w:pPr>
        <w:rPr>
          <w:rFonts w:ascii="Georgia" w:hAnsi="Georgia"/>
          <w:sz w:val="24"/>
          <w:szCs w:val="24"/>
        </w:rPr>
      </w:pPr>
      <w:r w:rsidRPr="00B033EA">
        <w:rPr>
          <w:rFonts w:ascii="Georgia" w:hAnsi="Georgia"/>
          <w:sz w:val="24"/>
          <w:szCs w:val="24"/>
        </w:rPr>
        <w:t>Longview Power LLC</w:t>
      </w:r>
      <w:r w:rsidRPr="00B033EA">
        <w:rPr>
          <w:rFonts w:ascii="Georgia" w:hAnsi="Georgia"/>
          <w:sz w:val="24"/>
          <w:szCs w:val="24"/>
        </w:rPr>
        <w:tab/>
      </w:r>
      <w:r w:rsidRPr="00B033EA">
        <w:rPr>
          <w:rFonts w:ascii="Georgia" w:hAnsi="Georgia"/>
          <w:sz w:val="24"/>
          <w:szCs w:val="24"/>
        </w:rPr>
        <w:tab/>
      </w:r>
      <w:r w:rsidRPr="00B033EA">
        <w:rPr>
          <w:rFonts w:ascii="Georgia" w:hAnsi="Georgia"/>
          <w:sz w:val="24"/>
          <w:szCs w:val="24"/>
        </w:rPr>
        <w:tab/>
      </w:r>
      <w:r w:rsidRPr="00B033EA">
        <w:rPr>
          <w:rFonts w:ascii="Georgia" w:hAnsi="Georgia"/>
          <w:sz w:val="24"/>
          <w:szCs w:val="24"/>
        </w:rPr>
        <w:tab/>
      </w:r>
      <w:r w:rsidR="00311E89">
        <w:rPr>
          <w:rFonts w:ascii="Georgia" w:hAnsi="Georgia"/>
          <w:sz w:val="24"/>
          <w:szCs w:val="24"/>
        </w:rPr>
        <w:tab/>
      </w:r>
      <w:r w:rsidR="00311E89">
        <w:rPr>
          <w:rFonts w:ascii="Georgia" w:hAnsi="Georgia"/>
          <w:sz w:val="24"/>
          <w:szCs w:val="24"/>
        </w:rPr>
        <w:tab/>
      </w:r>
      <w:r w:rsidRPr="00B033EA">
        <w:rPr>
          <w:rFonts w:ascii="Georgia" w:hAnsi="Georgia"/>
          <w:sz w:val="24"/>
          <w:szCs w:val="24"/>
        </w:rPr>
        <w:t xml:space="preserve">Docket No. </w:t>
      </w:r>
      <w:r w:rsidR="00B033EA" w:rsidRPr="00B033EA">
        <w:rPr>
          <w:rFonts w:ascii="Georgia" w:hAnsi="Georgia"/>
          <w:sz w:val="24"/>
          <w:szCs w:val="24"/>
        </w:rPr>
        <w:t>EC20-70</w:t>
      </w:r>
    </w:p>
    <w:p w14:paraId="0EDBE910" w14:textId="2588D212" w:rsidR="00B033EA" w:rsidRPr="00B033EA" w:rsidRDefault="00B033EA" w:rsidP="00A21E13">
      <w:pPr>
        <w:rPr>
          <w:rFonts w:ascii="Georgia" w:hAnsi="Georgia"/>
          <w:sz w:val="24"/>
          <w:szCs w:val="24"/>
        </w:rPr>
      </w:pPr>
    </w:p>
    <w:p w14:paraId="0CEFCC6B" w14:textId="03ACAF60" w:rsidR="00B033EA" w:rsidRPr="00B033EA" w:rsidRDefault="00B033EA" w:rsidP="00A21E13">
      <w:pPr>
        <w:rPr>
          <w:rFonts w:ascii="Georgia" w:hAnsi="Georgia"/>
          <w:sz w:val="24"/>
          <w:szCs w:val="24"/>
        </w:rPr>
      </w:pPr>
    </w:p>
    <w:p w14:paraId="12D0ACBA" w14:textId="072F13DC" w:rsidR="00B033EA" w:rsidRPr="001D4B89" w:rsidRDefault="001D4B89" w:rsidP="001D4B89">
      <w:pPr>
        <w:jc w:val="center"/>
        <w:rPr>
          <w:rFonts w:ascii="Georgia" w:hAnsi="Georgia"/>
          <w:b/>
          <w:bCs/>
          <w:sz w:val="24"/>
          <w:szCs w:val="24"/>
        </w:rPr>
      </w:pPr>
      <w:r>
        <w:rPr>
          <w:rFonts w:ascii="Georgia" w:hAnsi="Georgia"/>
          <w:b/>
          <w:bCs/>
          <w:sz w:val="24"/>
          <w:szCs w:val="24"/>
        </w:rPr>
        <w:t>Protest</w:t>
      </w:r>
      <w:r w:rsidR="00B033EA" w:rsidRPr="001D4B89">
        <w:rPr>
          <w:rFonts w:ascii="Georgia" w:hAnsi="Georgia"/>
          <w:b/>
          <w:bCs/>
          <w:sz w:val="24"/>
          <w:szCs w:val="24"/>
        </w:rPr>
        <w:t xml:space="preserve"> of Public Citizen, Inc.</w:t>
      </w:r>
    </w:p>
    <w:p w14:paraId="5F2A4911" w14:textId="7441EEC3" w:rsidR="00B033EA" w:rsidRPr="00B033EA" w:rsidRDefault="00B033EA" w:rsidP="00A21E13">
      <w:pPr>
        <w:rPr>
          <w:rFonts w:ascii="Georgia" w:hAnsi="Georgia"/>
          <w:sz w:val="24"/>
          <w:szCs w:val="24"/>
        </w:rPr>
      </w:pPr>
    </w:p>
    <w:p w14:paraId="2071920C" w14:textId="050D3298" w:rsidR="00B033EA" w:rsidRDefault="00B033EA" w:rsidP="00576A3D">
      <w:pPr>
        <w:spacing w:line="360" w:lineRule="auto"/>
        <w:rPr>
          <w:rFonts w:ascii="Georgia" w:hAnsi="Georgia"/>
          <w:sz w:val="24"/>
          <w:szCs w:val="24"/>
        </w:rPr>
      </w:pPr>
      <w:r w:rsidRPr="00B033EA">
        <w:rPr>
          <w:rFonts w:ascii="Georgia" w:hAnsi="Georgia"/>
          <w:sz w:val="24"/>
          <w:szCs w:val="24"/>
        </w:rPr>
        <w:tab/>
      </w:r>
      <w:r>
        <w:rPr>
          <w:rFonts w:ascii="Georgia" w:hAnsi="Georgia"/>
          <w:sz w:val="24"/>
          <w:szCs w:val="24"/>
        </w:rPr>
        <w:t xml:space="preserve">The </w:t>
      </w:r>
      <w:r w:rsidR="00773E31">
        <w:rPr>
          <w:rFonts w:ascii="Georgia" w:hAnsi="Georgia"/>
          <w:sz w:val="24"/>
          <w:szCs w:val="24"/>
        </w:rPr>
        <w:t>Section 203 Application of Longview Power LLC</w:t>
      </w:r>
      <w:r w:rsidR="007F50C5">
        <w:rPr>
          <w:rFonts w:ascii="Georgia" w:hAnsi="Georgia"/>
          <w:sz w:val="24"/>
          <w:szCs w:val="24"/>
        </w:rPr>
        <w:t xml:space="preserve"> is deficient because it fails to identify </w:t>
      </w:r>
      <w:r w:rsidR="00FC31CC">
        <w:rPr>
          <w:rFonts w:ascii="Georgia" w:hAnsi="Georgia"/>
          <w:sz w:val="24"/>
          <w:szCs w:val="24"/>
        </w:rPr>
        <w:t>owners</w:t>
      </w:r>
      <w:r w:rsidR="007F50C5">
        <w:rPr>
          <w:rFonts w:ascii="Georgia" w:hAnsi="Georgia"/>
          <w:sz w:val="24"/>
          <w:szCs w:val="24"/>
        </w:rPr>
        <w:t xml:space="preserve"> </w:t>
      </w:r>
      <w:r w:rsidR="00FC31CC">
        <w:rPr>
          <w:rFonts w:ascii="Georgia" w:hAnsi="Georgia"/>
          <w:sz w:val="24"/>
          <w:szCs w:val="24"/>
        </w:rPr>
        <w:t>controlling</w:t>
      </w:r>
      <w:r w:rsidR="007F50C5">
        <w:rPr>
          <w:rFonts w:ascii="Georgia" w:hAnsi="Georgia"/>
          <w:sz w:val="24"/>
          <w:szCs w:val="24"/>
        </w:rPr>
        <w:t xml:space="preserve"> 40% of </w:t>
      </w:r>
      <w:r w:rsidR="008B7645">
        <w:rPr>
          <w:rFonts w:ascii="Georgia" w:hAnsi="Georgia"/>
          <w:sz w:val="24"/>
          <w:szCs w:val="24"/>
        </w:rPr>
        <w:t>its equity.</w:t>
      </w:r>
    </w:p>
    <w:p w14:paraId="7EE03AB8" w14:textId="7B39A4BE" w:rsidR="008B7645" w:rsidRDefault="008B7645" w:rsidP="00A21E13">
      <w:pPr>
        <w:rPr>
          <w:rFonts w:ascii="Georgia" w:hAnsi="Georgia"/>
          <w:sz w:val="24"/>
          <w:szCs w:val="24"/>
        </w:rPr>
      </w:pPr>
    </w:p>
    <w:p w14:paraId="6D720F9F" w14:textId="5F5A2B9F" w:rsidR="008B7645" w:rsidRPr="00FC31CC" w:rsidRDefault="008B7645" w:rsidP="00A21E13">
      <w:pPr>
        <w:rPr>
          <w:rFonts w:ascii="Georgia" w:hAnsi="Georgia"/>
          <w:b/>
          <w:bCs/>
          <w:sz w:val="24"/>
          <w:szCs w:val="24"/>
        </w:rPr>
      </w:pPr>
      <w:r w:rsidRPr="00FC31CC">
        <w:rPr>
          <w:rFonts w:ascii="Georgia" w:hAnsi="Georgia"/>
          <w:b/>
          <w:bCs/>
          <w:sz w:val="24"/>
          <w:szCs w:val="24"/>
        </w:rPr>
        <w:t>About Public Citizen, Inc.</w:t>
      </w:r>
    </w:p>
    <w:p w14:paraId="6819C9CB" w14:textId="77777777" w:rsidR="00FC31CC" w:rsidRDefault="00EF6984" w:rsidP="00A21E13">
      <w:pPr>
        <w:rPr>
          <w:rFonts w:ascii="Georgia" w:hAnsi="Georgia"/>
          <w:sz w:val="24"/>
          <w:szCs w:val="24"/>
        </w:rPr>
      </w:pPr>
      <w:r>
        <w:rPr>
          <w:rFonts w:ascii="Georgia" w:hAnsi="Georgia"/>
          <w:sz w:val="24"/>
          <w:szCs w:val="24"/>
        </w:rPr>
        <w:tab/>
      </w:r>
    </w:p>
    <w:p w14:paraId="21486F12" w14:textId="30496F86" w:rsidR="008B7645" w:rsidRDefault="008A4BEB" w:rsidP="00576A3D">
      <w:pPr>
        <w:spacing w:line="360" w:lineRule="auto"/>
        <w:ind w:firstLine="720"/>
        <w:rPr>
          <w:rFonts w:ascii="Georgia" w:hAnsi="Georgia"/>
          <w:sz w:val="24"/>
          <w:szCs w:val="24"/>
        </w:rPr>
      </w:pPr>
      <w:r>
        <w:rPr>
          <w:rFonts w:ascii="Georgia" w:hAnsi="Georgia"/>
          <w:sz w:val="24"/>
          <w:szCs w:val="24"/>
        </w:rPr>
        <w:t>Established in 1971, P</w:t>
      </w:r>
      <w:r w:rsidRPr="00820DDF">
        <w:rPr>
          <w:rFonts w:ascii="Georgia" w:hAnsi="Georgia"/>
          <w:sz w:val="24"/>
          <w:szCs w:val="24"/>
        </w:rPr>
        <w:t xml:space="preserve">ublic Citizen is a national, not-for-profit, non-partisan, research and advocacy organization representing the interests of household consumers. We are active before FERC </w:t>
      </w:r>
      <w:r w:rsidR="00703978">
        <w:rPr>
          <w:rFonts w:ascii="Georgia" w:hAnsi="Georgia"/>
          <w:sz w:val="24"/>
          <w:szCs w:val="24"/>
        </w:rPr>
        <w:t>supporting</w:t>
      </w:r>
      <w:r w:rsidRPr="00820DDF">
        <w:rPr>
          <w:rFonts w:ascii="Georgia" w:hAnsi="Georgia"/>
          <w:sz w:val="24"/>
          <w:szCs w:val="24"/>
        </w:rPr>
        <w:t xml:space="preserve"> just and reasonable rates, and </w:t>
      </w:r>
      <w:r w:rsidR="00703978">
        <w:rPr>
          <w:rFonts w:ascii="Georgia" w:hAnsi="Georgia"/>
          <w:sz w:val="24"/>
          <w:szCs w:val="24"/>
        </w:rPr>
        <w:t>promoting</w:t>
      </w:r>
      <w:r w:rsidRPr="00820DDF">
        <w:rPr>
          <w:rFonts w:ascii="Georgia" w:hAnsi="Georgia"/>
          <w:sz w:val="24"/>
          <w:szCs w:val="24"/>
        </w:rPr>
        <w:t xml:space="preserve"> utilities to be accountable to the public interest. Our financial details are located at our web site.</w:t>
      </w:r>
      <w:r w:rsidRPr="00820DDF">
        <w:rPr>
          <w:rStyle w:val="FootnoteReference"/>
          <w:rFonts w:ascii="Georgia" w:hAnsi="Georgia"/>
          <w:sz w:val="24"/>
          <w:szCs w:val="24"/>
        </w:rPr>
        <w:footnoteReference w:id="1"/>
      </w:r>
      <w:r w:rsidRPr="00820DDF">
        <w:rPr>
          <w:rFonts w:ascii="Georgia" w:hAnsi="Georgia"/>
          <w:sz w:val="24"/>
          <w:szCs w:val="24"/>
        </w:rPr>
        <w:t xml:space="preserve"> Public Citizen intervened in this docket on</w:t>
      </w:r>
      <w:r w:rsidR="00AF1D81">
        <w:rPr>
          <w:rFonts w:ascii="Georgia" w:hAnsi="Georgia"/>
          <w:sz w:val="24"/>
          <w:szCs w:val="24"/>
        </w:rPr>
        <w:t xml:space="preserve"> June 4, 2020.</w:t>
      </w:r>
    </w:p>
    <w:p w14:paraId="2D9FEC68" w14:textId="1425CA05" w:rsidR="00AF1D81" w:rsidRDefault="00AF1D81" w:rsidP="00AF1D81">
      <w:pPr>
        <w:rPr>
          <w:rFonts w:ascii="Georgia" w:hAnsi="Georgia"/>
          <w:sz w:val="24"/>
          <w:szCs w:val="24"/>
        </w:rPr>
      </w:pPr>
    </w:p>
    <w:p w14:paraId="08C3DF90" w14:textId="5D643E33" w:rsidR="00AF1D81" w:rsidRDefault="00AF1D81" w:rsidP="00AF1D81">
      <w:pPr>
        <w:rPr>
          <w:rFonts w:ascii="Georgia" w:hAnsi="Georgia"/>
          <w:sz w:val="24"/>
          <w:szCs w:val="24"/>
        </w:rPr>
      </w:pPr>
    </w:p>
    <w:p w14:paraId="69B30EC7" w14:textId="724EB6BC" w:rsidR="00AF1D81" w:rsidRPr="00C160EC" w:rsidRDefault="00AF1D81" w:rsidP="00AF1D81">
      <w:pPr>
        <w:rPr>
          <w:rFonts w:ascii="Georgia" w:hAnsi="Georgia"/>
          <w:b/>
          <w:bCs/>
          <w:sz w:val="24"/>
          <w:szCs w:val="24"/>
        </w:rPr>
      </w:pPr>
      <w:r w:rsidRPr="00C160EC">
        <w:rPr>
          <w:rFonts w:ascii="Georgia" w:hAnsi="Georgia"/>
          <w:b/>
          <w:bCs/>
          <w:sz w:val="24"/>
          <w:szCs w:val="24"/>
        </w:rPr>
        <w:t>Public Citizen Protest</w:t>
      </w:r>
    </w:p>
    <w:p w14:paraId="50C53897" w14:textId="3918E115" w:rsidR="00AF1D81" w:rsidRDefault="00AF1D81" w:rsidP="00AF1D81">
      <w:pPr>
        <w:rPr>
          <w:rFonts w:ascii="Georgia" w:hAnsi="Georgia"/>
          <w:sz w:val="24"/>
          <w:szCs w:val="24"/>
        </w:rPr>
      </w:pPr>
    </w:p>
    <w:p w14:paraId="0A7FAF82" w14:textId="2B7BCB7B" w:rsidR="00AF1D81" w:rsidRDefault="00AF1D81" w:rsidP="00576A3D">
      <w:pPr>
        <w:spacing w:line="360" w:lineRule="auto"/>
        <w:rPr>
          <w:rFonts w:ascii="Georgia" w:hAnsi="Georgia"/>
          <w:sz w:val="24"/>
          <w:szCs w:val="24"/>
        </w:rPr>
      </w:pPr>
      <w:r>
        <w:rPr>
          <w:rFonts w:ascii="Georgia" w:hAnsi="Georgia"/>
          <w:sz w:val="24"/>
          <w:szCs w:val="24"/>
        </w:rPr>
        <w:tab/>
      </w:r>
      <w:r w:rsidR="00BF10BD">
        <w:rPr>
          <w:rFonts w:ascii="Georgia" w:hAnsi="Georgia"/>
          <w:sz w:val="24"/>
          <w:szCs w:val="24"/>
        </w:rPr>
        <w:t xml:space="preserve">The June 3 </w:t>
      </w:r>
      <w:r w:rsidR="00B37020">
        <w:rPr>
          <w:rFonts w:ascii="Georgia" w:hAnsi="Georgia"/>
          <w:sz w:val="24"/>
          <w:szCs w:val="24"/>
        </w:rPr>
        <w:t xml:space="preserve">Application under Section 203 of the Federal Power Act </w:t>
      </w:r>
      <w:r w:rsidR="00672422">
        <w:rPr>
          <w:rFonts w:ascii="Georgia" w:hAnsi="Georgia"/>
          <w:sz w:val="24"/>
          <w:szCs w:val="24"/>
        </w:rPr>
        <w:t>involves a transfer of ownership to</w:t>
      </w:r>
      <w:r w:rsidR="00672422" w:rsidRPr="00672422">
        <w:rPr>
          <w:rFonts w:ascii="Georgia" w:hAnsi="Georgia"/>
          <w:sz w:val="24"/>
          <w:szCs w:val="24"/>
        </w:rPr>
        <w:t xml:space="preserve"> senior secured lenders</w:t>
      </w:r>
      <w:r w:rsidR="005E0FF9">
        <w:rPr>
          <w:rFonts w:ascii="Georgia" w:hAnsi="Georgia"/>
          <w:sz w:val="24"/>
          <w:szCs w:val="24"/>
        </w:rPr>
        <w:t xml:space="preserve"> through a </w:t>
      </w:r>
      <w:r w:rsidR="005E0FF9" w:rsidRPr="00B033EA">
        <w:rPr>
          <w:rFonts w:ascii="Georgia" w:hAnsi="Georgia"/>
          <w:sz w:val="24"/>
          <w:szCs w:val="24"/>
        </w:rPr>
        <w:t>debt-for-equity swap</w:t>
      </w:r>
      <w:r w:rsidR="000A7D5C">
        <w:rPr>
          <w:rFonts w:ascii="Georgia" w:hAnsi="Georgia"/>
          <w:sz w:val="24"/>
          <w:szCs w:val="24"/>
        </w:rPr>
        <w:t xml:space="preserve"> stemming from</w:t>
      </w:r>
      <w:r w:rsidR="00672422">
        <w:rPr>
          <w:rFonts w:ascii="Georgia" w:hAnsi="Georgia"/>
          <w:sz w:val="24"/>
          <w:szCs w:val="24"/>
        </w:rPr>
        <w:t xml:space="preserve"> </w:t>
      </w:r>
      <w:r w:rsidR="005E0FF9">
        <w:rPr>
          <w:rFonts w:ascii="Georgia" w:hAnsi="Georgia"/>
          <w:sz w:val="24"/>
          <w:szCs w:val="24"/>
        </w:rPr>
        <w:t xml:space="preserve">Longview Power LLC declaring </w:t>
      </w:r>
      <w:r w:rsidR="00470114">
        <w:rPr>
          <w:rFonts w:ascii="Georgia" w:hAnsi="Georgia"/>
          <w:sz w:val="24"/>
          <w:szCs w:val="24"/>
        </w:rPr>
        <w:t xml:space="preserve">Chapter 11 </w:t>
      </w:r>
      <w:r w:rsidR="005E0FF9">
        <w:rPr>
          <w:rFonts w:ascii="Georgia" w:hAnsi="Georgia"/>
          <w:sz w:val="24"/>
          <w:szCs w:val="24"/>
        </w:rPr>
        <w:t xml:space="preserve">bankruptcy </w:t>
      </w:r>
      <w:r w:rsidR="002C411C">
        <w:rPr>
          <w:rFonts w:ascii="Georgia" w:hAnsi="Georgia"/>
          <w:sz w:val="24"/>
          <w:szCs w:val="24"/>
        </w:rPr>
        <w:t xml:space="preserve">on April </w:t>
      </w:r>
      <w:r w:rsidR="00A804C3">
        <w:rPr>
          <w:rFonts w:ascii="Georgia" w:hAnsi="Georgia"/>
          <w:sz w:val="24"/>
          <w:szCs w:val="24"/>
        </w:rPr>
        <w:t>14.</w:t>
      </w:r>
      <w:r w:rsidR="003945BF">
        <w:rPr>
          <w:rFonts w:ascii="Georgia" w:hAnsi="Georgia"/>
          <w:sz w:val="24"/>
          <w:szCs w:val="24"/>
        </w:rPr>
        <w:t xml:space="preserve"> </w:t>
      </w:r>
      <w:r w:rsidR="007A3D05">
        <w:rPr>
          <w:rFonts w:ascii="Georgia" w:hAnsi="Georgia"/>
          <w:sz w:val="24"/>
          <w:szCs w:val="24"/>
        </w:rPr>
        <w:t xml:space="preserve">This is the second bankruptcy for </w:t>
      </w:r>
      <w:r w:rsidR="009B7A27">
        <w:rPr>
          <w:rFonts w:ascii="Georgia" w:hAnsi="Georgia"/>
          <w:sz w:val="24"/>
          <w:szCs w:val="24"/>
        </w:rPr>
        <w:t>Longview Power LLC</w:t>
      </w:r>
      <w:r w:rsidR="007A3D05">
        <w:rPr>
          <w:rFonts w:ascii="Georgia" w:hAnsi="Georgia"/>
          <w:sz w:val="24"/>
          <w:szCs w:val="24"/>
        </w:rPr>
        <w:t>, which owns a 700 MW coal-fired power plant in West Virginia</w:t>
      </w:r>
      <w:r w:rsidR="005308D8">
        <w:rPr>
          <w:rFonts w:ascii="Georgia" w:hAnsi="Georgia"/>
          <w:sz w:val="24"/>
          <w:szCs w:val="24"/>
        </w:rPr>
        <w:t xml:space="preserve"> (its first was in August 2013).</w:t>
      </w:r>
      <w:r w:rsidR="00545599">
        <w:rPr>
          <w:rFonts w:ascii="Georgia" w:hAnsi="Georgia"/>
          <w:sz w:val="24"/>
          <w:szCs w:val="24"/>
        </w:rPr>
        <w:t xml:space="preserve"> Longview Power </w:t>
      </w:r>
      <w:r w:rsidR="00545599" w:rsidRPr="00B033EA">
        <w:rPr>
          <w:rFonts w:ascii="Georgia" w:hAnsi="Georgia"/>
          <w:sz w:val="24"/>
          <w:szCs w:val="24"/>
        </w:rPr>
        <w:t>CEO Jeffrey Keffer</w:t>
      </w:r>
      <w:r w:rsidR="000B5AF0">
        <w:rPr>
          <w:rFonts w:ascii="Georgia" w:hAnsi="Georgia"/>
          <w:sz w:val="24"/>
          <w:szCs w:val="24"/>
        </w:rPr>
        <w:t xml:space="preserve"> told reporters that the bankruptcy was triggered by </w:t>
      </w:r>
      <w:r w:rsidR="00956129">
        <w:rPr>
          <w:rFonts w:ascii="Georgia" w:hAnsi="Georgia"/>
          <w:sz w:val="24"/>
          <w:szCs w:val="24"/>
        </w:rPr>
        <w:t>pre-COVID circumstances</w:t>
      </w:r>
      <w:r w:rsidR="000B5AF0">
        <w:rPr>
          <w:rFonts w:ascii="Georgia" w:hAnsi="Georgia"/>
          <w:sz w:val="24"/>
          <w:szCs w:val="24"/>
        </w:rPr>
        <w:t>: “</w:t>
      </w:r>
      <w:r w:rsidR="00822AE5" w:rsidRPr="00B033EA">
        <w:rPr>
          <w:rFonts w:ascii="Georgia" w:hAnsi="Georgia"/>
          <w:sz w:val="24"/>
          <w:szCs w:val="24"/>
        </w:rPr>
        <w:t>We really started working [on the bankruptcy] in late January when we realized that we weren</w:t>
      </w:r>
      <w:r w:rsidR="00822AE5">
        <w:rPr>
          <w:rFonts w:ascii="Georgia" w:hAnsi="Georgia"/>
          <w:sz w:val="24"/>
          <w:szCs w:val="24"/>
        </w:rPr>
        <w:t>’</w:t>
      </w:r>
      <w:r w:rsidR="00822AE5" w:rsidRPr="00B033EA">
        <w:rPr>
          <w:rFonts w:ascii="Georgia" w:hAnsi="Georgia"/>
          <w:sz w:val="24"/>
          <w:szCs w:val="24"/>
        </w:rPr>
        <w:t>t going to have any kind of winter energy price boost</w:t>
      </w:r>
      <w:r w:rsidR="00822AE5">
        <w:rPr>
          <w:rFonts w:ascii="Georgia" w:hAnsi="Georgia"/>
          <w:sz w:val="24"/>
          <w:szCs w:val="24"/>
        </w:rPr>
        <w:t xml:space="preserve">. </w:t>
      </w:r>
      <w:r w:rsidR="00822AE5" w:rsidRPr="00B033EA">
        <w:rPr>
          <w:rFonts w:ascii="Georgia" w:hAnsi="Georgia"/>
          <w:sz w:val="24"/>
          <w:szCs w:val="24"/>
        </w:rPr>
        <w:t>It was just such an unseasonably warm winter, if anything, pricing for us was running less than half of what we normally see.</w:t>
      </w:r>
      <w:r w:rsidR="0012681E">
        <w:rPr>
          <w:rFonts w:ascii="Georgia" w:hAnsi="Georgia"/>
          <w:sz w:val="24"/>
          <w:szCs w:val="24"/>
        </w:rPr>
        <w:t xml:space="preserve">” </w:t>
      </w:r>
      <w:r w:rsidR="00822AE5" w:rsidRPr="00B033EA">
        <w:rPr>
          <w:rFonts w:ascii="Georgia" w:hAnsi="Georgia"/>
          <w:sz w:val="24"/>
          <w:szCs w:val="24"/>
        </w:rPr>
        <w:t>With the Longview Power plant reliant on price bumps in the winter months, mild temperatures made it impossible for the company to repay its debts.</w:t>
      </w:r>
      <w:r w:rsidR="0047719B">
        <w:rPr>
          <w:rStyle w:val="FootnoteReference"/>
          <w:rFonts w:ascii="Georgia" w:hAnsi="Georgia"/>
          <w:sz w:val="24"/>
          <w:szCs w:val="24"/>
        </w:rPr>
        <w:footnoteReference w:id="2"/>
      </w:r>
    </w:p>
    <w:p w14:paraId="2208E57D" w14:textId="23F2EE01" w:rsidR="005308D8" w:rsidRDefault="005308D8" w:rsidP="00576A3D">
      <w:pPr>
        <w:spacing w:line="360" w:lineRule="auto"/>
        <w:rPr>
          <w:rFonts w:ascii="Georgia" w:hAnsi="Georgia"/>
          <w:sz w:val="24"/>
          <w:szCs w:val="24"/>
        </w:rPr>
      </w:pPr>
      <w:r>
        <w:rPr>
          <w:rFonts w:ascii="Georgia" w:hAnsi="Georgia"/>
          <w:sz w:val="24"/>
          <w:szCs w:val="24"/>
        </w:rPr>
        <w:lastRenderedPageBreak/>
        <w:tab/>
      </w:r>
      <w:r w:rsidR="00F6195B">
        <w:rPr>
          <w:rFonts w:ascii="Georgia" w:hAnsi="Georgia"/>
          <w:sz w:val="24"/>
          <w:szCs w:val="24"/>
        </w:rPr>
        <w:t xml:space="preserve">We have identified two issues with the Application. </w:t>
      </w:r>
      <w:r w:rsidR="00C004A5">
        <w:rPr>
          <w:rFonts w:ascii="Georgia" w:hAnsi="Georgia"/>
          <w:sz w:val="24"/>
          <w:szCs w:val="24"/>
        </w:rPr>
        <w:t xml:space="preserve">The Application </w:t>
      </w:r>
      <w:r w:rsidR="002F4FC7">
        <w:rPr>
          <w:rFonts w:ascii="Georgia" w:hAnsi="Georgia"/>
          <w:sz w:val="24"/>
          <w:szCs w:val="24"/>
        </w:rPr>
        <w:t>states:</w:t>
      </w:r>
    </w:p>
    <w:p w14:paraId="17438E0C" w14:textId="15AD196F" w:rsidR="002F4FC7" w:rsidRDefault="002F4FC7" w:rsidP="00AF1D81">
      <w:pPr>
        <w:rPr>
          <w:rFonts w:ascii="Georgia" w:hAnsi="Georgia"/>
          <w:sz w:val="24"/>
          <w:szCs w:val="24"/>
        </w:rPr>
      </w:pPr>
    </w:p>
    <w:p w14:paraId="2CB57E35" w14:textId="432D4D3A" w:rsidR="002F4FC7" w:rsidRPr="00CD4F71" w:rsidRDefault="001672CC" w:rsidP="00CD4F71">
      <w:pPr>
        <w:ind w:left="720"/>
        <w:rPr>
          <w:rFonts w:ascii="Georgia" w:hAnsi="Georgia"/>
          <w:i/>
          <w:iCs/>
        </w:rPr>
      </w:pPr>
      <w:r w:rsidRPr="00CD4F71">
        <w:rPr>
          <w:rFonts w:ascii="Georgia" w:hAnsi="Georgia"/>
          <w:i/>
          <w:iCs/>
        </w:rPr>
        <w:t>The</w:t>
      </w:r>
      <w:r w:rsidRPr="00CD4F71">
        <w:rPr>
          <w:rFonts w:ascii="Georgia" w:hAnsi="Georgia"/>
          <w:i/>
          <w:iCs/>
        </w:rPr>
        <w:t xml:space="preserve"> </w:t>
      </w:r>
      <w:r w:rsidRPr="00CD4F71">
        <w:rPr>
          <w:rFonts w:ascii="Georgia" w:hAnsi="Georgia"/>
          <w:i/>
          <w:iCs/>
        </w:rPr>
        <w:t>Commission’s regulations create a rebuttable presumption that a person or entity that owns less</w:t>
      </w:r>
      <w:r w:rsidR="00F00474" w:rsidRPr="00CD4F71">
        <w:rPr>
          <w:rFonts w:ascii="Georgia" w:hAnsi="Georgia"/>
          <w:i/>
          <w:iCs/>
        </w:rPr>
        <w:t xml:space="preserve"> </w:t>
      </w:r>
      <w:r w:rsidRPr="00CD4F71">
        <w:rPr>
          <w:rFonts w:ascii="Georgia" w:hAnsi="Georgia"/>
          <w:i/>
          <w:iCs/>
        </w:rPr>
        <w:t>than 10% of the outstanding voting securities of a public utility lacks control of that public utility</w:t>
      </w:r>
      <w:r w:rsidR="00F00474" w:rsidRPr="00CD4F71">
        <w:rPr>
          <w:rFonts w:ascii="Georgia" w:hAnsi="Georgia"/>
          <w:i/>
          <w:iCs/>
        </w:rPr>
        <w:t xml:space="preserve"> </w:t>
      </w:r>
      <w:r w:rsidRPr="00CD4F71">
        <w:rPr>
          <w:rFonts w:ascii="Georgia" w:hAnsi="Georgia"/>
          <w:i/>
          <w:iCs/>
        </w:rPr>
        <w:t>and, therefore, is not an affiliate of the public utility.</w:t>
      </w:r>
      <w:r w:rsidR="00CD4F71" w:rsidRPr="00CD4F71">
        <w:rPr>
          <w:rFonts w:ascii="Georgia" w:hAnsi="Georgia"/>
          <w:i/>
          <w:iCs/>
        </w:rPr>
        <w:t xml:space="preserve"> </w:t>
      </w:r>
      <w:r w:rsidRPr="00CD4F71">
        <w:rPr>
          <w:rFonts w:ascii="Georgia" w:hAnsi="Georgia"/>
          <w:i/>
          <w:iCs/>
        </w:rPr>
        <w:t xml:space="preserve">As a result, </w:t>
      </w:r>
      <w:bookmarkStart w:id="0" w:name="_Hlk43465389"/>
      <w:r w:rsidRPr="00CD4F71">
        <w:rPr>
          <w:rFonts w:ascii="Georgia" w:hAnsi="Georgia"/>
          <w:i/>
          <w:iCs/>
        </w:rPr>
        <w:t>Applicant is not providing</w:t>
      </w:r>
      <w:r w:rsidR="00F00474" w:rsidRPr="00CD4F71">
        <w:rPr>
          <w:rFonts w:ascii="Georgia" w:hAnsi="Georgia"/>
          <w:i/>
          <w:iCs/>
        </w:rPr>
        <w:t xml:space="preserve"> </w:t>
      </w:r>
      <w:r w:rsidRPr="00CD4F71">
        <w:rPr>
          <w:rFonts w:ascii="Georgia" w:hAnsi="Georgia"/>
          <w:i/>
          <w:iCs/>
        </w:rPr>
        <w:t>information with respect to any individual Lender-Owner that, together with its affiliates, will</w:t>
      </w:r>
      <w:r w:rsidR="00F00474" w:rsidRPr="00CD4F71">
        <w:rPr>
          <w:rFonts w:ascii="Georgia" w:hAnsi="Georgia"/>
          <w:i/>
          <w:iCs/>
        </w:rPr>
        <w:t xml:space="preserve"> </w:t>
      </w:r>
      <w:r w:rsidRPr="00CD4F71">
        <w:rPr>
          <w:rFonts w:ascii="Georgia" w:hAnsi="Georgia"/>
          <w:i/>
          <w:iCs/>
        </w:rPr>
        <w:t>hold less than 10% of the equity in Reorganized Longview as a result of the Transaction</w:t>
      </w:r>
      <w:bookmarkEnd w:id="0"/>
      <w:r w:rsidRPr="00CD4F71">
        <w:rPr>
          <w:rFonts w:ascii="Georgia" w:hAnsi="Georgia"/>
          <w:i/>
          <w:iCs/>
        </w:rPr>
        <w:t>.</w:t>
      </w:r>
      <w:r w:rsidR="00CC7063">
        <w:rPr>
          <w:rStyle w:val="FootnoteReference"/>
          <w:rFonts w:ascii="Georgia" w:hAnsi="Georgia"/>
          <w:i/>
          <w:iCs/>
        </w:rPr>
        <w:footnoteReference w:id="3"/>
      </w:r>
    </w:p>
    <w:p w14:paraId="20B1FCF7" w14:textId="77777777" w:rsidR="00576A3D" w:rsidRDefault="00CC7063" w:rsidP="00A21E13">
      <w:pPr>
        <w:rPr>
          <w:rFonts w:ascii="Georgia" w:hAnsi="Georgia"/>
          <w:sz w:val="24"/>
          <w:szCs w:val="24"/>
        </w:rPr>
      </w:pPr>
      <w:r>
        <w:rPr>
          <w:rFonts w:ascii="Georgia" w:hAnsi="Georgia"/>
          <w:sz w:val="24"/>
          <w:szCs w:val="24"/>
        </w:rPr>
        <w:tab/>
      </w:r>
    </w:p>
    <w:p w14:paraId="6C0D4E2B" w14:textId="7955A35D" w:rsidR="00824D27" w:rsidRDefault="00CC7063" w:rsidP="000524F4">
      <w:pPr>
        <w:spacing w:line="360" w:lineRule="auto"/>
        <w:ind w:firstLine="720"/>
        <w:rPr>
          <w:rFonts w:ascii="Georgia" w:hAnsi="Georgia"/>
          <w:sz w:val="24"/>
          <w:szCs w:val="24"/>
        </w:rPr>
      </w:pPr>
      <w:r>
        <w:rPr>
          <w:rFonts w:ascii="Georgia" w:hAnsi="Georgia"/>
          <w:sz w:val="24"/>
          <w:szCs w:val="24"/>
        </w:rPr>
        <w:t xml:space="preserve">First, the Application itself </w:t>
      </w:r>
      <w:r w:rsidR="00BB377F">
        <w:rPr>
          <w:rFonts w:ascii="Georgia" w:hAnsi="Georgia"/>
          <w:sz w:val="24"/>
          <w:szCs w:val="24"/>
        </w:rPr>
        <w:t xml:space="preserve">rebuts the </w:t>
      </w:r>
      <w:r w:rsidR="00D173DB">
        <w:rPr>
          <w:rFonts w:ascii="Georgia" w:hAnsi="Georgia"/>
          <w:sz w:val="24"/>
          <w:szCs w:val="24"/>
        </w:rPr>
        <w:t>presumption</w:t>
      </w:r>
      <w:r w:rsidR="00BB377F">
        <w:rPr>
          <w:rFonts w:ascii="Georgia" w:hAnsi="Georgia"/>
          <w:sz w:val="24"/>
          <w:szCs w:val="24"/>
        </w:rPr>
        <w:t xml:space="preserve"> that an entity owning less than 10% of voting securities lacks control. </w:t>
      </w:r>
      <w:r w:rsidR="00EB099F" w:rsidRPr="00EB099F">
        <w:rPr>
          <w:rFonts w:ascii="Georgia" w:hAnsi="Georgia"/>
          <w:sz w:val="24"/>
          <w:szCs w:val="24"/>
        </w:rPr>
        <w:t>Exhibit I of the Application (</w:t>
      </w:r>
      <w:r w:rsidR="00296909">
        <w:rPr>
          <w:rFonts w:ascii="Georgia" w:hAnsi="Georgia"/>
          <w:sz w:val="24"/>
          <w:szCs w:val="24"/>
        </w:rPr>
        <w:t>“</w:t>
      </w:r>
      <w:r w:rsidR="00EB099F" w:rsidRPr="00EB099F">
        <w:rPr>
          <w:rFonts w:ascii="Georgia" w:hAnsi="Georgia"/>
          <w:sz w:val="24"/>
          <w:szCs w:val="24"/>
        </w:rPr>
        <w:t>Agreements Related to the Proposed Transaction</w:t>
      </w:r>
      <w:r w:rsidR="00296909">
        <w:rPr>
          <w:rFonts w:ascii="Georgia" w:hAnsi="Georgia"/>
          <w:sz w:val="24"/>
          <w:szCs w:val="24"/>
        </w:rPr>
        <w:t>”</w:t>
      </w:r>
      <w:r w:rsidR="00EB099F" w:rsidRPr="00EB099F">
        <w:rPr>
          <w:rFonts w:ascii="Georgia" w:hAnsi="Georgia"/>
          <w:sz w:val="24"/>
          <w:szCs w:val="24"/>
        </w:rPr>
        <w:t>) includes a Limited Liability Company Agreement of Longview Intermediate Holdings C LLC.</w:t>
      </w:r>
      <w:r w:rsidR="00296909">
        <w:rPr>
          <w:rFonts w:ascii="Georgia" w:hAnsi="Georgia"/>
          <w:sz w:val="24"/>
          <w:szCs w:val="24"/>
        </w:rPr>
        <w:t xml:space="preserve"> </w:t>
      </w:r>
      <w:r w:rsidR="00296909" w:rsidRPr="00296909">
        <w:rPr>
          <w:rFonts w:ascii="Georgia" w:hAnsi="Georgia"/>
          <w:sz w:val="24"/>
          <w:szCs w:val="24"/>
        </w:rPr>
        <w:t>Article V, Section 5.3</w:t>
      </w:r>
      <w:r w:rsidR="00296909">
        <w:rPr>
          <w:rFonts w:ascii="Georgia" w:hAnsi="Georgia"/>
          <w:sz w:val="24"/>
          <w:szCs w:val="24"/>
        </w:rPr>
        <w:t xml:space="preserve"> of this LLC </w:t>
      </w:r>
      <w:r w:rsidR="00C77CB3">
        <w:rPr>
          <w:rFonts w:ascii="Georgia" w:hAnsi="Georgia"/>
          <w:sz w:val="24"/>
          <w:szCs w:val="24"/>
        </w:rPr>
        <w:t xml:space="preserve">agreement defines </w:t>
      </w:r>
      <w:r w:rsidR="00676E34">
        <w:rPr>
          <w:rFonts w:ascii="Georgia" w:hAnsi="Georgia"/>
          <w:sz w:val="24"/>
          <w:szCs w:val="24"/>
        </w:rPr>
        <w:t xml:space="preserve">the rights and responsibilities of the LLC’s Board of Managers. </w:t>
      </w:r>
      <w:r w:rsidR="00DE01DB">
        <w:rPr>
          <w:rFonts w:ascii="Georgia" w:hAnsi="Georgia"/>
          <w:sz w:val="24"/>
          <w:szCs w:val="24"/>
        </w:rPr>
        <w:t xml:space="preserve">This </w:t>
      </w:r>
      <w:r w:rsidR="0014020A">
        <w:rPr>
          <w:rFonts w:ascii="Georgia" w:hAnsi="Georgia"/>
          <w:sz w:val="24"/>
          <w:szCs w:val="24"/>
        </w:rPr>
        <w:t xml:space="preserve">LLC agreement explicitly conveys voting rights and control for entities </w:t>
      </w:r>
      <w:r w:rsidR="001A6E13">
        <w:rPr>
          <w:rFonts w:ascii="Georgia" w:hAnsi="Georgia"/>
          <w:sz w:val="24"/>
          <w:szCs w:val="24"/>
        </w:rPr>
        <w:t>controlling</w:t>
      </w:r>
      <w:r w:rsidR="0014020A">
        <w:rPr>
          <w:rFonts w:ascii="Georgia" w:hAnsi="Georgia"/>
          <w:sz w:val="24"/>
          <w:szCs w:val="24"/>
        </w:rPr>
        <w:t xml:space="preserve"> </w:t>
      </w:r>
      <w:r w:rsidR="00CC35E7">
        <w:rPr>
          <w:rFonts w:ascii="Georgia" w:hAnsi="Georgia"/>
          <w:sz w:val="24"/>
          <w:szCs w:val="24"/>
        </w:rPr>
        <w:t xml:space="preserve">as little as </w:t>
      </w:r>
      <w:r w:rsidR="0014020A">
        <w:rPr>
          <w:rFonts w:ascii="Georgia" w:hAnsi="Georgia"/>
          <w:sz w:val="24"/>
          <w:szCs w:val="24"/>
        </w:rPr>
        <w:t xml:space="preserve">7.5% </w:t>
      </w:r>
      <w:r w:rsidR="006A1B44">
        <w:rPr>
          <w:rFonts w:ascii="Georgia" w:hAnsi="Georgia"/>
          <w:sz w:val="24"/>
          <w:szCs w:val="24"/>
        </w:rPr>
        <w:t xml:space="preserve">of shares. </w:t>
      </w:r>
      <w:r w:rsidR="002F553A">
        <w:rPr>
          <w:rFonts w:ascii="Georgia" w:hAnsi="Georgia"/>
          <w:sz w:val="24"/>
          <w:szCs w:val="24"/>
        </w:rPr>
        <w:t xml:space="preserve">Therefore, according to the </w:t>
      </w:r>
      <w:r w:rsidR="00CC35E7">
        <w:rPr>
          <w:rFonts w:ascii="Georgia" w:hAnsi="Georgia"/>
          <w:sz w:val="24"/>
          <w:szCs w:val="24"/>
        </w:rPr>
        <w:t xml:space="preserve">Exhibit I of the </w:t>
      </w:r>
      <w:r w:rsidR="002F553A">
        <w:rPr>
          <w:rFonts w:ascii="Georgia" w:hAnsi="Georgia"/>
          <w:sz w:val="24"/>
          <w:szCs w:val="24"/>
        </w:rPr>
        <w:t xml:space="preserve">Application, entities with less than 10% actually </w:t>
      </w:r>
      <w:r w:rsidR="002F553A" w:rsidRPr="00807458">
        <w:rPr>
          <w:rFonts w:ascii="Georgia" w:hAnsi="Georgia"/>
          <w:b/>
          <w:bCs/>
          <w:sz w:val="24"/>
          <w:szCs w:val="24"/>
        </w:rPr>
        <w:t>do</w:t>
      </w:r>
      <w:r w:rsidR="002F553A">
        <w:rPr>
          <w:rFonts w:ascii="Georgia" w:hAnsi="Georgia"/>
          <w:sz w:val="24"/>
          <w:szCs w:val="24"/>
        </w:rPr>
        <w:t xml:space="preserve"> control a public utility. </w:t>
      </w:r>
    </w:p>
    <w:p w14:paraId="694C2D85" w14:textId="725298F0" w:rsidR="00593F0E" w:rsidRDefault="00DC36D2" w:rsidP="000524F4">
      <w:pPr>
        <w:spacing w:line="360" w:lineRule="auto"/>
        <w:ind w:firstLine="720"/>
        <w:rPr>
          <w:rFonts w:ascii="Georgia" w:hAnsi="Georgia"/>
          <w:sz w:val="24"/>
          <w:szCs w:val="24"/>
        </w:rPr>
      </w:pPr>
      <w:r>
        <w:rPr>
          <w:rFonts w:ascii="Georgia" w:hAnsi="Georgia"/>
          <w:sz w:val="24"/>
          <w:szCs w:val="24"/>
        </w:rPr>
        <w:t>This recalls a recent event when t</w:t>
      </w:r>
      <w:r w:rsidRPr="00DC36D2">
        <w:rPr>
          <w:rFonts w:ascii="Georgia" w:hAnsi="Georgia"/>
          <w:sz w:val="24"/>
          <w:szCs w:val="24"/>
        </w:rPr>
        <w:t>wo hedge funds</w:t>
      </w:r>
      <w:r w:rsidR="00971468">
        <w:rPr>
          <w:rFonts w:ascii="Cambria" w:hAnsi="Cambria"/>
          <w:sz w:val="24"/>
          <w:szCs w:val="24"/>
        </w:rPr>
        <w:t>—</w:t>
      </w:r>
      <w:r w:rsidRPr="00DC36D2">
        <w:rPr>
          <w:rFonts w:ascii="Georgia" w:hAnsi="Georgia"/>
          <w:sz w:val="24"/>
          <w:szCs w:val="24"/>
        </w:rPr>
        <w:t xml:space="preserve">which </w:t>
      </w:r>
      <w:r w:rsidRPr="00DC36D2">
        <w:rPr>
          <w:rFonts w:ascii="Georgia" w:hAnsi="Georgia"/>
          <w:sz w:val="24"/>
          <w:szCs w:val="24"/>
          <w:u w:val="single"/>
        </w:rPr>
        <w:t>combined</w:t>
      </w:r>
      <w:r w:rsidRPr="00DC36D2">
        <w:rPr>
          <w:rFonts w:ascii="Georgia" w:hAnsi="Georgia"/>
          <w:sz w:val="24"/>
          <w:szCs w:val="24"/>
        </w:rPr>
        <w:t xml:space="preserve"> </w:t>
      </w:r>
      <w:r>
        <w:rPr>
          <w:rFonts w:ascii="Georgia" w:hAnsi="Georgia"/>
          <w:sz w:val="24"/>
          <w:szCs w:val="24"/>
        </w:rPr>
        <w:t>owned</w:t>
      </w:r>
      <w:r w:rsidRPr="00DC36D2">
        <w:rPr>
          <w:rFonts w:ascii="Georgia" w:hAnsi="Georgia"/>
          <w:sz w:val="24"/>
          <w:szCs w:val="24"/>
        </w:rPr>
        <w:t xml:space="preserve"> less than 9.4% of </w:t>
      </w:r>
      <w:r>
        <w:rPr>
          <w:rFonts w:ascii="Georgia" w:hAnsi="Georgia"/>
          <w:sz w:val="24"/>
          <w:szCs w:val="24"/>
        </w:rPr>
        <w:t xml:space="preserve">the public utility </w:t>
      </w:r>
      <w:r w:rsidRPr="00DC36D2">
        <w:rPr>
          <w:rFonts w:ascii="Georgia" w:hAnsi="Georgia"/>
          <w:sz w:val="24"/>
          <w:szCs w:val="24"/>
        </w:rPr>
        <w:t>NRG</w:t>
      </w:r>
      <w:r w:rsidR="00971468">
        <w:rPr>
          <w:rFonts w:ascii="Cambria" w:hAnsi="Cambria"/>
          <w:sz w:val="24"/>
          <w:szCs w:val="24"/>
        </w:rPr>
        <w:t>—</w:t>
      </w:r>
      <w:r w:rsidR="00807458">
        <w:rPr>
          <w:rFonts w:ascii="Georgia" w:hAnsi="Georgia"/>
          <w:sz w:val="24"/>
          <w:szCs w:val="24"/>
        </w:rPr>
        <w:t>nonetheless possessed</w:t>
      </w:r>
      <w:r w:rsidRPr="00DC36D2">
        <w:rPr>
          <w:rFonts w:ascii="Georgia" w:hAnsi="Georgia"/>
          <w:sz w:val="24"/>
          <w:szCs w:val="24"/>
        </w:rPr>
        <w:t xml:space="preserve"> enough control to force the company to install two of the hedge fund’s designated board members.</w:t>
      </w:r>
      <w:r w:rsidR="001D6C6F">
        <w:rPr>
          <w:rStyle w:val="FootnoteReference"/>
          <w:rFonts w:ascii="Georgia" w:hAnsi="Georgia"/>
          <w:sz w:val="24"/>
          <w:szCs w:val="24"/>
        </w:rPr>
        <w:footnoteReference w:id="4"/>
      </w:r>
      <w:r w:rsidRPr="00DC36D2">
        <w:rPr>
          <w:rFonts w:ascii="Georgia" w:hAnsi="Georgia"/>
          <w:sz w:val="24"/>
          <w:szCs w:val="24"/>
        </w:rPr>
        <w:t xml:space="preserve"> Clearly, </w:t>
      </w:r>
      <w:r w:rsidR="00E6304E">
        <w:rPr>
          <w:rFonts w:ascii="Georgia" w:hAnsi="Georgia"/>
          <w:sz w:val="24"/>
          <w:szCs w:val="24"/>
        </w:rPr>
        <w:t xml:space="preserve">owning 10% </w:t>
      </w:r>
      <w:r w:rsidR="00640BC0">
        <w:rPr>
          <w:rFonts w:ascii="Georgia" w:hAnsi="Georgia"/>
          <w:sz w:val="24"/>
          <w:szCs w:val="24"/>
        </w:rPr>
        <w:t>is a relatively meaningless number when it comes to opportunities to control a public utility. That’s why</w:t>
      </w:r>
      <w:r w:rsidR="00593F0E">
        <w:rPr>
          <w:rFonts w:ascii="Georgia" w:hAnsi="Georgia"/>
          <w:sz w:val="24"/>
          <w:szCs w:val="24"/>
        </w:rPr>
        <w:t xml:space="preserve"> the Commission defines Affiliate as:</w:t>
      </w:r>
    </w:p>
    <w:p w14:paraId="1AC275AF" w14:textId="77777777" w:rsidR="00FF6A8C" w:rsidRDefault="00FF6A8C" w:rsidP="00FF6A8C">
      <w:pPr>
        <w:rPr>
          <w:rFonts w:ascii="Georgia" w:hAnsi="Georgia"/>
          <w:sz w:val="24"/>
          <w:szCs w:val="24"/>
        </w:rPr>
      </w:pPr>
    </w:p>
    <w:p w14:paraId="2792A97F" w14:textId="6CE854FD" w:rsidR="008B7645" w:rsidRPr="00B033EA" w:rsidRDefault="00FF6A8C" w:rsidP="00FF6A8C">
      <w:pPr>
        <w:ind w:left="720"/>
        <w:rPr>
          <w:rFonts w:ascii="Georgia" w:hAnsi="Georgia"/>
          <w:sz w:val="24"/>
          <w:szCs w:val="24"/>
        </w:rPr>
      </w:pPr>
      <w:r w:rsidRPr="000E69EF">
        <w:rPr>
          <w:rFonts w:ascii="Georgia" w:hAnsi="Georgia"/>
          <w:i/>
          <w:iCs/>
        </w:rPr>
        <w:t>Any person or class of persons that the Commission determines, after appropriate notice and opportunity for hearing, to stand in such relation to the specified company that there is liable to be an absence of arm's-length bargaining in transactions between them as to make it necessary or appropriate in the public interest or for the protection of investors or consumers that the person be treated as an affiliate</w:t>
      </w:r>
      <w:r w:rsidRPr="000E69EF">
        <w:rPr>
          <w:rFonts w:ascii="Georgia" w:hAnsi="Georgia"/>
          <w:i/>
          <w:iCs/>
        </w:rPr>
        <w:t>.</w:t>
      </w:r>
      <w:r w:rsidR="00E12090">
        <w:rPr>
          <w:rStyle w:val="FootnoteReference"/>
          <w:rFonts w:ascii="Georgia" w:hAnsi="Georgia"/>
          <w:sz w:val="24"/>
          <w:szCs w:val="24"/>
        </w:rPr>
        <w:footnoteReference w:id="5"/>
      </w:r>
      <w:r w:rsidR="008B7645">
        <w:rPr>
          <w:rFonts w:ascii="Georgia" w:hAnsi="Georgia"/>
          <w:sz w:val="24"/>
          <w:szCs w:val="24"/>
        </w:rPr>
        <w:tab/>
      </w:r>
    </w:p>
    <w:p w14:paraId="0595A4CA" w14:textId="77777777" w:rsidR="00F4458A" w:rsidRPr="00B033EA" w:rsidRDefault="00F4458A" w:rsidP="00A21E13">
      <w:pPr>
        <w:rPr>
          <w:rFonts w:ascii="Georgia" w:hAnsi="Georgia"/>
          <w:sz w:val="24"/>
          <w:szCs w:val="24"/>
        </w:rPr>
      </w:pPr>
    </w:p>
    <w:p w14:paraId="7BAD9A04" w14:textId="77777777" w:rsidR="000524F4" w:rsidRDefault="003F1858" w:rsidP="000524F4">
      <w:pPr>
        <w:spacing w:line="360" w:lineRule="auto"/>
        <w:ind w:firstLine="720"/>
        <w:rPr>
          <w:rFonts w:ascii="Georgia" w:hAnsi="Georgia"/>
          <w:sz w:val="24"/>
          <w:szCs w:val="24"/>
        </w:rPr>
      </w:pPr>
      <w:r>
        <w:rPr>
          <w:rFonts w:ascii="Georgia" w:hAnsi="Georgia"/>
          <w:sz w:val="24"/>
          <w:szCs w:val="24"/>
        </w:rPr>
        <w:t xml:space="preserve">Second, Public Citizen </w:t>
      </w:r>
      <w:r w:rsidR="008C0513">
        <w:rPr>
          <w:rFonts w:ascii="Georgia" w:hAnsi="Georgia"/>
          <w:sz w:val="24"/>
          <w:szCs w:val="24"/>
        </w:rPr>
        <w:t>protests</w:t>
      </w:r>
      <w:r>
        <w:rPr>
          <w:rFonts w:ascii="Georgia" w:hAnsi="Georgia"/>
          <w:sz w:val="24"/>
          <w:szCs w:val="24"/>
        </w:rPr>
        <w:t xml:space="preserve"> that the Applicant refuses to disclose </w:t>
      </w:r>
      <w:r w:rsidR="005A7290">
        <w:rPr>
          <w:rFonts w:ascii="Georgia" w:hAnsi="Georgia"/>
          <w:sz w:val="24"/>
          <w:szCs w:val="24"/>
        </w:rPr>
        <w:t xml:space="preserve">the identities of </w:t>
      </w:r>
      <w:r w:rsidR="00836342">
        <w:rPr>
          <w:rFonts w:ascii="Georgia" w:hAnsi="Georgia"/>
          <w:sz w:val="24"/>
          <w:szCs w:val="24"/>
        </w:rPr>
        <w:t>upstream owners that together control 40.47% of Longview’s equity.</w:t>
      </w:r>
      <w:r w:rsidR="000E312C">
        <w:rPr>
          <w:rFonts w:ascii="Georgia" w:hAnsi="Georgia"/>
          <w:sz w:val="24"/>
          <w:szCs w:val="24"/>
        </w:rPr>
        <w:t xml:space="preserve"> </w:t>
      </w:r>
      <w:r w:rsidR="00B6111C">
        <w:rPr>
          <w:rFonts w:ascii="Georgia" w:hAnsi="Georgia"/>
          <w:sz w:val="24"/>
          <w:szCs w:val="24"/>
        </w:rPr>
        <w:t xml:space="preserve">It is in the public interest to disclose </w:t>
      </w:r>
      <w:r w:rsidR="000524F4">
        <w:rPr>
          <w:rFonts w:ascii="Georgia" w:hAnsi="Georgia"/>
          <w:sz w:val="24"/>
          <w:szCs w:val="24"/>
        </w:rPr>
        <w:t xml:space="preserve">the names of all owners. </w:t>
      </w:r>
    </w:p>
    <w:p w14:paraId="7B299531" w14:textId="27AB79A1" w:rsidR="00AC343E" w:rsidRDefault="000E312C" w:rsidP="000524F4">
      <w:pPr>
        <w:spacing w:line="360" w:lineRule="auto"/>
        <w:ind w:firstLine="720"/>
        <w:rPr>
          <w:rFonts w:ascii="Georgia" w:hAnsi="Georgia"/>
          <w:sz w:val="24"/>
          <w:szCs w:val="24"/>
        </w:rPr>
      </w:pPr>
      <w:r>
        <w:rPr>
          <w:rFonts w:ascii="Georgia" w:hAnsi="Georgia"/>
          <w:sz w:val="24"/>
          <w:szCs w:val="24"/>
        </w:rPr>
        <w:t>As noted above</w:t>
      </w:r>
      <w:r w:rsidR="00AF57C1">
        <w:rPr>
          <w:rFonts w:ascii="Georgia" w:hAnsi="Georgia"/>
          <w:sz w:val="24"/>
          <w:szCs w:val="24"/>
        </w:rPr>
        <w:t>:</w:t>
      </w:r>
      <w:bookmarkStart w:id="1" w:name="_GoBack"/>
      <w:bookmarkEnd w:id="1"/>
      <w:r w:rsidR="00BE488B">
        <w:rPr>
          <w:rFonts w:ascii="Georgia" w:hAnsi="Georgia"/>
          <w:sz w:val="24"/>
          <w:szCs w:val="24"/>
        </w:rPr>
        <w:t xml:space="preserve"> “</w:t>
      </w:r>
      <w:r w:rsidR="00BE488B" w:rsidRPr="00BE488B">
        <w:rPr>
          <w:rFonts w:ascii="Georgia" w:hAnsi="Georgia"/>
          <w:sz w:val="24"/>
          <w:szCs w:val="24"/>
        </w:rPr>
        <w:t xml:space="preserve">Applicant is not providing information with respect to any individual Lender-Owner that, together with its affiliates, will hold less than 10% of the </w:t>
      </w:r>
      <w:r w:rsidR="00BE488B" w:rsidRPr="00BE488B">
        <w:rPr>
          <w:rFonts w:ascii="Georgia" w:hAnsi="Georgia"/>
          <w:sz w:val="24"/>
          <w:szCs w:val="24"/>
        </w:rPr>
        <w:lastRenderedPageBreak/>
        <w:t>equity in Reorganized Longview as a result of the Transaction</w:t>
      </w:r>
      <w:r w:rsidR="00BE488B">
        <w:rPr>
          <w:rFonts w:ascii="Georgia" w:hAnsi="Georgia"/>
          <w:sz w:val="24"/>
          <w:szCs w:val="24"/>
        </w:rPr>
        <w:t xml:space="preserve">.” </w:t>
      </w:r>
      <w:r w:rsidR="00C31DFB">
        <w:rPr>
          <w:rFonts w:ascii="Georgia" w:hAnsi="Georgia"/>
          <w:sz w:val="24"/>
          <w:szCs w:val="24"/>
        </w:rPr>
        <w:t>As a result, the Applicant is shielding from both FERC and the public the identities of entities that own 40.47% of Longview.</w:t>
      </w:r>
    </w:p>
    <w:p w14:paraId="47CFD8F7" w14:textId="38936659" w:rsidR="00C03ED7" w:rsidRDefault="00B961B9" w:rsidP="006879D7">
      <w:pPr>
        <w:spacing w:line="360" w:lineRule="auto"/>
        <w:ind w:firstLine="720"/>
        <w:rPr>
          <w:rFonts w:ascii="Georgia" w:hAnsi="Georgia"/>
          <w:sz w:val="24"/>
          <w:szCs w:val="24"/>
        </w:rPr>
      </w:pPr>
      <w:r w:rsidRPr="00B961B9">
        <w:rPr>
          <w:rFonts w:ascii="Georgia" w:hAnsi="Georgia"/>
          <w:sz w:val="24"/>
          <w:szCs w:val="24"/>
        </w:rPr>
        <w:t>Section 201 of the Federal Power Act states “that the business of transmitting and selling electric energy for ultimate distribution to the public is affected with a public interest</w:t>
      </w:r>
      <w:r w:rsidR="00C01152">
        <w:rPr>
          <w:rFonts w:ascii="Georgia" w:hAnsi="Georgia"/>
          <w:sz w:val="24"/>
          <w:szCs w:val="24"/>
        </w:rPr>
        <w:t>.</w:t>
      </w:r>
      <w:r w:rsidRPr="00B961B9">
        <w:rPr>
          <w:rFonts w:ascii="Georgia" w:hAnsi="Georgia"/>
          <w:sz w:val="24"/>
          <w:szCs w:val="24"/>
        </w:rPr>
        <w:t>”</w:t>
      </w:r>
      <w:r w:rsidR="00601FEA">
        <w:rPr>
          <w:rStyle w:val="FootnoteReference"/>
          <w:rFonts w:ascii="Georgia" w:hAnsi="Georgia"/>
          <w:sz w:val="24"/>
          <w:szCs w:val="24"/>
        </w:rPr>
        <w:footnoteReference w:id="6"/>
      </w:r>
      <w:r w:rsidR="004931AA">
        <w:rPr>
          <w:rFonts w:ascii="Georgia" w:hAnsi="Georgia"/>
          <w:sz w:val="24"/>
          <w:szCs w:val="24"/>
        </w:rPr>
        <w:t xml:space="preserve"> </w:t>
      </w:r>
      <w:r w:rsidR="000913C7">
        <w:rPr>
          <w:rFonts w:ascii="Georgia" w:hAnsi="Georgia"/>
          <w:sz w:val="24"/>
          <w:szCs w:val="24"/>
        </w:rPr>
        <w:t>It is in the public interest to disclose ownership of a public utility</w:t>
      </w:r>
      <w:r w:rsidR="000913C7" w:rsidRPr="000E33E9">
        <w:rPr>
          <w:rFonts w:ascii="Georgia" w:hAnsi="Georgia"/>
          <w:sz w:val="24"/>
          <w:szCs w:val="24"/>
        </w:rPr>
        <w:t>—</w:t>
      </w:r>
      <w:r w:rsidR="00DB330D" w:rsidRPr="000E33E9">
        <w:rPr>
          <w:rFonts w:ascii="Georgia" w:hAnsi="Georgia"/>
          <w:sz w:val="24"/>
          <w:szCs w:val="24"/>
        </w:rPr>
        <w:t xml:space="preserve">regardless of whether that ownership conveys full control or not. </w:t>
      </w:r>
      <w:r w:rsidR="006879D7" w:rsidRPr="000E33E9">
        <w:rPr>
          <w:rFonts w:ascii="Georgia" w:hAnsi="Georgia"/>
          <w:sz w:val="24"/>
          <w:szCs w:val="24"/>
        </w:rPr>
        <w:t>The</w:t>
      </w:r>
      <w:r w:rsidR="006879D7">
        <w:rPr>
          <w:rFonts w:ascii="Georgia" w:hAnsi="Georgia"/>
          <w:sz w:val="24"/>
          <w:szCs w:val="24"/>
        </w:rPr>
        <w:t xml:space="preserve"> names of all owners of Longview Power LLC must be disclosed in this docket.</w:t>
      </w:r>
    </w:p>
    <w:p w14:paraId="09CA46CB" w14:textId="300A80C9" w:rsidR="006879D7" w:rsidRDefault="006879D7" w:rsidP="000E312C">
      <w:pPr>
        <w:ind w:firstLine="720"/>
        <w:rPr>
          <w:rFonts w:ascii="Georgia" w:hAnsi="Georgia"/>
          <w:sz w:val="24"/>
          <w:szCs w:val="24"/>
        </w:rPr>
      </w:pPr>
    </w:p>
    <w:p w14:paraId="1DFB6AD9" w14:textId="513ED9C7" w:rsidR="006879D7" w:rsidRDefault="006879D7" w:rsidP="000E312C">
      <w:pPr>
        <w:ind w:firstLine="720"/>
        <w:rPr>
          <w:rFonts w:ascii="Georgia" w:hAnsi="Georgia"/>
          <w:sz w:val="24"/>
          <w:szCs w:val="24"/>
        </w:rPr>
      </w:pPr>
    </w:p>
    <w:p w14:paraId="7335840D" w14:textId="7700C613" w:rsidR="006879D7" w:rsidRDefault="006879D7" w:rsidP="000E312C">
      <w:pPr>
        <w:ind w:firstLine="720"/>
        <w:rPr>
          <w:rFonts w:ascii="Georgia" w:hAnsi="Georgia"/>
          <w:sz w:val="24"/>
          <w:szCs w:val="24"/>
        </w:rPr>
      </w:pPr>
      <w:r>
        <w:rPr>
          <w:rFonts w:ascii="Georgia" w:hAnsi="Georgia"/>
          <w:sz w:val="24"/>
          <w:szCs w:val="24"/>
        </w:rPr>
        <w:tab/>
      </w:r>
      <w:r>
        <w:rPr>
          <w:rFonts w:ascii="Georgia" w:hAnsi="Georgia"/>
          <w:sz w:val="24"/>
          <w:szCs w:val="24"/>
        </w:rPr>
        <w:tab/>
        <w:t>Respectfully submitted</w:t>
      </w:r>
    </w:p>
    <w:p w14:paraId="73BBC767" w14:textId="05DDB395" w:rsidR="006879D7" w:rsidRDefault="006879D7" w:rsidP="000E312C">
      <w:pPr>
        <w:ind w:firstLine="720"/>
        <w:rPr>
          <w:rFonts w:ascii="Georgia" w:hAnsi="Georgia"/>
          <w:sz w:val="24"/>
          <w:szCs w:val="24"/>
        </w:rPr>
      </w:pPr>
    </w:p>
    <w:p w14:paraId="253F03AB" w14:textId="61267E5C" w:rsidR="006879D7" w:rsidRDefault="006879D7" w:rsidP="000E312C">
      <w:pPr>
        <w:ind w:firstLine="720"/>
        <w:rPr>
          <w:rFonts w:ascii="Georgia" w:hAnsi="Georgia"/>
          <w:sz w:val="24"/>
          <w:szCs w:val="24"/>
        </w:rPr>
      </w:pPr>
      <w:r>
        <w:rPr>
          <w:rFonts w:ascii="Georgia" w:hAnsi="Georgia"/>
          <w:sz w:val="24"/>
          <w:szCs w:val="24"/>
        </w:rPr>
        <w:tab/>
      </w:r>
      <w:r>
        <w:rPr>
          <w:rFonts w:ascii="Georgia" w:hAnsi="Georgia"/>
          <w:sz w:val="24"/>
          <w:szCs w:val="24"/>
        </w:rPr>
        <w:tab/>
        <w:t>Tyson Slocum, Energy Program Director</w:t>
      </w:r>
    </w:p>
    <w:p w14:paraId="1CCA7D6B" w14:textId="7789EA32" w:rsidR="006879D7" w:rsidRDefault="006879D7" w:rsidP="000E312C">
      <w:pPr>
        <w:ind w:firstLine="720"/>
        <w:rPr>
          <w:rFonts w:ascii="Georgia" w:hAnsi="Georgia"/>
          <w:sz w:val="24"/>
          <w:szCs w:val="24"/>
        </w:rPr>
      </w:pPr>
      <w:r>
        <w:rPr>
          <w:rFonts w:ascii="Georgia" w:hAnsi="Georgia"/>
          <w:sz w:val="24"/>
          <w:szCs w:val="24"/>
        </w:rPr>
        <w:tab/>
      </w:r>
      <w:r>
        <w:rPr>
          <w:rFonts w:ascii="Georgia" w:hAnsi="Georgia"/>
          <w:sz w:val="24"/>
          <w:szCs w:val="24"/>
        </w:rPr>
        <w:tab/>
        <w:t>Public Citizen, Inc.</w:t>
      </w:r>
    </w:p>
    <w:p w14:paraId="00EA8371" w14:textId="3FCF1127" w:rsidR="006879D7" w:rsidRDefault="006879D7" w:rsidP="000E312C">
      <w:pPr>
        <w:ind w:firstLine="720"/>
        <w:rPr>
          <w:rFonts w:ascii="Georgia" w:hAnsi="Georgia"/>
          <w:sz w:val="24"/>
          <w:szCs w:val="24"/>
        </w:rPr>
      </w:pPr>
      <w:r>
        <w:rPr>
          <w:rFonts w:ascii="Georgia" w:hAnsi="Georgia"/>
          <w:sz w:val="24"/>
          <w:szCs w:val="24"/>
        </w:rPr>
        <w:tab/>
      </w:r>
      <w:r>
        <w:rPr>
          <w:rFonts w:ascii="Georgia" w:hAnsi="Georgia"/>
          <w:sz w:val="24"/>
          <w:szCs w:val="24"/>
        </w:rPr>
        <w:tab/>
        <w:t>215 Pennsylvania Ave SE</w:t>
      </w:r>
    </w:p>
    <w:p w14:paraId="05D1E0BC" w14:textId="038FEEAB" w:rsidR="006879D7" w:rsidRDefault="006879D7" w:rsidP="000E312C">
      <w:pPr>
        <w:ind w:firstLine="720"/>
        <w:rPr>
          <w:rFonts w:ascii="Georgia" w:hAnsi="Georgia"/>
          <w:sz w:val="24"/>
          <w:szCs w:val="24"/>
        </w:rPr>
      </w:pPr>
      <w:r>
        <w:rPr>
          <w:rFonts w:ascii="Georgia" w:hAnsi="Georgia"/>
          <w:sz w:val="24"/>
          <w:szCs w:val="24"/>
        </w:rPr>
        <w:tab/>
      </w:r>
      <w:r>
        <w:rPr>
          <w:rFonts w:ascii="Georgia" w:hAnsi="Georgia"/>
          <w:sz w:val="24"/>
          <w:szCs w:val="24"/>
        </w:rPr>
        <w:tab/>
        <w:t>Washington, DC  20003</w:t>
      </w:r>
    </w:p>
    <w:p w14:paraId="43C3BEA8" w14:textId="05468B78" w:rsidR="006879D7" w:rsidRDefault="006879D7" w:rsidP="000E312C">
      <w:pPr>
        <w:ind w:firstLine="720"/>
        <w:rPr>
          <w:rFonts w:ascii="Georgia" w:hAnsi="Georgia"/>
          <w:sz w:val="24"/>
          <w:szCs w:val="24"/>
        </w:rPr>
      </w:pPr>
      <w:r>
        <w:rPr>
          <w:rFonts w:ascii="Georgia" w:hAnsi="Georgia"/>
          <w:sz w:val="24"/>
          <w:szCs w:val="24"/>
        </w:rPr>
        <w:tab/>
      </w:r>
      <w:r>
        <w:rPr>
          <w:rFonts w:ascii="Georgia" w:hAnsi="Georgia"/>
          <w:sz w:val="24"/>
          <w:szCs w:val="24"/>
        </w:rPr>
        <w:tab/>
        <w:t>(202) 454-5191</w:t>
      </w:r>
    </w:p>
    <w:p w14:paraId="7E613928" w14:textId="1C0EB625" w:rsidR="006879D7" w:rsidRPr="00B033EA" w:rsidRDefault="006879D7" w:rsidP="000E312C">
      <w:pPr>
        <w:ind w:firstLine="720"/>
        <w:rPr>
          <w:rFonts w:ascii="Georgia" w:hAnsi="Georgia"/>
          <w:sz w:val="24"/>
          <w:szCs w:val="24"/>
        </w:rPr>
      </w:pPr>
      <w:r>
        <w:rPr>
          <w:rFonts w:ascii="Georgia" w:hAnsi="Georgia"/>
          <w:sz w:val="24"/>
          <w:szCs w:val="24"/>
        </w:rPr>
        <w:tab/>
      </w:r>
      <w:r>
        <w:rPr>
          <w:rFonts w:ascii="Georgia" w:hAnsi="Georgia"/>
          <w:sz w:val="24"/>
          <w:szCs w:val="24"/>
        </w:rPr>
        <w:tab/>
        <w:t>tslocum@citizen.org</w:t>
      </w:r>
    </w:p>
    <w:sectPr w:rsidR="006879D7" w:rsidRPr="00B033EA" w:rsidSect="006743EF">
      <w:headerReference w:type="default"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1541A" w14:textId="77777777" w:rsidR="005C3EA7" w:rsidRDefault="005C3EA7" w:rsidP="008A4BEB">
      <w:r>
        <w:separator/>
      </w:r>
    </w:p>
  </w:endnote>
  <w:endnote w:type="continuationSeparator" w:id="0">
    <w:p w14:paraId="5E3DD4D9" w14:textId="77777777" w:rsidR="005C3EA7" w:rsidRDefault="005C3EA7" w:rsidP="008A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7471291"/>
      <w:docPartObj>
        <w:docPartGallery w:val="Page Numbers (Bottom of Page)"/>
        <w:docPartUnique/>
      </w:docPartObj>
    </w:sdtPr>
    <w:sdtEndPr>
      <w:rPr>
        <w:color w:val="7F7F7F" w:themeColor="background1" w:themeShade="7F"/>
        <w:spacing w:val="60"/>
      </w:rPr>
    </w:sdtEndPr>
    <w:sdtContent>
      <w:p w14:paraId="166CDA0C" w14:textId="342476E2" w:rsidR="006743EF" w:rsidRDefault="006743EF">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C35ACB5" w14:textId="77777777" w:rsidR="006743EF" w:rsidRDefault="00674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4A49C" w14:textId="77777777" w:rsidR="005C3EA7" w:rsidRDefault="005C3EA7" w:rsidP="008A4BEB">
      <w:r>
        <w:separator/>
      </w:r>
    </w:p>
  </w:footnote>
  <w:footnote w:type="continuationSeparator" w:id="0">
    <w:p w14:paraId="10C48FCA" w14:textId="77777777" w:rsidR="005C3EA7" w:rsidRDefault="005C3EA7" w:rsidP="008A4BEB">
      <w:r>
        <w:continuationSeparator/>
      </w:r>
    </w:p>
  </w:footnote>
  <w:footnote w:id="1">
    <w:p w14:paraId="32944673" w14:textId="77777777" w:rsidR="008A4BEB" w:rsidRPr="00820DDF" w:rsidRDefault="008A4BEB" w:rsidP="008A4BEB">
      <w:pPr>
        <w:pStyle w:val="FootnoteText"/>
        <w:rPr>
          <w:rFonts w:ascii="Georgia" w:hAnsi="Georgia"/>
        </w:rPr>
      </w:pPr>
      <w:r>
        <w:rPr>
          <w:rStyle w:val="FootnoteReference"/>
        </w:rPr>
        <w:footnoteRef/>
      </w:r>
      <w:r>
        <w:t xml:space="preserve"> </w:t>
      </w:r>
      <w:hyperlink r:id="rId1" w:history="1">
        <w:r w:rsidRPr="00820DDF">
          <w:rPr>
            <w:rStyle w:val="Hyperlink"/>
            <w:rFonts w:ascii="Georgia" w:hAnsi="Georgia"/>
            <w:color w:val="auto"/>
            <w:u w:val="none"/>
          </w:rPr>
          <w:t>www.citizen.org/about/annual-report/</w:t>
        </w:r>
      </w:hyperlink>
    </w:p>
  </w:footnote>
  <w:footnote w:id="2">
    <w:p w14:paraId="701BBCD7" w14:textId="6407951E" w:rsidR="0047719B" w:rsidRDefault="0047719B">
      <w:pPr>
        <w:pStyle w:val="FootnoteText"/>
      </w:pPr>
      <w:r>
        <w:rPr>
          <w:rStyle w:val="FootnoteReference"/>
        </w:rPr>
        <w:footnoteRef/>
      </w:r>
      <w:r>
        <w:t xml:space="preserve"> </w:t>
      </w:r>
      <w:r w:rsidRPr="0047719B">
        <w:rPr>
          <w:rFonts w:ascii="Georgia" w:hAnsi="Georgia"/>
        </w:rPr>
        <w:t xml:space="preserve">Fotios Tsarouhis, </w:t>
      </w:r>
      <w:r>
        <w:rPr>
          <w:rFonts w:ascii="Georgia" w:hAnsi="Georgia"/>
        </w:rPr>
        <w:t>“</w:t>
      </w:r>
      <w:r w:rsidRPr="0047719B">
        <w:rPr>
          <w:rFonts w:ascii="Georgia" w:hAnsi="Georgia"/>
        </w:rPr>
        <w:t>Longview Power sees quick bankruptcy exit,</w:t>
      </w:r>
      <w:r>
        <w:rPr>
          <w:rFonts w:ascii="Georgia" w:hAnsi="Georgia"/>
        </w:rPr>
        <w:t>”</w:t>
      </w:r>
      <w:r w:rsidRPr="0047719B">
        <w:rPr>
          <w:rFonts w:ascii="Georgia" w:hAnsi="Georgia"/>
        </w:rPr>
        <w:t xml:space="preserve"> </w:t>
      </w:r>
      <w:r w:rsidRPr="0047719B">
        <w:rPr>
          <w:rFonts w:ascii="Georgia" w:hAnsi="Georgia"/>
          <w:i/>
          <w:iCs/>
        </w:rPr>
        <w:t>SNL Generation Markets Week</w:t>
      </w:r>
      <w:r w:rsidRPr="0047719B">
        <w:rPr>
          <w:rFonts w:ascii="Georgia" w:hAnsi="Georgia"/>
        </w:rPr>
        <w:t>, April 28, 2020.</w:t>
      </w:r>
    </w:p>
  </w:footnote>
  <w:footnote w:id="3">
    <w:p w14:paraId="3BF88376" w14:textId="61EDE88C" w:rsidR="00CC7063" w:rsidRDefault="00CC7063">
      <w:pPr>
        <w:pStyle w:val="FootnoteText"/>
      </w:pPr>
      <w:r>
        <w:rPr>
          <w:rStyle w:val="FootnoteReference"/>
        </w:rPr>
        <w:footnoteRef/>
      </w:r>
      <w:r>
        <w:t xml:space="preserve"> </w:t>
      </w:r>
      <w:r w:rsidRPr="00CC7063">
        <w:rPr>
          <w:rFonts w:ascii="Georgia" w:hAnsi="Georgia"/>
        </w:rPr>
        <w:t>Application, at page 5.</w:t>
      </w:r>
    </w:p>
  </w:footnote>
  <w:footnote w:id="4">
    <w:p w14:paraId="4B93B9E3" w14:textId="0F2F6FB4" w:rsidR="001D6C6F" w:rsidRDefault="001D6C6F">
      <w:pPr>
        <w:pStyle w:val="FootnoteText"/>
      </w:pPr>
      <w:r>
        <w:rPr>
          <w:rStyle w:val="FootnoteReference"/>
        </w:rPr>
        <w:footnoteRef/>
      </w:r>
      <w:r>
        <w:t xml:space="preserve"> </w:t>
      </w:r>
      <w:r w:rsidRPr="001D6C6F">
        <w:rPr>
          <w:rFonts w:ascii="Georgia" w:hAnsi="Georgia"/>
        </w:rPr>
        <w:t xml:space="preserve">Ryan Maye Handy, </w:t>
      </w:r>
      <w:r>
        <w:rPr>
          <w:rFonts w:ascii="Georgia" w:hAnsi="Georgia"/>
        </w:rPr>
        <w:t>“</w:t>
      </w:r>
      <w:r w:rsidRPr="001D6C6F">
        <w:rPr>
          <w:rFonts w:ascii="Georgia" w:hAnsi="Georgia"/>
        </w:rPr>
        <w:t>Hedge funds get spots on NRG board,</w:t>
      </w:r>
      <w:r>
        <w:rPr>
          <w:rFonts w:ascii="Georgia" w:hAnsi="Georgia"/>
        </w:rPr>
        <w:t>”</w:t>
      </w:r>
      <w:r w:rsidRPr="001D6C6F">
        <w:rPr>
          <w:rFonts w:ascii="Georgia" w:hAnsi="Georgia"/>
        </w:rPr>
        <w:t xml:space="preserve"> </w:t>
      </w:r>
      <w:r w:rsidRPr="001D6C6F">
        <w:rPr>
          <w:rFonts w:ascii="Georgia" w:hAnsi="Georgia"/>
          <w:i/>
          <w:iCs/>
        </w:rPr>
        <w:t>Houston Chronicle</w:t>
      </w:r>
      <w:r w:rsidRPr="001D6C6F">
        <w:rPr>
          <w:rFonts w:ascii="Georgia" w:hAnsi="Georgia"/>
        </w:rPr>
        <w:t xml:space="preserve">, </w:t>
      </w:r>
      <w:r w:rsidRPr="001D6C6F">
        <w:rPr>
          <w:rFonts w:ascii="Georgia" w:hAnsi="Georgia"/>
        </w:rPr>
        <w:t>Feb</w:t>
      </w:r>
      <w:r w:rsidR="00435384">
        <w:rPr>
          <w:rFonts w:ascii="Georgia" w:hAnsi="Georgia"/>
        </w:rPr>
        <w:t>.</w:t>
      </w:r>
      <w:r w:rsidRPr="001D6C6F">
        <w:rPr>
          <w:rFonts w:ascii="Georgia" w:hAnsi="Georgia"/>
        </w:rPr>
        <w:t xml:space="preserve"> 13, 2017.</w:t>
      </w:r>
    </w:p>
  </w:footnote>
  <w:footnote w:id="5">
    <w:p w14:paraId="2811565D" w14:textId="3829EDEE" w:rsidR="00E12090" w:rsidRDefault="00E12090">
      <w:pPr>
        <w:pStyle w:val="FootnoteText"/>
      </w:pPr>
      <w:r>
        <w:rPr>
          <w:rStyle w:val="FootnoteReference"/>
        </w:rPr>
        <w:footnoteRef/>
      </w:r>
      <w:r>
        <w:t xml:space="preserve"> </w:t>
      </w:r>
      <w:r w:rsidRPr="00E12090">
        <w:rPr>
          <w:rFonts w:ascii="Georgia" w:hAnsi="Georgia"/>
        </w:rPr>
        <w:t>18 CFR § 35.36(a)(9)(iii)</w:t>
      </w:r>
      <w:r w:rsidRPr="00E12090">
        <w:rPr>
          <w:rFonts w:ascii="Georgia" w:hAnsi="Georgia"/>
        </w:rPr>
        <w:t>.</w:t>
      </w:r>
    </w:p>
  </w:footnote>
  <w:footnote w:id="6">
    <w:p w14:paraId="20C69D8F" w14:textId="2ADBCCC2" w:rsidR="00601FEA" w:rsidRDefault="00601FEA">
      <w:pPr>
        <w:pStyle w:val="FootnoteText"/>
      </w:pPr>
      <w:r>
        <w:rPr>
          <w:rStyle w:val="FootnoteReference"/>
        </w:rPr>
        <w:footnoteRef/>
      </w:r>
      <w:r>
        <w:t xml:space="preserve"> </w:t>
      </w:r>
      <w:r w:rsidRPr="004931AA">
        <w:rPr>
          <w:rFonts w:ascii="Georgia" w:hAnsi="Georgia"/>
        </w:rPr>
        <w:t>16 U.S.C. §</w:t>
      </w:r>
      <w:r w:rsidRPr="004931AA">
        <w:rPr>
          <w:rFonts w:ascii="Times New Roman" w:hAnsi="Times New Roman" w:cs="Times New Roman"/>
        </w:rPr>
        <w:t> </w:t>
      </w:r>
      <w:r w:rsidRPr="004931AA">
        <w:rPr>
          <w:rFonts w:ascii="Georgia" w:hAnsi="Georgia"/>
        </w:rPr>
        <w:t>824(a).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B29A4" w14:textId="60EA0E72" w:rsidR="008E5B39" w:rsidRPr="008E5B39" w:rsidRDefault="008E5B39" w:rsidP="008E5B39">
    <w:pPr>
      <w:pStyle w:val="Header"/>
      <w:jc w:val="center"/>
      <w:rPr>
        <w:rFonts w:ascii="Georgia" w:hAnsi="Georgia"/>
        <w:i/>
        <w:iCs/>
      </w:rPr>
    </w:pPr>
    <w:r w:rsidRPr="008E5B39">
      <w:rPr>
        <w:rFonts w:ascii="Georgia" w:hAnsi="Georgia"/>
        <w:i/>
        <w:iCs/>
      </w:rPr>
      <w:t xml:space="preserve">Public Citizen Protest • Docket No. EC20-70 • June </w:t>
    </w:r>
    <w:r w:rsidR="004015E8">
      <w:rPr>
        <w:rFonts w:ascii="Georgia" w:hAnsi="Georgia"/>
        <w:i/>
        <w:iCs/>
      </w:rPr>
      <w:t>19</w:t>
    </w:r>
    <w:r w:rsidRPr="008E5B39">
      <w:rPr>
        <w:rFonts w:ascii="Georgia" w:hAnsi="Georgia"/>
        <w:i/>
        <w:iCs/>
      </w:rPr>
      <w:t>, 2020</w:t>
    </w:r>
  </w:p>
  <w:p w14:paraId="29058CAA" w14:textId="77777777" w:rsidR="008E5B39" w:rsidRDefault="008E5B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E13"/>
    <w:rsid w:val="00001299"/>
    <w:rsid w:val="000524F4"/>
    <w:rsid w:val="000739E4"/>
    <w:rsid w:val="000913C7"/>
    <w:rsid w:val="000A7D5C"/>
    <w:rsid w:val="000B5AF0"/>
    <w:rsid w:val="000E15EC"/>
    <w:rsid w:val="000E312C"/>
    <w:rsid w:val="000E33E9"/>
    <w:rsid w:val="000E69EF"/>
    <w:rsid w:val="0012681E"/>
    <w:rsid w:val="0014020A"/>
    <w:rsid w:val="001672CC"/>
    <w:rsid w:val="001A6E13"/>
    <w:rsid w:val="001D4B89"/>
    <w:rsid w:val="001D6C6F"/>
    <w:rsid w:val="001E68F3"/>
    <w:rsid w:val="002065B7"/>
    <w:rsid w:val="00231762"/>
    <w:rsid w:val="00296909"/>
    <w:rsid w:val="002C3670"/>
    <w:rsid w:val="002C411C"/>
    <w:rsid w:val="002F4FC7"/>
    <w:rsid w:val="002F553A"/>
    <w:rsid w:val="00311E89"/>
    <w:rsid w:val="003738A1"/>
    <w:rsid w:val="00374238"/>
    <w:rsid w:val="003945BF"/>
    <w:rsid w:val="00394D7F"/>
    <w:rsid w:val="003A33A7"/>
    <w:rsid w:val="003F1858"/>
    <w:rsid w:val="004015E8"/>
    <w:rsid w:val="00435384"/>
    <w:rsid w:val="004674BC"/>
    <w:rsid w:val="00470114"/>
    <w:rsid w:val="00475F74"/>
    <w:rsid w:val="0047719B"/>
    <w:rsid w:val="004931AA"/>
    <w:rsid w:val="004A0350"/>
    <w:rsid w:val="005308D8"/>
    <w:rsid w:val="00545599"/>
    <w:rsid w:val="00576A3D"/>
    <w:rsid w:val="00593F0E"/>
    <w:rsid w:val="005A7290"/>
    <w:rsid w:val="005B7D26"/>
    <w:rsid w:val="005C3EA7"/>
    <w:rsid w:val="005E0FF9"/>
    <w:rsid w:val="00601FEA"/>
    <w:rsid w:val="00640BC0"/>
    <w:rsid w:val="0064161A"/>
    <w:rsid w:val="00662EDA"/>
    <w:rsid w:val="00672422"/>
    <w:rsid w:val="006743EF"/>
    <w:rsid w:val="00676E34"/>
    <w:rsid w:val="006879D7"/>
    <w:rsid w:val="00691AFD"/>
    <w:rsid w:val="006A1B44"/>
    <w:rsid w:val="006C054E"/>
    <w:rsid w:val="00703978"/>
    <w:rsid w:val="00773E31"/>
    <w:rsid w:val="007A3D05"/>
    <w:rsid w:val="007F50C5"/>
    <w:rsid w:val="007F50CB"/>
    <w:rsid w:val="007F6129"/>
    <w:rsid w:val="00807458"/>
    <w:rsid w:val="00822AE5"/>
    <w:rsid w:val="00824D27"/>
    <w:rsid w:val="00836342"/>
    <w:rsid w:val="00851FF2"/>
    <w:rsid w:val="00877D53"/>
    <w:rsid w:val="008A4BEB"/>
    <w:rsid w:val="008B7645"/>
    <w:rsid w:val="008C0513"/>
    <w:rsid w:val="008C7CD5"/>
    <w:rsid w:val="008E5B39"/>
    <w:rsid w:val="00956129"/>
    <w:rsid w:val="00971468"/>
    <w:rsid w:val="009B0A05"/>
    <w:rsid w:val="009B7A27"/>
    <w:rsid w:val="00A21E13"/>
    <w:rsid w:val="00A804C3"/>
    <w:rsid w:val="00A8477F"/>
    <w:rsid w:val="00AB752A"/>
    <w:rsid w:val="00AF1D81"/>
    <w:rsid w:val="00AF57C1"/>
    <w:rsid w:val="00B033EA"/>
    <w:rsid w:val="00B37020"/>
    <w:rsid w:val="00B42C48"/>
    <w:rsid w:val="00B6111C"/>
    <w:rsid w:val="00B961B9"/>
    <w:rsid w:val="00BB377F"/>
    <w:rsid w:val="00BE488B"/>
    <w:rsid w:val="00BF10BD"/>
    <w:rsid w:val="00C004A5"/>
    <w:rsid w:val="00C01152"/>
    <w:rsid w:val="00C03ED7"/>
    <w:rsid w:val="00C160EC"/>
    <w:rsid w:val="00C31DFB"/>
    <w:rsid w:val="00C77CB3"/>
    <w:rsid w:val="00CC35E7"/>
    <w:rsid w:val="00CC7063"/>
    <w:rsid w:val="00CD4F71"/>
    <w:rsid w:val="00D173DB"/>
    <w:rsid w:val="00DB330D"/>
    <w:rsid w:val="00DC36D2"/>
    <w:rsid w:val="00DE01DB"/>
    <w:rsid w:val="00E12090"/>
    <w:rsid w:val="00E6304E"/>
    <w:rsid w:val="00EB099F"/>
    <w:rsid w:val="00EF363E"/>
    <w:rsid w:val="00EF6984"/>
    <w:rsid w:val="00F00474"/>
    <w:rsid w:val="00F4458A"/>
    <w:rsid w:val="00F6195B"/>
    <w:rsid w:val="00FC31CC"/>
    <w:rsid w:val="00FF6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B2414"/>
  <w15:chartTrackingRefBased/>
  <w15:docId w15:val="{8E4FA999-101A-406C-898A-1EF1A6AE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rsid w:val="001E68F3"/>
    <w:pPr>
      <w:keepLines/>
      <w:widowControl w:val="0"/>
    </w:pPr>
  </w:style>
  <w:style w:type="character" w:customStyle="1" w:styleId="FootnoteTextChar">
    <w:name w:val="Footnote Text Char"/>
    <w:basedOn w:val="DefaultParagraphFont"/>
    <w:link w:val="FootnoteText"/>
    <w:uiPriority w:val="99"/>
    <w:rsid w:val="001E68F3"/>
  </w:style>
  <w:style w:type="character" w:styleId="Hyperlink">
    <w:name w:val="Hyperlink"/>
    <w:basedOn w:val="DefaultParagraphFont"/>
    <w:uiPriority w:val="99"/>
    <w:unhideWhenUsed/>
    <w:rsid w:val="00A21E13"/>
    <w:rPr>
      <w:color w:val="0563C1" w:themeColor="hyperlink"/>
      <w:u w:val="single"/>
    </w:rPr>
  </w:style>
  <w:style w:type="character" w:styleId="UnresolvedMention">
    <w:name w:val="Unresolved Mention"/>
    <w:basedOn w:val="DefaultParagraphFont"/>
    <w:uiPriority w:val="99"/>
    <w:semiHidden/>
    <w:unhideWhenUsed/>
    <w:rsid w:val="00A21E13"/>
    <w:rPr>
      <w:color w:val="605E5C"/>
      <w:shd w:val="clear" w:color="auto" w:fill="E1DFDD"/>
    </w:rPr>
  </w:style>
  <w:style w:type="character" w:styleId="FootnoteReference">
    <w:name w:val="footnote reference"/>
    <w:basedOn w:val="DefaultParagraphFont"/>
    <w:uiPriority w:val="99"/>
    <w:semiHidden/>
    <w:unhideWhenUsed/>
    <w:rsid w:val="008A4BEB"/>
    <w:rPr>
      <w:vertAlign w:val="superscript"/>
    </w:rPr>
  </w:style>
  <w:style w:type="paragraph" w:styleId="Header">
    <w:name w:val="header"/>
    <w:basedOn w:val="Normal"/>
    <w:link w:val="HeaderChar"/>
    <w:uiPriority w:val="99"/>
    <w:unhideWhenUsed/>
    <w:rsid w:val="006743EF"/>
    <w:pPr>
      <w:tabs>
        <w:tab w:val="center" w:pos="4680"/>
        <w:tab w:val="right" w:pos="9360"/>
      </w:tabs>
    </w:pPr>
  </w:style>
  <w:style w:type="character" w:customStyle="1" w:styleId="HeaderChar">
    <w:name w:val="Header Char"/>
    <w:basedOn w:val="DefaultParagraphFont"/>
    <w:link w:val="Header"/>
    <w:uiPriority w:val="99"/>
    <w:rsid w:val="006743EF"/>
  </w:style>
  <w:style w:type="paragraph" w:styleId="Footer">
    <w:name w:val="footer"/>
    <w:basedOn w:val="Normal"/>
    <w:link w:val="FooterChar"/>
    <w:uiPriority w:val="99"/>
    <w:unhideWhenUsed/>
    <w:rsid w:val="006743EF"/>
    <w:pPr>
      <w:tabs>
        <w:tab w:val="center" w:pos="4680"/>
        <w:tab w:val="right" w:pos="9360"/>
      </w:tabs>
    </w:pPr>
  </w:style>
  <w:style w:type="character" w:customStyle="1" w:styleId="FooterChar">
    <w:name w:val="Footer Char"/>
    <w:basedOn w:val="DefaultParagraphFont"/>
    <w:link w:val="Footer"/>
    <w:uiPriority w:val="99"/>
    <w:rsid w:val="00674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itizen.org/about/annual-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FAD41-C59D-4464-A428-E391FB717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3</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Tyson Slocum</dc:creator>
  <cp:keywords/>
  <dc:description/>
  <cp:lastModifiedBy>Tyson Slocum</cp:lastModifiedBy>
  <cp:revision>108</cp:revision>
  <dcterms:created xsi:type="dcterms:W3CDTF">2020-06-06T11:34:00Z</dcterms:created>
  <dcterms:modified xsi:type="dcterms:W3CDTF">2020-06-19T17:57:00Z</dcterms:modified>
</cp:coreProperties>
</file>