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B898" w14:textId="0014A56C" w:rsidR="00AC343E" w:rsidRPr="0056400F" w:rsidRDefault="0056400F" w:rsidP="0056400F">
      <w:pPr>
        <w:jc w:val="center"/>
        <w:rPr>
          <w:rFonts w:ascii="Georgia" w:hAnsi="Georgia"/>
          <w:sz w:val="24"/>
          <w:szCs w:val="24"/>
        </w:rPr>
      </w:pPr>
      <w:r w:rsidRPr="0056400F">
        <w:rPr>
          <w:rFonts w:ascii="Georgia" w:hAnsi="Georgia"/>
          <w:sz w:val="24"/>
          <w:szCs w:val="24"/>
        </w:rPr>
        <w:t>UNITED STATES OF AMERICA</w:t>
      </w:r>
    </w:p>
    <w:p w14:paraId="331AD699" w14:textId="5584C169" w:rsidR="0056400F" w:rsidRPr="0056400F" w:rsidRDefault="0056400F" w:rsidP="0056400F">
      <w:pPr>
        <w:jc w:val="center"/>
        <w:rPr>
          <w:rFonts w:ascii="Georgia" w:hAnsi="Georgia"/>
          <w:sz w:val="24"/>
          <w:szCs w:val="24"/>
        </w:rPr>
      </w:pPr>
      <w:r w:rsidRPr="0056400F">
        <w:rPr>
          <w:rFonts w:ascii="Georgia" w:hAnsi="Georgia"/>
          <w:sz w:val="24"/>
          <w:szCs w:val="24"/>
        </w:rPr>
        <w:t>BEFORE THE</w:t>
      </w:r>
    </w:p>
    <w:p w14:paraId="60FCAF63" w14:textId="6C788B0C" w:rsidR="0056400F" w:rsidRPr="0056400F" w:rsidRDefault="0056400F" w:rsidP="0056400F">
      <w:pPr>
        <w:jc w:val="center"/>
        <w:rPr>
          <w:rFonts w:ascii="Georgia" w:hAnsi="Georgia"/>
          <w:sz w:val="24"/>
          <w:szCs w:val="24"/>
        </w:rPr>
      </w:pPr>
      <w:r w:rsidRPr="0056400F">
        <w:rPr>
          <w:rFonts w:ascii="Georgia" w:hAnsi="Georgia"/>
          <w:sz w:val="24"/>
          <w:szCs w:val="24"/>
        </w:rPr>
        <w:t>FEDERAL ENERGY REGULATORY COMMISSION</w:t>
      </w:r>
    </w:p>
    <w:p w14:paraId="677B4A96" w14:textId="7FE946D0" w:rsidR="0056400F" w:rsidRPr="0056400F" w:rsidRDefault="0056400F">
      <w:pPr>
        <w:rPr>
          <w:rFonts w:ascii="Georgia" w:hAnsi="Georgia"/>
          <w:sz w:val="24"/>
          <w:szCs w:val="24"/>
        </w:rPr>
      </w:pPr>
    </w:p>
    <w:p w14:paraId="334E901A" w14:textId="6BCE6089" w:rsidR="0056400F" w:rsidRDefault="0056400F">
      <w:pPr>
        <w:rPr>
          <w:rFonts w:ascii="Georgia" w:hAnsi="Georgia"/>
          <w:sz w:val="24"/>
          <w:szCs w:val="24"/>
        </w:rPr>
      </w:pPr>
      <w:r w:rsidRPr="0056400F">
        <w:rPr>
          <w:rFonts w:ascii="Georgia" w:hAnsi="Georgia"/>
          <w:sz w:val="24"/>
          <w:szCs w:val="24"/>
        </w:rPr>
        <w:t>Joint Federal-State Task Force on Electric Transmission</w:t>
      </w:r>
      <w:r w:rsidRPr="0056400F">
        <w:rPr>
          <w:rFonts w:ascii="Georgia" w:hAnsi="Georgia"/>
          <w:sz w:val="24"/>
          <w:szCs w:val="24"/>
        </w:rPr>
        <w:tab/>
      </w:r>
      <w:r w:rsidRPr="0056400F">
        <w:rPr>
          <w:rFonts w:ascii="Georgia" w:hAnsi="Georgia"/>
          <w:sz w:val="24"/>
          <w:szCs w:val="24"/>
        </w:rPr>
        <w:tab/>
      </w:r>
      <w:r w:rsidRPr="0056400F">
        <w:rPr>
          <w:rFonts w:ascii="Georgia" w:hAnsi="Georgia"/>
          <w:sz w:val="24"/>
          <w:szCs w:val="24"/>
        </w:rPr>
        <w:t>Docket No.</w:t>
      </w:r>
      <w:r w:rsidRPr="0056400F">
        <w:rPr>
          <w:rFonts w:ascii="Georgia" w:hAnsi="Georgia"/>
          <w:sz w:val="24"/>
          <w:szCs w:val="24"/>
        </w:rPr>
        <w:t xml:space="preserve"> </w:t>
      </w:r>
      <w:r w:rsidRPr="0056400F">
        <w:rPr>
          <w:rFonts w:ascii="Georgia" w:hAnsi="Georgia"/>
          <w:sz w:val="24"/>
          <w:szCs w:val="24"/>
        </w:rPr>
        <w:t>AD21-15</w:t>
      </w:r>
    </w:p>
    <w:p w14:paraId="675A46B4" w14:textId="0D5746A1" w:rsidR="0056400F" w:rsidRDefault="0056400F">
      <w:pPr>
        <w:rPr>
          <w:rFonts w:ascii="Georgia" w:hAnsi="Georgia"/>
          <w:sz w:val="24"/>
          <w:szCs w:val="24"/>
        </w:rPr>
      </w:pPr>
    </w:p>
    <w:p w14:paraId="3AE52B25" w14:textId="77777777" w:rsidR="00F37498" w:rsidRDefault="00F37498" w:rsidP="00F37498">
      <w:pPr>
        <w:jc w:val="center"/>
        <w:rPr>
          <w:rFonts w:ascii="Georgia" w:hAnsi="Georgia"/>
          <w:b/>
          <w:bCs/>
          <w:sz w:val="24"/>
          <w:szCs w:val="24"/>
        </w:rPr>
      </w:pPr>
    </w:p>
    <w:p w14:paraId="683D3CCB" w14:textId="4A911526" w:rsidR="0056400F" w:rsidRPr="00F37498" w:rsidRDefault="0056400F" w:rsidP="00F37498">
      <w:pPr>
        <w:jc w:val="center"/>
        <w:rPr>
          <w:rFonts w:ascii="Georgia" w:hAnsi="Georgia"/>
          <w:b/>
          <w:bCs/>
          <w:sz w:val="24"/>
          <w:szCs w:val="24"/>
        </w:rPr>
      </w:pPr>
      <w:r w:rsidRPr="00F37498">
        <w:rPr>
          <w:rFonts w:ascii="Georgia" w:hAnsi="Georgia"/>
          <w:b/>
          <w:bCs/>
          <w:sz w:val="24"/>
          <w:szCs w:val="24"/>
        </w:rPr>
        <w:t>Comments of Public Citizen, Inc.</w:t>
      </w:r>
    </w:p>
    <w:p w14:paraId="73B5ACBC" w14:textId="1BB096E5" w:rsidR="0056400F" w:rsidRDefault="0056400F">
      <w:pPr>
        <w:rPr>
          <w:rFonts w:ascii="Georgia" w:hAnsi="Georgia"/>
          <w:sz w:val="24"/>
          <w:szCs w:val="24"/>
        </w:rPr>
      </w:pPr>
    </w:p>
    <w:p w14:paraId="1284BDFD" w14:textId="4FBC776C" w:rsidR="00670081" w:rsidRDefault="003172F7" w:rsidP="00C41CF4">
      <w:pPr>
        <w:spacing w:line="360" w:lineRule="auto"/>
        <w:ind w:firstLine="360"/>
        <w:rPr>
          <w:rFonts w:ascii="Georgia" w:hAnsi="Georgia"/>
          <w:sz w:val="24"/>
          <w:szCs w:val="24"/>
        </w:rPr>
      </w:pPr>
      <w:r w:rsidRPr="00F26B1A">
        <w:rPr>
          <w:rFonts w:ascii="Georgia" w:hAnsi="Georgia"/>
          <w:sz w:val="24"/>
          <w:szCs w:val="24"/>
        </w:rPr>
        <w:t>The Commission invited comments</w:t>
      </w:r>
      <w:r w:rsidR="000372F7">
        <w:rPr>
          <w:rStyle w:val="FootnoteReference"/>
          <w:rFonts w:ascii="Georgia" w:hAnsi="Georgia"/>
          <w:sz w:val="24"/>
          <w:szCs w:val="24"/>
        </w:rPr>
        <w:footnoteReference w:id="1"/>
      </w:r>
      <w:r w:rsidRPr="00F26B1A">
        <w:rPr>
          <w:rFonts w:ascii="Georgia" w:hAnsi="Georgia"/>
          <w:sz w:val="24"/>
          <w:szCs w:val="24"/>
        </w:rPr>
        <w:t xml:space="preserve"> on</w:t>
      </w:r>
      <w:r w:rsidR="00670081">
        <w:rPr>
          <w:rFonts w:ascii="Georgia" w:hAnsi="Georgia"/>
          <w:sz w:val="24"/>
          <w:szCs w:val="24"/>
        </w:rPr>
        <w:t xml:space="preserve"> ways to improve state and stakeholder involvement in transmission planning, including:</w:t>
      </w:r>
    </w:p>
    <w:p w14:paraId="05E43D40" w14:textId="77777777" w:rsidR="00670081" w:rsidRDefault="00670081" w:rsidP="00670081">
      <w:pPr>
        <w:rPr>
          <w:rFonts w:ascii="Georgia" w:hAnsi="Georgia"/>
          <w:sz w:val="24"/>
          <w:szCs w:val="24"/>
        </w:rPr>
      </w:pPr>
    </w:p>
    <w:p w14:paraId="7CB9C370" w14:textId="77777777" w:rsidR="00670081" w:rsidRDefault="00670081" w:rsidP="00670081">
      <w:pPr>
        <w:pStyle w:val="ListParagraph"/>
        <w:numPr>
          <w:ilvl w:val="0"/>
          <w:numId w:val="1"/>
        </w:numPr>
        <w:rPr>
          <w:rFonts w:ascii="Georgia" w:hAnsi="Georgia"/>
          <w:sz w:val="24"/>
          <w:szCs w:val="24"/>
        </w:rPr>
      </w:pPr>
      <w:r>
        <w:rPr>
          <w:rFonts w:ascii="Georgia" w:hAnsi="Georgia"/>
          <w:sz w:val="24"/>
          <w:szCs w:val="24"/>
        </w:rPr>
        <w:t>W</w:t>
      </w:r>
      <w:r w:rsidRPr="00670081">
        <w:rPr>
          <w:rFonts w:ascii="Georgia" w:hAnsi="Georgia"/>
          <w:sz w:val="24"/>
          <w:szCs w:val="24"/>
        </w:rPr>
        <w:t>hether there is “</w:t>
      </w:r>
      <w:r w:rsidRPr="00670081">
        <w:rPr>
          <w:rFonts w:ascii="Georgia" w:hAnsi="Georgia"/>
          <w:sz w:val="24"/>
          <w:szCs w:val="24"/>
        </w:rPr>
        <w:t>sufficient transparency in the existing regional transmission planning process and are state perspectives sufficiently considered and incorporated</w:t>
      </w:r>
      <w:r>
        <w:rPr>
          <w:rFonts w:ascii="Georgia" w:hAnsi="Georgia"/>
          <w:sz w:val="24"/>
          <w:szCs w:val="24"/>
        </w:rPr>
        <w:t>.”</w:t>
      </w:r>
      <w:r w:rsidRPr="00670081">
        <w:rPr>
          <w:rFonts w:ascii="Georgia" w:hAnsi="Georgia"/>
          <w:sz w:val="24"/>
          <w:szCs w:val="24"/>
        </w:rPr>
        <w:t xml:space="preserve"> </w:t>
      </w:r>
    </w:p>
    <w:p w14:paraId="7403B9B1" w14:textId="1BB8E28B" w:rsidR="00670081" w:rsidRPr="008D1F3A" w:rsidRDefault="008D1F3A" w:rsidP="008D1F3A">
      <w:pPr>
        <w:pStyle w:val="ListParagraph"/>
        <w:numPr>
          <w:ilvl w:val="0"/>
          <w:numId w:val="1"/>
        </w:numPr>
        <w:rPr>
          <w:rFonts w:ascii="Georgia" w:hAnsi="Georgia"/>
          <w:sz w:val="24"/>
          <w:szCs w:val="24"/>
        </w:rPr>
      </w:pPr>
      <w:r>
        <w:rPr>
          <w:rFonts w:ascii="Georgia" w:hAnsi="Georgia"/>
          <w:sz w:val="24"/>
          <w:szCs w:val="24"/>
        </w:rPr>
        <w:t xml:space="preserve">And </w:t>
      </w:r>
      <w:r w:rsidR="00670081" w:rsidRPr="00670081">
        <w:rPr>
          <w:rFonts w:ascii="Georgia" w:hAnsi="Georgia"/>
          <w:sz w:val="24"/>
          <w:szCs w:val="24"/>
        </w:rPr>
        <w:t>“</w:t>
      </w:r>
      <w:r w:rsidR="00710852">
        <w:rPr>
          <w:rFonts w:ascii="Georgia" w:hAnsi="Georgia"/>
          <w:sz w:val="24"/>
          <w:szCs w:val="24"/>
        </w:rPr>
        <w:t>s</w:t>
      </w:r>
      <w:r w:rsidR="00670081" w:rsidRPr="00670081">
        <w:rPr>
          <w:rFonts w:ascii="Georgia" w:hAnsi="Georgia"/>
          <w:sz w:val="24"/>
          <w:szCs w:val="24"/>
        </w:rPr>
        <w:t>hould FERC reform the regional transmission planning process to increase consideration and incorporation of state perspectives and energy-related goals</w:t>
      </w:r>
      <w:r w:rsidR="00670081">
        <w:rPr>
          <w:rFonts w:ascii="Georgia" w:hAnsi="Georgia"/>
          <w:sz w:val="24"/>
          <w:szCs w:val="24"/>
        </w:rPr>
        <w:t>”?</w:t>
      </w:r>
      <w:r>
        <w:rPr>
          <w:rStyle w:val="FootnoteReference"/>
          <w:rFonts w:ascii="Georgia" w:hAnsi="Georgia"/>
          <w:sz w:val="24"/>
          <w:szCs w:val="24"/>
        </w:rPr>
        <w:footnoteReference w:id="2"/>
      </w:r>
    </w:p>
    <w:p w14:paraId="776F94F1" w14:textId="77777777" w:rsidR="003172F7" w:rsidRDefault="003172F7">
      <w:pPr>
        <w:rPr>
          <w:rFonts w:ascii="Georgia" w:hAnsi="Georgia"/>
          <w:sz w:val="24"/>
          <w:szCs w:val="24"/>
        </w:rPr>
      </w:pPr>
    </w:p>
    <w:p w14:paraId="3961B591" w14:textId="45EE580F" w:rsidR="00F03309" w:rsidRDefault="007A4317" w:rsidP="002A7548">
      <w:pPr>
        <w:spacing w:line="360" w:lineRule="auto"/>
        <w:ind w:firstLine="360"/>
        <w:rPr>
          <w:rFonts w:ascii="Georgia" w:hAnsi="Georgia"/>
          <w:sz w:val="24"/>
          <w:szCs w:val="24"/>
        </w:rPr>
      </w:pPr>
      <w:r>
        <w:rPr>
          <w:rFonts w:ascii="Georgia" w:hAnsi="Georgia"/>
          <w:sz w:val="24"/>
          <w:szCs w:val="24"/>
        </w:rPr>
        <w:t>In order to ensure that a</w:t>
      </w:r>
      <w:r w:rsidR="00AA193E">
        <w:rPr>
          <w:rFonts w:ascii="Georgia" w:hAnsi="Georgia"/>
          <w:sz w:val="24"/>
          <w:szCs w:val="24"/>
        </w:rPr>
        <w:t>ny</w:t>
      </w:r>
      <w:r>
        <w:rPr>
          <w:rFonts w:ascii="Georgia" w:hAnsi="Georgia"/>
          <w:sz w:val="24"/>
          <w:szCs w:val="24"/>
        </w:rPr>
        <w:t xml:space="preserve"> transmission buildout results in </w:t>
      </w:r>
      <w:r w:rsidR="00A70D9C">
        <w:rPr>
          <w:rFonts w:ascii="Georgia" w:hAnsi="Georgia"/>
          <w:sz w:val="24"/>
          <w:szCs w:val="24"/>
        </w:rPr>
        <w:t xml:space="preserve">equitable treatment </w:t>
      </w:r>
      <w:r w:rsidR="00BE44FA">
        <w:rPr>
          <w:rFonts w:ascii="Georgia" w:hAnsi="Georgia"/>
          <w:sz w:val="24"/>
          <w:szCs w:val="24"/>
        </w:rPr>
        <w:t>for</w:t>
      </w:r>
      <w:r w:rsidR="00A70D9C">
        <w:rPr>
          <w:rFonts w:ascii="Georgia" w:hAnsi="Georgia"/>
          <w:sz w:val="24"/>
          <w:szCs w:val="24"/>
        </w:rPr>
        <w:t xml:space="preserve"> communities of color and</w:t>
      </w:r>
      <w:r w:rsidR="00BE44FA">
        <w:rPr>
          <w:rFonts w:ascii="Georgia" w:hAnsi="Georgia"/>
          <w:sz w:val="24"/>
          <w:szCs w:val="24"/>
        </w:rPr>
        <w:t xml:space="preserve"> just and reasonable rates for consumers, the Commission should</w:t>
      </w:r>
      <w:r w:rsidR="00AC6CD5">
        <w:rPr>
          <w:rFonts w:ascii="Georgia" w:hAnsi="Georgia"/>
          <w:sz w:val="24"/>
          <w:szCs w:val="24"/>
        </w:rPr>
        <w:t xml:space="preserve"> </w:t>
      </w:r>
      <w:r w:rsidR="00FD65AF">
        <w:rPr>
          <w:rFonts w:ascii="Georgia" w:hAnsi="Georgia"/>
          <w:sz w:val="24"/>
          <w:szCs w:val="24"/>
        </w:rPr>
        <w:t>establis</w:t>
      </w:r>
      <w:r w:rsidR="00FD65AF">
        <w:rPr>
          <w:rFonts w:ascii="Georgia" w:hAnsi="Georgia"/>
          <w:sz w:val="24"/>
          <w:szCs w:val="24"/>
        </w:rPr>
        <w:t>h</w:t>
      </w:r>
      <w:r w:rsidR="00FD65AF">
        <w:rPr>
          <w:rFonts w:ascii="Georgia" w:hAnsi="Georgia"/>
          <w:sz w:val="24"/>
          <w:szCs w:val="24"/>
        </w:rPr>
        <w:t xml:space="preserve"> federal advisory committees featuring </w:t>
      </w:r>
      <w:r w:rsidR="00FD65AF">
        <w:rPr>
          <w:rFonts w:ascii="Georgia" w:hAnsi="Georgia"/>
          <w:sz w:val="24"/>
          <w:szCs w:val="24"/>
        </w:rPr>
        <w:t>environmental justice (</w:t>
      </w:r>
      <w:r w:rsidR="00FD65AF">
        <w:rPr>
          <w:rFonts w:ascii="Georgia" w:hAnsi="Georgia"/>
          <w:sz w:val="24"/>
          <w:szCs w:val="24"/>
        </w:rPr>
        <w:t>EJ</w:t>
      </w:r>
      <w:r w:rsidR="00FD65AF">
        <w:rPr>
          <w:rFonts w:ascii="Georgia" w:hAnsi="Georgia"/>
          <w:sz w:val="24"/>
          <w:szCs w:val="24"/>
        </w:rPr>
        <w:t>)</w:t>
      </w:r>
      <w:r w:rsidR="00FD65AF">
        <w:rPr>
          <w:rFonts w:ascii="Georgia" w:hAnsi="Georgia"/>
          <w:sz w:val="24"/>
          <w:szCs w:val="24"/>
        </w:rPr>
        <w:t xml:space="preserve"> and consumer voices to guide the Commission and RTOs on transmission planning.</w:t>
      </w:r>
      <w:r w:rsidR="00B24235">
        <w:rPr>
          <w:rFonts w:ascii="Georgia" w:hAnsi="Georgia"/>
          <w:sz w:val="24"/>
          <w:szCs w:val="24"/>
        </w:rPr>
        <w:t xml:space="preserve"> </w:t>
      </w:r>
      <w:r w:rsidR="00BB6929">
        <w:rPr>
          <w:rFonts w:ascii="Georgia" w:hAnsi="Georgia"/>
          <w:sz w:val="24"/>
          <w:szCs w:val="24"/>
        </w:rPr>
        <w:t xml:space="preserve">In addition, the Commission </w:t>
      </w:r>
      <w:r w:rsidR="00290622">
        <w:rPr>
          <w:rFonts w:ascii="Georgia" w:hAnsi="Georgia"/>
          <w:sz w:val="24"/>
          <w:szCs w:val="24"/>
        </w:rPr>
        <w:t>should</w:t>
      </w:r>
      <w:r w:rsidR="00BB6929">
        <w:rPr>
          <w:rFonts w:ascii="Georgia" w:hAnsi="Georgia"/>
          <w:sz w:val="24"/>
          <w:szCs w:val="24"/>
        </w:rPr>
        <w:t xml:space="preserve"> coordinate </w:t>
      </w:r>
      <w:r w:rsidR="008E0229">
        <w:rPr>
          <w:rFonts w:ascii="Georgia" w:hAnsi="Georgia"/>
          <w:sz w:val="24"/>
          <w:szCs w:val="24"/>
        </w:rPr>
        <w:t>with the Department of Energy</w:t>
      </w:r>
      <w:r w:rsidR="00F752F0">
        <w:rPr>
          <w:rFonts w:ascii="Georgia" w:hAnsi="Georgia"/>
          <w:sz w:val="24"/>
          <w:szCs w:val="24"/>
        </w:rPr>
        <w:t xml:space="preserve"> on its </w:t>
      </w:r>
      <w:r w:rsidR="008E0229">
        <w:rPr>
          <w:rFonts w:ascii="Georgia" w:hAnsi="Georgia"/>
          <w:sz w:val="24"/>
          <w:szCs w:val="24"/>
        </w:rPr>
        <w:t xml:space="preserve">new authorities to designate </w:t>
      </w:r>
      <w:r w:rsidR="00B24235">
        <w:rPr>
          <w:rFonts w:ascii="Georgia" w:hAnsi="Georgia"/>
          <w:sz w:val="24"/>
          <w:szCs w:val="24"/>
        </w:rPr>
        <w:t>national</w:t>
      </w:r>
      <w:r w:rsidR="008E0229">
        <w:rPr>
          <w:rFonts w:ascii="Georgia" w:hAnsi="Georgia"/>
          <w:sz w:val="24"/>
          <w:szCs w:val="24"/>
        </w:rPr>
        <w:t xml:space="preserve"> interest transmission </w:t>
      </w:r>
      <w:r w:rsidR="002A7548">
        <w:rPr>
          <w:rFonts w:ascii="Georgia" w:hAnsi="Georgia"/>
          <w:sz w:val="24"/>
          <w:szCs w:val="24"/>
        </w:rPr>
        <w:t>corridors</w:t>
      </w:r>
      <w:r w:rsidR="008E0229">
        <w:rPr>
          <w:rFonts w:ascii="Georgia" w:hAnsi="Georgia"/>
          <w:sz w:val="24"/>
          <w:szCs w:val="24"/>
        </w:rPr>
        <w:t xml:space="preserve"> to </w:t>
      </w:r>
      <w:r w:rsidR="002A7548">
        <w:rPr>
          <w:rFonts w:ascii="Georgia" w:hAnsi="Georgia"/>
          <w:sz w:val="24"/>
          <w:szCs w:val="24"/>
        </w:rPr>
        <w:t xml:space="preserve">safeguard </w:t>
      </w:r>
      <w:r w:rsidR="008E0229">
        <w:rPr>
          <w:rFonts w:ascii="Georgia" w:hAnsi="Georgia"/>
          <w:sz w:val="24"/>
          <w:szCs w:val="24"/>
        </w:rPr>
        <w:t>that EJ and consumer perspectives are included</w:t>
      </w:r>
      <w:r w:rsidR="00681714">
        <w:rPr>
          <w:rFonts w:ascii="Georgia" w:hAnsi="Georgia"/>
          <w:sz w:val="24"/>
          <w:szCs w:val="24"/>
        </w:rPr>
        <w:t xml:space="preserve"> in such determinations.</w:t>
      </w:r>
    </w:p>
    <w:p w14:paraId="34F4CF17" w14:textId="77777777" w:rsidR="007C1819" w:rsidRDefault="007C1819" w:rsidP="002A7548">
      <w:pPr>
        <w:spacing w:line="360" w:lineRule="auto"/>
        <w:ind w:firstLine="360"/>
        <w:rPr>
          <w:rFonts w:ascii="Georgia" w:hAnsi="Georgia"/>
          <w:sz w:val="24"/>
          <w:szCs w:val="24"/>
        </w:rPr>
      </w:pPr>
    </w:p>
    <w:p w14:paraId="0F447145" w14:textId="77777777" w:rsidR="00681714" w:rsidRDefault="00681714" w:rsidP="00681714">
      <w:pPr>
        <w:rPr>
          <w:rFonts w:ascii="Georgia" w:hAnsi="Georgia"/>
          <w:sz w:val="24"/>
          <w:szCs w:val="24"/>
        </w:rPr>
      </w:pPr>
    </w:p>
    <w:p w14:paraId="40C1FAB3" w14:textId="4078EA77" w:rsidR="00681714" w:rsidRPr="002C65BA" w:rsidRDefault="00681714" w:rsidP="002C65BA">
      <w:pPr>
        <w:jc w:val="center"/>
        <w:rPr>
          <w:rFonts w:ascii="Georgia" w:hAnsi="Georgia"/>
          <w:b/>
          <w:bCs/>
          <w:sz w:val="24"/>
          <w:szCs w:val="24"/>
        </w:rPr>
      </w:pPr>
      <w:r w:rsidRPr="002C65BA">
        <w:rPr>
          <w:rFonts w:ascii="Georgia" w:hAnsi="Georgia"/>
          <w:b/>
          <w:bCs/>
          <w:sz w:val="24"/>
          <w:szCs w:val="24"/>
        </w:rPr>
        <w:t>About Public Citizen</w:t>
      </w:r>
    </w:p>
    <w:p w14:paraId="6E4E331B" w14:textId="77777777" w:rsidR="003E02D8" w:rsidRDefault="003E02D8" w:rsidP="00F03309">
      <w:pPr>
        <w:spacing w:line="360" w:lineRule="auto"/>
        <w:ind w:firstLine="360"/>
        <w:rPr>
          <w:rFonts w:ascii="Georgia" w:hAnsi="Georgia"/>
          <w:sz w:val="24"/>
          <w:szCs w:val="24"/>
        </w:rPr>
      </w:pPr>
    </w:p>
    <w:p w14:paraId="297358DC" w14:textId="6AC6428F" w:rsidR="002C65BA" w:rsidRDefault="00394D2D" w:rsidP="007C1819">
      <w:pPr>
        <w:spacing w:line="360" w:lineRule="auto"/>
        <w:ind w:firstLine="360"/>
        <w:rPr>
          <w:rFonts w:ascii="Georgia" w:hAnsi="Georgia"/>
          <w:sz w:val="24"/>
          <w:szCs w:val="24"/>
        </w:rPr>
      </w:pPr>
      <w:r w:rsidRPr="00394D2D">
        <w:rPr>
          <w:rFonts w:ascii="Georgia" w:hAnsi="Georgia"/>
          <w:sz w:val="24"/>
          <w:szCs w:val="24"/>
        </w:rPr>
        <w:t>Established in 1971, Public Citizen is a national, not-for-profit, non-partisan, research and advocacy organization representing the interests of household consumers. Public Citizen is active before FERC promoting just and reasonable rates, and supporting efforts for utilities to be accountable to the public interest.</w:t>
      </w:r>
      <w:r>
        <w:rPr>
          <w:rFonts w:ascii="Georgia" w:hAnsi="Georgia"/>
          <w:sz w:val="24"/>
          <w:szCs w:val="24"/>
        </w:rPr>
        <w:t xml:space="preserve"> Financial details of our operations are located at our website.</w:t>
      </w:r>
      <w:r w:rsidR="002C65BA">
        <w:rPr>
          <w:rStyle w:val="FootnoteReference"/>
          <w:rFonts w:ascii="Georgia" w:hAnsi="Georgia"/>
          <w:sz w:val="24"/>
          <w:szCs w:val="24"/>
        </w:rPr>
        <w:footnoteReference w:id="3"/>
      </w:r>
    </w:p>
    <w:p w14:paraId="685A9353" w14:textId="19C788DD" w:rsidR="002C65BA" w:rsidRPr="003C1F07" w:rsidRDefault="00083891" w:rsidP="0087284C">
      <w:pPr>
        <w:jc w:val="center"/>
        <w:rPr>
          <w:rFonts w:ascii="Georgia" w:hAnsi="Georgia"/>
          <w:b/>
          <w:bCs/>
          <w:sz w:val="24"/>
          <w:szCs w:val="24"/>
        </w:rPr>
      </w:pPr>
      <w:r w:rsidRPr="003C1F07">
        <w:rPr>
          <w:rFonts w:ascii="Georgia" w:hAnsi="Georgia"/>
          <w:b/>
          <w:bCs/>
          <w:sz w:val="24"/>
          <w:szCs w:val="24"/>
        </w:rPr>
        <w:lastRenderedPageBreak/>
        <w:t>The Commission Should Establish Federal Advisory Committees</w:t>
      </w:r>
    </w:p>
    <w:p w14:paraId="44EE38C9" w14:textId="77777777" w:rsidR="00F03309" w:rsidRDefault="00F03309" w:rsidP="002520BC">
      <w:pPr>
        <w:ind w:firstLine="360"/>
        <w:rPr>
          <w:rFonts w:ascii="Georgia" w:hAnsi="Georgia"/>
          <w:sz w:val="24"/>
          <w:szCs w:val="24"/>
        </w:rPr>
      </w:pPr>
    </w:p>
    <w:p w14:paraId="260B4546" w14:textId="49FC1F01" w:rsidR="00BC4BF6" w:rsidRDefault="00160EA0" w:rsidP="00F03309">
      <w:pPr>
        <w:spacing w:line="360" w:lineRule="auto"/>
        <w:ind w:firstLine="360"/>
        <w:rPr>
          <w:rFonts w:ascii="Georgia" w:hAnsi="Georgia"/>
          <w:sz w:val="24"/>
          <w:szCs w:val="24"/>
        </w:rPr>
      </w:pPr>
      <w:r>
        <w:rPr>
          <w:rFonts w:ascii="Georgia" w:hAnsi="Georgia"/>
          <w:sz w:val="24"/>
          <w:szCs w:val="24"/>
        </w:rPr>
        <w:t xml:space="preserve">If the Commission thinks (rightfully so!) that states face barriers to participate in transmission planning at the RTOs, imagine the hurdles faced by </w:t>
      </w:r>
      <w:r w:rsidR="00FC0E23">
        <w:rPr>
          <w:rFonts w:ascii="Georgia" w:hAnsi="Georgia"/>
          <w:sz w:val="24"/>
          <w:szCs w:val="24"/>
        </w:rPr>
        <w:t>EJ communities</w:t>
      </w:r>
      <w:r>
        <w:rPr>
          <w:rFonts w:ascii="Georgia" w:hAnsi="Georgia"/>
          <w:sz w:val="24"/>
          <w:szCs w:val="24"/>
        </w:rPr>
        <w:t xml:space="preserve"> and household consumer advocates.</w:t>
      </w:r>
      <w:r>
        <w:rPr>
          <w:rFonts w:ascii="Georgia" w:hAnsi="Georgia"/>
          <w:sz w:val="24"/>
          <w:szCs w:val="24"/>
        </w:rPr>
        <w:t xml:space="preserve"> </w:t>
      </w:r>
      <w:r w:rsidR="0035651F">
        <w:rPr>
          <w:rFonts w:ascii="Georgia" w:hAnsi="Georgia"/>
          <w:sz w:val="24"/>
          <w:szCs w:val="24"/>
        </w:rPr>
        <w:t>Inadequacies</w:t>
      </w:r>
      <w:r w:rsidR="0035651F" w:rsidRPr="00BC4BF6">
        <w:rPr>
          <w:rFonts w:ascii="Georgia" w:hAnsi="Georgia"/>
          <w:sz w:val="24"/>
          <w:szCs w:val="24"/>
        </w:rPr>
        <w:t xml:space="preserve"> </w:t>
      </w:r>
      <w:r w:rsidR="00BC4BF6" w:rsidRPr="00BC4BF6">
        <w:rPr>
          <w:rFonts w:ascii="Georgia" w:hAnsi="Georgia"/>
          <w:sz w:val="24"/>
          <w:szCs w:val="24"/>
        </w:rPr>
        <w:t>for transmission planning, cost allocation and interconnection procedures</w:t>
      </w:r>
      <w:r w:rsidR="0035651F">
        <w:rPr>
          <w:rFonts w:ascii="Georgia" w:hAnsi="Georgia"/>
          <w:sz w:val="24"/>
          <w:szCs w:val="24"/>
        </w:rPr>
        <w:t xml:space="preserve"> inherent in RTO/ISO tariffs </w:t>
      </w:r>
      <w:r w:rsidR="000A179F">
        <w:rPr>
          <w:rFonts w:ascii="Georgia" w:hAnsi="Georgia"/>
          <w:sz w:val="24"/>
          <w:szCs w:val="24"/>
        </w:rPr>
        <w:t>stem</w:t>
      </w:r>
      <w:r w:rsidR="002F5DC3">
        <w:rPr>
          <w:rFonts w:ascii="Georgia" w:hAnsi="Georgia"/>
          <w:sz w:val="24"/>
          <w:szCs w:val="24"/>
        </w:rPr>
        <w:t>, in part,</w:t>
      </w:r>
      <w:r w:rsidR="000A179F">
        <w:rPr>
          <w:rFonts w:ascii="Georgia" w:hAnsi="Georgia"/>
          <w:sz w:val="24"/>
          <w:szCs w:val="24"/>
        </w:rPr>
        <w:t xml:space="preserve"> from </w:t>
      </w:r>
      <w:r w:rsidR="006E040F">
        <w:rPr>
          <w:rFonts w:ascii="Georgia" w:hAnsi="Georgia"/>
          <w:sz w:val="24"/>
          <w:szCs w:val="24"/>
        </w:rPr>
        <w:t>their</w:t>
      </w:r>
      <w:r w:rsidR="006D5160">
        <w:rPr>
          <w:rFonts w:ascii="Georgia" w:hAnsi="Georgia"/>
          <w:sz w:val="24"/>
          <w:szCs w:val="24"/>
        </w:rPr>
        <w:t xml:space="preserve"> failure to </w:t>
      </w:r>
      <w:r w:rsidR="0087284C">
        <w:rPr>
          <w:rFonts w:ascii="Georgia" w:hAnsi="Georgia"/>
          <w:sz w:val="24"/>
          <w:szCs w:val="24"/>
        </w:rPr>
        <w:t>engage with all stakeholders in an equitable</w:t>
      </w:r>
      <w:r w:rsidR="00777B54">
        <w:rPr>
          <w:rFonts w:ascii="Georgia" w:hAnsi="Georgia"/>
          <w:sz w:val="24"/>
          <w:szCs w:val="24"/>
        </w:rPr>
        <w:t xml:space="preserve"> </w:t>
      </w:r>
      <w:r w:rsidR="001C0703">
        <w:rPr>
          <w:rFonts w:ascii="Georgia" w:hAnsi="Georgia"/>
          <w:sz w:val="24"/>
          <w:szCs w:val="24"/>
        </w:rPr>
        <w:t>manner</w:t>
      </w:r>
      <w:r w:rsidR="006E040F">
        <w:rPr>
          <w:rFonts w:ascii="Georgia" w:hAnsi="Georgia"/>
          <w:sz w:val="24"/>
          <w:szCs w:val="24"/>
        </w:rPr>
        <w:t>.</w:t>
      </w:r>
      <w:r w:rsidR="006D5160">
        <w:rPr>
          <w:rFonts w:ascii="Georgia" w:hAnsi="Georgia"/>
          <w:sz w:val="24"/>
          <w:szCs w:val="24"/>
        </w:rPr>
        <w:t xml:space="preserve"> </w:t>
      </w:r>
      <w:r w:rsidR="00777B54">
        <w:rPr>
          <w:rFonts w:ascii="Georgia" w:hAnsi="Georgia"/>
          <w:sz w:val="24"/>
          <w:szCs w:val="24"/>
        </w:rPr>
        <w:t>When c</w:t>
      </w:r>
      <w:r w:rsidR="008C4FD0">
        <w:rPr>
          <w:rFonts w:ascii="Georgia" w:hAnsi="Georgia"/>
          <w:sz w:val="24"/>
          <w:szCs w:val="24"/>
        </w:rPr>
        <w:t>ombined with</w:t>
      </w:r>
      <w:r w:rsidR="000A179F">
        <w:rPr>
          <w:rFonts w:ascii="Georgia" w:hAnsi="Georgia"/>
          <w:sz w:val="24"/>
          <w:szCs w:val="24"/>
        </w:rPr>
        <w:t xml:space="preserve"> </w:t>
      </w:r>
      <w:r w:rsidR="00EF0A5E" w:rsidRPr="00EF0A5E">
        <w:rPr>
          <w:rFonts w:ascii="Georgia" w:hAnsi="Georgia"/>
          <w:sz w:val="24"/>
          <w:szCs w:val="24"/>
        </w:rPr>
        <w:t>nontransparent</w:t>
      </w:r>
      <w:r w:rsidR="00EF0A5E" w:rsidRPr="00EF0A5E">
        <w:rPr>
          <w:rFonts w:ascii="Georgia" w:hAnsi="Georgia"/>
          <w:sz w:val="24"/>
          <w:szCs w:val="24"/>
        </w:rPr>
        <w:t xml:space="preserve"> </w:t>
      </w:r>
      <w:r w:rsidR="000A179F">
        <w:rPr>
          <w:rFonts w:ascii="Georgia" w:hAnsi="Georgia"/>
          <w:sz w:val="24"/>
          <w:szCs w:val="24"/>
        </w:rPr>
        <w:t>internal RTO operations</w:t>
      </w:r>
      <w:r w:rsidR="00BC642E">
        <w:rPr>
          <w:rFonts w:ascii="Georgia" w:hAnsi="Georgia"/>
          <w:sz w:val="24"/>
          <w:szCs w:val="24"/>
        </w:rPr>
        <w:t>,</w:t>
      </w:r>
      <w:r w:rsidR="00545344">
        <w:rPr>
          <w:rFonts w:ascii="Georgia" w:hAnsi="Georgia"/>
          <w:sz w:val="24"/>
          <w:szCs w:val="24"/>
        </w:rPr>
        <w:t xml:space="preserve"> </w:t>
      </w:r>
      <w:r w:rsidR="00BC642E">
        <w:rPr>
          <w:rFonts w:ascii="Georgia" w:hAnsi="Georgia"/>
          <w:sz w:val="24"/>
          <w:szCs w:val="24"/>
        </w:rPr>
        <w:t xml:space="preserve">transmission owners are able to </w:t>
      </w:r>
      <w:r w:rsidR="00BC642E">
        <w:rPr>
          <w:rFonts w:ascii="Georgia" w:hAnsi="Georgia"/>
          <w:sz w:val="24"/>
          <w:szCs w:val="24"/>
        </w:rPr>
        <w:t>wield outsized influence over RTOs behind closed doors</w:t>
      </w:r>
      <w:r w:rsidR="009F07F0">
        <w:rPr>
          <w:rFonts w:ascii="Georgia" w:hAnsi="Georgia"/>
          <w:sz w:val="24"/>
          <w:szCs w:val="24"/>
        </w:rPr>
        <w:t>, facilitating</w:t>
      </w:r>
      <w:r w:rsidR="001F2D4C">
        <w:rPr>
          <w:rFonts w:ascii="Georgia" w:hAnsi="Georgia"/>
          <w:sz w:val="24"/>
          <w:szCs w:val="24"/>
        </w:rPr>
        <w:t xml:space="preserve"> collusive opportunities </w:t>
      </w:r>
      <w:r w:rsidR="005F06FE">
        <w:rPr>
          <w:rFonts w:ascii="Georgia" w:hAnsi="Georgia"/>
          <w:sz w:val="24"/>
          <w:szCs w:val="24"/>
        </w:rPr>
        <w:t>that harm</w:t>
      </w:r>
      <w:r w:rsidR="002961B1">
        <w:rPr>
          <w:rFonts w:ascii="Georgia" w:hAnsi="Georgia"/>
          <w:sz w:val="24"/>
          <w:szCs w:val="24"/>
        </w:rPr>
        <w:t xml:space="preserve"> the development of</w:t>
      </w:r>
      <w:r w:rsidR="005F06FE">
        <w:rPr>
          <w:rFonts w:ascii="Georgia" w:hAnsi="Georgia"/>
          <w:sz w:val="24"/>
          <w:szCs w:val="24"/>
        </w:rPr>
        <w:t xml:space="preserve"> equitable transmission planning</w:t>
      </w:r>
      <w:r w:rsidR="000616D6">
        <w:rPr>
          <w:rFonts w:ascii="Georgia" w:hAnsi="Georgia"/>
          <w:sz w:val="24"/>
          <w:szCs w:val="24"/>
        </w:rPr>
        <w:t>.</w:t>
      </w:r>
      <w:r w:rsidR="007B232D">
        <w:rPr>
          <w:rFonts w:ascii="Georgia" w:hAnsi="Georgia"/>
          <w:sz w:val="24"/>
          <w:szCs w:val="24"/>
        </w:rPr>
        <w:t xml:space="preserve"> </w:t>
      </w:r>
      <w:r w:rsidR="00545344">
        <w:rPr>
          <w:rFonts w:ascii="Georgia" w:hAnsi="Georgia"/>
          <w:sz w:val="24"/>
          <w:szCs w:val="24"/>
        </w:rPr>
        <w:t xml:space="preserve">The origins of </w:t>
      </w:r>
      <w:r w:rsidR="008478B4">
        <w:rPr>
          <w:rFonts w:ascii="Georgia" w:hAnsi="Georgia"/>
          <w:sz w:val="24"/>
          <w:szCs w:val="24"/>
        </w:rPr>
        <w:t>RTOs governance failures began in</w:t>
      </w:r>
      <w:r w:rsidR="009D781E">
        <w:rPr>
          <w:rFonts w:ascii="Georgia" w:hAnsi="Georgia"/>
          <w:sz w:val="24"/>
          <w:szCs w:val="24"/>
        </w:rPr>
        <w:t xml:space="preserve"> December 1999 when</w:t>
      </w:r>
      <w:r w:rsidR="00E7660F">
        <w:rPr>
          <w:rFonts w:ascii="Georgia" w:hAnsi="Georgia"/>
          <w:sz w:val="24"/>
          <w:szCs w:val="24"/>
        </w:rPr>
        <w:t xml:space="preserve"> </w:t>
      </w:r>
      <w:r w:rsidR="00E7660F" w:rsidRPr="00E7660F">
        <w:rPr>
          <w:rFonts w:ascii="Georgia" w:hAnsi="Georgia"/>
          <w:sz w:val="24"/>
          <w:szCs w:val="24"/>
        </w:rPr>
        <w:t>FERC Order 2000 encouraged the</w:t>
      </w:r>
      <w:r w:rsidR="009F07F0">
        <w:rPr>
          <w:rFonts w:ascii="Georgia" w:hAnsi="Georgia"/>
          <w:sz w:val="24"/>
          <w:szCs w:val="24"/>
        </w:rPr>
        <w:t>ir</w:t>
      </w:r>
      <w:r w:rsidR="00E7660F" w:rsidRPr="00E7660F">
        <w:rPr>
          <w:rFonts w:ascii="Georgia" w:hAnsi="Georgia"/>
          <w:sz w:val="24"/>
          <w:szCs w:val="24"/>
        </w:rPr>
        <w:t xml:space="preserve"> voluntary creation to “facilitate lighter handed regulation” </w:t>
      </w:r>
      <w:r w:rsidR="005E36A8">
        <w:rPr>
          <w:rFonts w:ascii="Georgia" w:hAnsi="Georgia"/>
          <w:sz w:val="24"/>
          <w:szCs w:val="24"/>
        </w:rPr>
        <w:t>to</w:t>
      </w:r>
      <w:r w:rsidR="00E7660F" w:rsidRPr="00E7660F">
        <w:rPr>
          <w:rFonts w:ascii="Georgia" w:hAnsi="Georgia"/>
          <w:sz w:val="24"/>
          <w:szCs w:val="24"/>
        </w:rPr>
        <w:t xml:space="preserve"> “reduce the need for Commission oversight and scrutiny.”</w:t>
      </w:r>
      <w:r w:rsidR="001B1A10">
        <w:rPr>
          <w:rStyle w:val="FootnoteReference"/>
          <w:rFonts w:ascii="Georgia" w:hAnsi="Georgia"/>
          <w:sz w:val="24"/>
          <w:szCs w:val="24"/>
        </w:rPr>
        <w:footnoteReference w:id="4"/>
      </w:r>
      <w:r w:rsidR="00715EE8">
        <w:rPr>
          <w:rFonts w:ascii="Georgia" w:hAnsi="Georgia"/>
          <w:sz w:val="24"/>
          <w:szCs w:val="24"/>
        </w:rPr>
        <w:t xml:space="preserve"> When </w:t>
      </w:r>
      <w:r w:rsidR="001D0ED9">
        <w:rPr>
          <w:rFonts w:ascii="Georgia" w:hAnsi="Georgia"/>
          <w:sz w:val="24"/>
          <w:szCs w:val="24"/>
        </w:rPr>
        <w:t>private corporations are empowered to conduct federal law enforcement functions</w:t>
      </w:r>
      <w:r w:rsidR="00371BA0">
        <w:rPr>
          <w:rFonts w:ascii="Georgia" w:hAnsi="Georgia"/>
          <w:sz w:val="24"/>
          <w:szCs w:val="24"/>
        </w:rPr>
        <w:t xml:space="preserve"> in order to</w:t>
      </w:r>
      <w:r w:rsidR="003E330B">
        <w:rPr>
          <w:rFonts w:ascii="Georgia" w:hAnsi="Georgia"/>
          <w:sz w:val="24"/>
          <w:szCs w:val="24"/>
        </w:rPr>
        <w:t xml:space="preserve"> promote “ligh</w:t>
      </w:r>
      <w:r w:rsidR="007660EE">
        <w:rPr>
          <w:rFonts w:ascii="Georgia" w:hAnsi="Georgia"/>
          <w:sz w:val="24"/>
          <w:szCs w:val="24"/>
        </w:rPr>
        <w:t>t</w:t>
      </w:r>
      <w:r w:rsidR="003E330B">
        <w:rPr>
          <w:rFonts w:ascii="Georgia" w:hAnsi="Georgia"/>
          <w:sz w:val="24"/>
          <w:szCs w:val="24"/>
        </w:rPr>
        <w:t xml:space="preserve">er handed regulation” and reduce </w:t>
      </w:r>
      <w:r w:rsidR="007660EE">
        <w:rPr>
          <w:rFonts w:ascii="Georgia" w:hAnsi="Georgia"/>
          <w:sz w:val="24"/>
          <w:szCs w:val="24"/>
        </w:rPr>
        <w:t>regulatory</w:t>
      </w:r>
      <w:r w:rsidR="003E330B">
        <w:rPr>
          <w:rFonts w:ascii="Georgia" w:hAnsi="Georgia"/>
          <w:sz w:val="24"/>
          <w:szCs w:val="24"/>
        </w:rPr>
        <w:t xml:space="preserve"> “oversight and scrutiny”, </w:t>
      </w:r>
      <w:r w:rsidR="00371BA0">
        <w:rPr>
          <w:rFonts w:ascii="Georgia" w:hAnsi="Georgia"/>
          <w:sz w:val="24"/>
          <w:szCs w:val="24"/>
        </w:rPr>
        <w:t xml:space="preserve">it should not come </w:t>
      </w:r>
      <w:r w:rsidR="004E0F6E">
        <w:rPr>
          <w:rFonts w:ascii="Georgia" w:hAnsi="Georgia"/>
          <w:sz w:val="24"/>
          <w:szCs w:val="24"/>
        </w:rPr>
        <w:t xml:space="preserve">as </w:t>
      </w:r>
      <w:r w:rsidR="008478B4">
        <w:rPr>
          <w:rFonts w:ascii="Georgia" w:hAnsi="Georgia"/>
          <w:sz w:val="24"/>
          <w:szCs w:val="24"/>
        </w:rPr>
        <w:t>a</w:t>
      </w:r>
      <w:r w:rsidR="004E0F6E">
        <w:rPr>
          <w:rFonts w:ascii="Georgia" w:hAnsi="Georgia"/>
          <w:sz w:val="24"/>
          <w:szCs w:val="24"/>
        </w:rPr>
        <w:t xml:space="preserve"> surprise when those private corporations do a </w:t>
      </w:r>
      <w:r w:rsidR="00184565">
        <w:rPr>
          <w:rFonts w:ascii="Georgia" w:hAnsi="Georgia"/>
          <w:sz w:val="24"/>
          <w:szCs w:val="24"/>
        </w:rPr>
        <w:t>poor job</w:t>
      </w:r>
      <w:r w:rsidR="00AC06CB">
        <w:rPr>
          <w:rFonts w:ascii="Georgia" w:hAnsi="Georgia"/>
          <w:sz w:val="24"/>
          <w:szCs w:val="24"/>
        </w:rPr>
        <w:t xml:space="preserve"> prioritizing the public interest</w:t>
      </w:r>
      <w:r w:rsidR="004E0F6E">
        <w:rPr>
          <w:rFonts w:ascii="Georgia" w:hAnsi="Georgia"/>
          <w:sz w:val="24"/>
          <w:szCs w:val="24"/>
        </w:rPr>
        <w:t xml:space="preserve">. </w:t>
      </w:r>
    </w:p>
    <w:p w14:paraId="5806ED98" w14:textId="01200B0D" w:rsidR="00050807" w:rsidRDefault="00966090" w:rsidP="00F03309">
      <w:pPr>
        <w:spacing w:line="360" w:lineRule="auto"/>
        <w:ind w:firstLine="360"/>
        <w:rPr>
          <w:rFonts w:ascii="Georgia" w:hAnsi="Georgia"/>
          <w:sz w:val="24"/>
          <w:szCs w:val="24"/>
        </w:rPr>
      </w:pPr>
      <w:r>
        <w:rPr>
          <w:rFonts w:ascii="Georgia" w:hAnsi="Georgia"/>
          <w:sz w:val="24"/>
          <w:szCs w:val="24"/>
        </w:rPr>
        <w:t xml:space="preserve">Just as </w:t>
      </w:r>
      <w:r w:rsidR="006B437A">
        <w:rPr>
          <w:rFonts w:ascii="Georgia" w:hAnsi="Georgia"/>
          <w:sz w:val="24"/>
          <w:szCs w:val="24"/>
        </w:rPr>
        <w:t>the Federal Power Act</w:t>
      </w:r>
      <w:r w:rsidR="00C6297D">
        <w:rPr>
          <w:rFonts w:ascii="Georgia" w:hAnsi="Georgia"/>
          <w:sz w:val="24"/>
          <w:szCs w:val="24"/>
        </w:rPr>
        <w:t xml:space="preserve"> authorizes the Joint Federal-State Task Force</w:t>
      </w:r>
      <w:r w:rsidR="00D71691">
        <w:rPr>
          <w:rFonts w:ascii="Georgia" w:hAnsi="Georgia"/>
          <w:sz w:val="24"/>
          <w:szCs w:val="24"/>
        </w:rPr>
        <w:t xml:space="preserve"> to assist the Commission with </w:t>
      </w:r>
      <w:r w:rsidR="00BD20D7">
        <w:rPr>
          <w:rFonts w:ascii="Georgia" w:hAnsi="Georgia"/>
          <w:sz w:val="24"/>
          <w:szCs w:val="24"/>
        </w:rPr>
        <w:t>obtaining guidance and coordination with state regulators,</w:t>
      </w:r>
      <w:r w:rsidR="00BD20D7">
        <w:rPr>
          <w:rStyle w:val="FootnoteReference"/>
          <w:rFonts w:ascii="Georgia" w:hAnsi="Georgia"/>
          <w:sz w:val="24"/>
          <w:szCs w:val="24"/>
        </w:rPr>
        <w:footnoteReference w:id="5"/>
      </w:r>
      <w:r w:rsidR="006B437A">
        <w:rPr>
          <w:rFonts w:ascii="Georgia" w:hAnsi="Georgia"/>
          <w:sz w:val="24"/>
          <w:szCs w:val="24"/>
        </w:rPr>
        <w:t xml:space="preserve"> </w:t>
      </w:r>
      <w:r w:rsidR="00D81E3B">
        <w:rPr>
          <w:rFonts w:ascii="Georgia" w:hAnsi="Georgia"/>
          <w:sz w:val="24"/>
          <w:szCs w:val="24"/>
        </w:rPr>
        <w:t xml:space="preserve">federal law also provides a path for the Commission to </w:t>
      </w:r>
      <w:r w:rsidR="002F7B12">
        <w:rPr>
          <w:rFonts w:ascii="Georgia" w:hAnsi="Georgia"/>
          <w:sz w:val="24"/>
          <w:szCs w:val="24"/>
        </w:rPr>
        <w:t xml:space="preserve">help EJ and consumer interests meaningfully participate, through the use of federal advisory committees. FERC is literally the only major federal agency that </w:t>
      </w:r>
      <w:r w:rsidR="00EC7AE3">
        <w:rPr>
          <w:rFonts w:ascii="Georgia" w:hAnsi="Georgia"/>
          <w:sz w:val="24"/>
          <w:szCs w:val="24"/>
        </w:rPr>
        <w:t>fails to</w:t>
      </w:r>
      <w:r w:rsidR="002F7B12">
        <w:rPr>
          <w:rFonts w:ascii="Georgia" w:hAnsi="Georgia"/>
          <w:sz w:val="24"/>
          <w:szCs w:val="24"/>
        </w:rPr>
        <w:t xml:space="preserve"> utilize advisory committees </w:t>
      </w:r>
      <w:r w:rsidR="00B566E5">
        <w:rPr>
          <w:rFonts w:ascii="Georgia" w:hAnsi="Georgia"/>
          <w:sz w:val="24"/>
          <w:szCs w:val="24"/>
        </w:rPr>
        <w:t xml:space="preserve">to </w:t>
      </w:r>
      <w:r w:rsidR="00431F47">
        <w:rPr>
          <w:rFonts w:ascii="Georgia" w:hAnsi="Georgia"/>
          <w:sz w:val="24"/>
          <w:szCs w:val="24"/>
        </w:rPr>
        <w:t>assist</w:t>
      </w:r>
      <w:r w:rsidR="00B566E5">
        <w:rPr>
          <w:rFonts w:ascii="Georgia" w:hAnsi="Georgia"/>
          <w:sz w:val="24"/>
          <w:szCs w:val="24"/>
        </w:rPr>
        <w:t xml:space="preserve"> with</w:t>
      </w:r>
      <w:r w:rsidR="002473D7">
        <w:rPr>
          <w:rFonts w:ascii="Georgia" w:hAnsi="Georgia"/>
          <w:sz w:val="24"/>
          <w:szCs w:val="24"/>
        </w:rPr>
        <w:t xml:space="preserve"> obtain</w:t>
      </w:r>
      <w:r w:rsidR="00431F47">
        <w:rPr>
          <w:rFonts w:ascii="Georgia" w:hAnsi="Georgia"/>
          <w:sz w:val="24"/>
          <w:szCs w:val="24"/>
        </w:rPr>
        <w:t>ing</w:t>
      </w:r>
      <w:r w:rsidR="002473D7">
        <w:rPr>
          <w:rFonts w:ascii="Georgia" w:hAnsi="Georgia"/>
          <w:sz w:val="24"/>
          <w:szCs w:val="24"/>
        </w:rPr>
        <w:t xml:space="preserve"> </w:t>
      </w:r>
      <w:r w:rsidR="009E462A">
        <w:rPr>
          <w:rFonts w:ascii="Georgia" w:hAnsi="Georgia"/>
          <w:sz w:val="24"/>
          <w:szCs w:val="24"/>
        </w:rPr>
        <w:t xml:space="preserve">input and </w:t>
      </w:r>
      <w:r w:rsidR="000D57D3">
        <w:rPr>
          <w:rFonts w:ascii="Georgia" w:hAnsi="Georgia"/>
          <w:sz w:val="24"/>
          <w:szCs w:val="24"/>
        </w:rPr>
        <w:t xml:space="preserve">harmonization </w:t>
      </w:r>
      <w:r w:rsidR="00B92264">
        <w:rPr>
          <w:rFonts w:ascii="Georgia" w:hAnsi="Georgia"/>
          <w:sz w:val="24"/>
          <w:szCs w:val="24"/>
        </w:rPr>
        <w:t xml:space="preserve">with </w:t>
      </w:r>
      <w:r w:rsidR="009E462A">
        <w:rPr>
          <w:rFonts w:ascii="Georgia" w:hAnsi="Georgia"/>
          <w:sz w:val="24"/>
          <w:szCs w:val="24"/>
        </w:rPr>
        <w:t xml:space="preserve">public interest </w:t>
      </w:r>
      <w:r w:rsidR="00B92264">
        <w:rPr>
          <w:rFonts w:ascii="Georgia" w:hAnsi="Georgia"/>
          <w:sz w:val="24"/>
          <w:szCs w:val="24"/>
        </w:rPr>
        <w:t>stakeholders.</w:t>
      </w:r>
      <w:r w:rsidR="004E4380">
        <w:rPr>
          <w:rStyle w:val="FootnoteReference"/>
          <w:rFonts w:ascii="Georgia" w:hAnsi="Georgia"/>
          <w:sz w:val="24"/>
          <w:szCs w:val="24"/>
        </w:rPr>
        <w:footnoteReference w:id="6"/>
      </w:r>
      <w:r w:rsidR="00B92264">
        <w:rPr>
          <w:rFonts w:ascii="Georgia" w:hAnsi="Georgia"/>
          <w:sz w:val="24"/>
          <w:szCs w:val="24"/>
        </w:rPr>
        <w:t xml:space="preserve"> Instead, the Commission outsources this important task to </w:t>
      </w:r>
      <w:r w:rsidR="005E04A1">
        <w:rPr>
          <w:rFonts w:ascii="Georgia" w:hAnsi="Georgia"/>
          <w:sz w:val="24"/>
          <w:szCs w:val="24"/>
        </w:rPr>
        <w:t>the RTOs/IS</w:t>
      </w:r>
      <w:r w:rsidR="006A00F9">
        <w:rPr>
          <w:rFonts w:ascii="Georgia" w:hAnsi="Georgia"/>
          <w:sz w:val="24"/>
          <w:szCs w:val="24"/>
        </w:rPr>
        <w:t>Os</w:t>
      </w:r>
      <w:r w:rsidR="005E04A1">
        <w:rPr>
          <w:rFonts w:ascii="Georgia" w:hAnsi="Georgia"/>
          <w:sz w:val="24"/>
          <w:szCs w:val="24"/>
        </w:rPr>
        <w:t xml:space="preserve">. The RTOs do a uniformly terrible job at managing </w:t>
      </w:r>
      <w:r w:rsidR="00FD7602">
        <w:rPr>
          <w:rFonts w:ascii="Georgia" w:hAnsi="Georgia"/>
          <w:sz w:val="24"/>
          <w:szCs w:val="24"/>
        </w:rPr>
        <w:t xml:space="preserve">inclusive </w:t>
      </w:r>
      <w:r w:rsidR="006A00F9">
        <w:rPr>
          <w:rFonts w:ascii="Georgia" w:hAnsi="Georgia"/>
          <w:sz w:val="24"/>
          <w:szCs w:val="24"/>
        </w:rPr>
        <w:t>and</w:t>
      </w:r>
      <w:r w:rsidR="00FD7602">
        <w:rPr>
          <w:rFonts w:ascii="Georgia" w:hAnsi="Georgia"/>
          <w:sz w:val="24"/>
          <w:szCs w:val="24"/>
        </w:rPr>
        <w:t xml:space="preserve"> equitable </w:t>
      </w:r>
      <w:r w:rsidR="005E04A1">
        <w:rPr>
          <w:rFonts w:ascii="Georgia" w:hAnsi="Georgia"/>
          <w:sz w:val="24"/>
          <w:szCs w:val="24"/>
        </w:rPr>
        <w:t>stakeholder engagement</w:t>
      </w:r>
      <w:r w:rsidR="00824F58">
        <w:rPr>
          <w:rFonts w:ascii="Georgia" w:hAnsi="Georgia"/>
          <w:sz w:val="24"/>
          <w:szCs w:val="24"/>
        </w:rPr>
        <w:t>, including denying public interest groups the right to vote or witness crucial meetings (PJM), or bans the general public altogether from attend</w:t>
      </w:r>
      <w:r w:rsidR="004B475D">
        <w:rPr>
          <w:rFonts w:ascii="Georgia" w:hAnsi="Georgia"/>
          <w:sz w:val="24"/>
          <w:szCs w:val="24"/>
        </w:rPr>
        <w:t>ance</w:t>
      </w:r>
      <w:r w:rsidR="009B47E1">
        <w:rPr>
          <w:rFonts w:ascii="Georgia" w:hAnsi="Georgia"/>
          <w:sz w:val="24"/>
          <w:szCs w:val="24"/>
        </w:rPr>
        <w:t xml:space="preserve"> (ISO-NE’s NEPOOL). </w:t>
      </w:r>
    </w:p>
    <w:p w14:paraId="3AC7C708" w14:textId="6C4ED4D0" w:rsidR="00966090" w:rsidRDefault="009B47E1" w:rsidP="00F03309">
      <w:pPr>
        <w:spacing w:line="360" w:lineRule="auto"/>
        <w:ind w:firstLine="360"/>
        <w:rPr>
          <w:rFonts w:ascii="Georgia" w:hAnsi="Georgia"/>
          <w:sz w:val="24"/>
          <w:szCs w:val="24"/>
        </w:rPr>
      </w:pPr>
      <w:r>
        <w:rPr>
          <w:rFonts w:ascii="Georgia" w:hAnsi="Georgia"/>
          <w:sz w:val="24"/>
          <w:szCs w:val="24"/>
        </w:rPr>
        <w:lastRenderedPageBreak/>
        <w:t>In contrast,</w:t>
      </w:r>
      <w:r w:rsidR="00BB4B7D">
        <w:rPr>
          <w:rFonts w:ascii="Georgia" w:hAnsi="Georgia"/>
          <w:sz w:val="24"/>
          <w:szCs w:val="24"/>
        </w:rPr>
        <w:t xml:space="preserve"> FERC advisory committee</w:t>
      </w:r>
      <w:r w:rsidR="00E272EF">
        <w:rPr>
          <w:rFonts w:ascii="Georgia" w:hAnsi="Georgia"/>
          <w:sz w:val="24"/>
          <w:szCs w:val="24"/>
        </w:rPr>
        <w:t>s</w:t>
      </w:r>
      <w:r w:rsidR="00BB4B7D">
        <w:rPr>
          <w:rFonts w:ascii="Georgia" w:hAnsi="Georgia"/>
          <w:sz w:val="24"/>
          <w:szCs w:val="24"/>
        </w:rPr>
        <w:t xml:space="preserve"> would be governed by the Federal Advisory Committee Act</w:t>
      </w:r>
      <w:r w:rsidR="008C622D">
        <w:rPr>
          <w:rFonts w:ascii="Georgia" w:hAnsi="Georgia"/>
          <w:sz w:val="24"/>
          <w:szCs w:val="24"/>
        </w:rPr>
        <w:t>,</w:t>
      </w:r>
      <w:r w:rsidR="00FE1FB7">
        <w:rPr>
          <w:rStyle w:val="FootnoteReference"/>
          <w:rFonts w:ascii="Georgia" w:hAnsi="Georgia"/>
          <w:sz w:val="24"/>
          <w:szCs w:val="24"/>
        </w:rPr>
        <w:footnoteReference w:id="7"/>
      </w:r>
      <w:r w:rsidR="008C622D">
        <w:rPr>
          <w:rFonts w:ascii="Georgia" w:hAnsi="Georgia"/>
          <w:sz w:val="24"/>
          <w:szCs w:val="24"/>
        </w:rPr>
        <w:t xml:space="preserve"> which requires meetings to be open to the public</w:t>
      </w:r>
      <w:r w:rsidR="00647448">
        <w:rPr>
          <w:rFonts w:ascii="Georgia" w:hAnsi="Georgia"/>
          <w:sz w:val="24"/>
          <w:szCs w:val="24"/>
        </w:rPr>
        <w:t xml:space="preserve"> and </w:t>
      </w:r>
      <w:r w:rsidR="0073370F">
        <w:rPr>
          <w:rFonts w:ascii="Georgia" w:hAnsi="Georgia"/>
          <w:sz w:val="24"/>
          <w:szCs w:val="24"/>
        </w:rPr>
        <w:t>journalists</w:t>
      </w:r>
      <w:r w:rsidR="00647448">
        <w:rPr>
          <w:rFonts w:ascii="Georgia" w:hAnsi="Georgia"/>
          <w:sz w:val="24"/>
          <w:szCs w:val="24"/>
        </w:rPr>
        <w:t xml:space="preserve">; </w:t>
      </w:r>
      <w:r w:rsidR="00067557">
        <w:rPr>
          <w:rFonts w:ascii="Georgia" w:hAnsi="Georgia"/>
          <w:sz w:val="24"/>
          <w:szCs w:val="24"/>
        </w:rPr>
        <w:t xml:space="preserve">provides </w:t>
      </w:r>
      <w:r w:rsidR="00050807">
        <w:rPr>
          <w:rFonts w:ascii="Georgia" w:hAnsi="Georgia"/>
          <w:sz w:val="24"/>
          <w:szCs w:val="24"/>
        </w:rPr>
        <w:t>freely available</w:t>
      </w:r>
      <w:r w:rsidR="00050807">
        <w:rPr>
          <w:rFonts w:ascii="Georgia" w:hAnsi="Georgia"/>
          <w:sz w:val="24"/>
          <w:szCs w:val="24"/>
        </w:rPr>
        <w:t xml:space="preserve"> </w:t>
      </w:r>
      <w:r w:rsidR="00647448">
        <w:rPr>
          <w:rFonts w:ascii="Georgia" w:hAnsi="Georgia"/>
          <w:sz w:val="24"/>
          <w:szCs w:val="24"/>
        </w:rPr>
        <w:t xml:space="preserve">recordings and </w:t>
      </w:r>
      <w:r w:rsidR="003816B7">
        <w:rPr>
          <w:rFonts w:ascii="Georgia" w:hAnsi="Georgia"/>
          <w:sz w:val="24"/>
          <w:szCs w:val="24"/>
        </w:rPr>
        <w:t>transcripts</w:t>
      </w:r>
      <w:r w:rsidR="00647448">
        <w:rPr>
          <w:rFonts w:ascii="Georgia" w:hAnsi="Georgia"/>
          <w:sz w:val="24"/>
          <w:szCs w:val="24"/>
        </w:rPr>
        <w:t xml:space="preserve"> of all meetings, thereby p</w:t>
      </w:r>
      <w:r w:rsidR="00ED3C5B">
        <w:rPr>
          <w:rFonts w:ascii="Georgia" w:hAnsi="Georgia"/>
          <w:sz w:val="24"/>
          <w:szCs w:val="24"/>
        </w:rPr>
        <w:t>reserving</w:t>
      </w:r>
      <w:r w:rsidR="00647448">
        <w:rPr>
          <w:rFonts w:ascii="Georgia" w:hAnsi="Georgia"/>
          <w:sz w:val="24"/>
          <w:szCs w:val="24"/>
        </w:rPr>
        <w:t xml:space="preserve"> detailed archival information</w:t>
      </w:r>
      <w:r w:rsidR="002352DA">
        <w:rPr>
          <w:rFonts w:ascii="Georgia" w:hAnsi="Georgia"/>
          <w:sz w:val="24"/>
          <w:szCs w:val="24"/>
        </w:rPr>
        <w:t>;</w:t>
      </w:r>
      <w:r w:rsidR="00E9382F">
        <w:rPr>
          <w:rFonts w:ascii="Georgia" w:hAnsi="Georgia"/>
          <w:sz w:val="24"/>
          <w:szCs w:val="24"/>
        </w:rPr>
        <w:t xml:space="preserve"> and all </w:t>
      </w:r>
      <w:r w:rsidR="003816B7">
        <w:rPr>
          <w:rFonts w:ascii="Georgia" w:hAnsi="Georgia"/>
          <w:sz w:val="24"/>
          <w:szCs w:val="24"/>
        </w:rPr>
        <w:t>participants</w:t>
      </w:r>
      <w:r w:rsidR="00E9382F">
        <w:rPr>
          <w:rFonts w:ascii="Georgia" w:hAnsi="Georgia"/>
          <w:sz w:val="24"/>
          <w:szCs w:val="24"/>
        </w:rPr>
        <w:t xml:space="preserve"> have equal voting rights (instead of the discriminatory and </w:t>
      </w:r>
      <w:r w:rsidR="002352DA">
        <w:rPr>
          <w:rFonts w:ascii="Georgia" w:hAnsi="Georgia"/>
          <w:sz w:val="24"/>
          <w:szCs w:val="24"/>
        </w:rPr>
        <w:t>discredited</w:t>
      </w:r>
      <w:r w:rsidR="00E9382F">
        <w:rPr>
          <w:rFonts w:ascii="Georgia" w:hAnsi="Georgia"/>
          <w:sz w:val="24"/>
          <w:szCs w:val="24"/>
        </w:rPr>
        <w:t xml:space="preserve"> weighted-sector voting </w:t>
      </w:r>
      <w:r w:rsidR="003816B7">
        <w:rPr>
          <w:rFonts w:ascii="Georgia" w:hAnsi="Georgia"/>
          <w:sz w:val="24"/>
          <w:szCs w:val="24"/>
        </w:rPr>
        <w:t>nonsense</w:t>
      </w:r>
      <w:r w:rsidR="00E9382F">
        <w:rPr>
          <w:rFonts w:ascii="Georgia" w:hAnsi="Georgia"/>
          <w:sz w:val="24"/>
          <w:szCs w:val="24"/>
        </w:rPr>
        <w:t xml:space="preserve"> </w:t>
      </w:r>
      <w:r w:rsidR="00ED3C5B">
        <w:rPr>
          <w:rFonts w:ascii="Georgia" w:hAnsi="Georgia"/>
          <w:sz w:val="24"/>
          <w:szCs w:val="24"/>
        </w:rPr>
        <w:t>enshrined in</w:t>
      </w:r>
      <w:r w:rsidR="00E9382F">
        <w:rPr>
          <w:rFonts w:ascii="Georgia" w:hAnsi="Georgia"/>
          <w:sz w:val="24"/>
          <w:szCs w:val="24"/>
        </w:rPr>
        <w:t xml:space="preserve"> RTOs)</w:t>
      </w:r>
      <w:r w:rsidR="002352DA">
        <w:rPr>
          <w:rFonts w:ascii="Georgia" w:hAnsi="Georgia"/>
          <w:sz w:val="24"/>
          <w:szCs w:val="24"/>
        </w:rPr>
        <w:t>.</w:t>
      </w:r>
    </w:p>
    <w:p w14:paraId="3060EAEF" w14:textId="7CAF0A51" w:rsidR="00ED3C5B" w:rsidRDefault="00F46359" w:rsidP="00F03309">
      <w:pPr>
        <w:spacing w:line="360" w:lineRule="auto"/>
        <w:ind w:firstLine="360"/>
        <w:rPr>
          <w:rFonts w:ascii="Georgia" w:hAnsi="Georgia"/>
          <w:sz w:val="24"/>
          <w:szCs w:val="24"/>
        </w:rPr>
      </w:pPr>
      <w:r>
        <w:rPr>
          <w:rFonts w:ascii="Georgia" w:hAnsi="Georgia"/>
          <w:sz w:val="24"/>
          <w:szCs w:val="24"/>
        </w:rPr>
        <w:t xml:space="preserve">The Commission could, for example, establish a </w:t>
      </w:r>
      <w:r w:rsidR="004165BF">
        <w:rPr>
          <w:rFonts w:ascii="Georgia" w:hAnsi="Georgia"/>
          <w:sz w:val="24"/>
          <w:szCs w:val="24"/>
        </w:rPr>
        <w:t xml:space="preserve">MISO </w:t>
      </w:r>
      <w:r w:rsidR="00291081">
        <w:rPr>
          <w:rFonts w:ascii="Georgia" w:hAnsi="Georgia"/>
          <w:sz w:val="24"/>
          <w:szCs w:val="24"/>
        </w:rPr>
        <w:t xml:space="preserve">EJ </w:t>
      </w:r>
      <w:r w:rsidR="004165BF">
        <w:rPr>
          <w:rFonts w:ascii="Georgia" w:hAnsi="Georgia"/>
          <w:sz w:val="24"/>
          <w:szCs w:val="24"/>
        </w:rPr>
        <w:t xml:space="preserve">Transmission Planning Advisory Committee that would feature </w:t>
      </w:r>
      <w:r w:rsidR="00291081">
        <w:rPr>
          <w:rFonts w:ascii="Georgia" w:hAnsi="Georgia"/>
          <w:sz w:val="24"/>
          <w:szCs w:val="24"/>
        </w:rPr>
        <w:t xml:space="preserve">environmental justice representatives from throughout the ISOs footprint, and an additional MISO </w:t>
      </w:r>
      <w:r w:rsidR="0004640A">
        <w:rPr>
          <w:rFonts w:ascii="Georgia" w:hAnsi="Georgia"/>
          <w:sz w:val="24"/>
          <w:szCs w:val="24"/>
        </w:rPr>
        <w:t xml:space="preserve">Just and Reasonable Transmission Planning Advisory Committee that would include </w:t>
      </w:r>
      <w:r w:rsidR="000E7B77">
        <w:rPr>
          <w:rFonts w:ascii="Georgia" w:hAnsi="Georgia"/>
          <w:sz w:val="24"/>
          <w:szCs w:val="24"/>
        </w:rPr>
        <w:t xml:space="preserve">household </w:t>
      </w:r>
      <w:r w:rsidR="0004640A">
        <w:rPr>
          <w:rFonts w:ascii="Georgia" w:hAnsi="Georgia"/>
          <w:sz w:val="24"/>
          <w:szCs w:val="24"/>
        </w:rPr>
        <w:t>consumer advocates from the region.</w:t>
      </w:r>
      <w:r w:rsidR="000E7B77">
        <w:rPr>
          <w:rFonts w:ascii="Georgia" w:hAnsi="Georgia"/>
          <w:sz w:val="24"/>
          <w:szCs w:val="24"/>
        </w:rPr>
        <w:t xml:space="preserve"> Advisory committee members could help establish and steer the agenda, with active coordination</w:t>
      </w:r>
      <w:r w:rsidR="009F3E7D">
        <w:rPr>
          <w:rFonts w:ascii="Georgia" w:hAnsi="Georgia"/>
          <w:sz w:val="24"/>
          <w:szCs w:val="24"/>
        </w:rPr>
        <w:t xml:space="preserve"> and participation</w:t>
      </w:r>
      <w:r w:rsidR="000E7B77">
        <w:rPr>
          <w:rFonts w:ascii="Georgia" w:hAnsi="Georgia"/>
          <w:sz w:val="24"/>
          <w:szCs w:val="24"/>
        </w:rPr>
        <w:t xml:space="preserve"> from the Commission</w:t>
      </w:r>
      <w:r w:rsidR="009F3E7D">
        <w:rPr>
          <w:rFonts w:ascii="Georgia" w:hAnsi="Georgia"/>
          <w:sz w:val="24"/>
          <w:szCs w:val="24"/>
        </w:rPr>
        <w:t xml:space="preserve">. </w:t>
      </w:r>
      <w:r w:rsidR="00F46EDB">
        <w:rPr>
          <w:rFonts w:ascii="Georgia" w:hAnsi="Georgia"/>
          <w:sz w:val="24"/>
          <w:szCs w:val="24"/>
        </w:rPr>
        <w:t>Such a Commission-administrated deliberative process would not only enshrine superior transparency and governance standards compared to whatever it is the RTOs are doing, but it will allow the Commission</w:t>
      </w:r>
      <w:r w:rsidR="00D122A1">
        <w:rPr>
          <w:rFonts w:ascii="Cambria" w:hAnsi="Cambria"/>
          <w:sz w:val="24"/>
          <w:szCs w:val="24"/>
        </w:rPr>
        <w:t>—</w:t>
      </w:r>
      <w:r w:rsidR="00D122A1" w:rsidRPr="00D122A1">
        <w:rPr>
          <w:rFonts w:ascii="Georgia" w:hAnsi="Georgia"/>
          <w:sz w:val="24"/>
          <w:szCs w:val="24"/>
          <w:u w:val="single"/>
        </w:rPr>
        <w:t>not</w:t>
      </w:r>
      <w:r w:rsidR="00D122A1">
        <w:rPr>
          <w:rFonts w:ascii="Georgia" w:hAnsi="Georgia"/>
          <w:sz w:val="24"/>
          <w:szCs w:val="24"/>
        </w:rPr>
        <w:t xml:space="preserve"> the RTOs</w:t>
      </w:r>
      <w:r w:rsidR="00D122A1">
        <w:rPr>
          <w:rFonts w:ascii="Cambria" w:hAnsi="Cambria"/>
          <w:sz w:val="24"/>
          <w:szCs w:val="24"/>
        </w:rPr>
        <w:t>—</w:t>
      </w:r>
      <w:r w:rsidR="004C021A">
        <w:rPr>
          <w:rFonts w:ascii="Cambria" w:hAnsi="Cambria"/>
          <w:sz w:val="24"/>
          <w:szCs w:val="24"/>
        </w:rPr>
        <w:t xml:space="preserve">to </w:t>
      </w:r>
      <w:r w:rsidR="00D122A1">
        <w:rPr>
          <w:rFonts w:ascii="Georgia" w:hAnsi="Georgia"/>
          <w:sz w:val="24"/>
          <w:szCs w:val="24"/>
        </w:rPr>
        <w:t xml:space="preserve">facilitate </w:t>
      </w:r>
      <w:r w:rsidR="00F46EDB">
        <w:rPr>
          <w:rFonts w:ascii="Georgia" w:hAnsi="Georgia"/>
          <w:sz w:val="24"/>
          <w:szCs w:val="24"/>
        </w:rPr>
        <w:t>the discussions</w:t>
      </w:r>
      <w:r w:rsidR="008E7F1E">
        <w:rPr>
          <w:rFonts w:ascii="Georgia" w:hAnsi="Georgia"/>
          <w:sz w:val="24"/>
          <w:szCs w:val="24"/>
        </w:rPr>
        <w:t xml:space="preserve">. </w:t>
      </w:r>
      <w:r w:rsidR="009F3E7D">
        <w:rPr>
          <w:rFonts w:ascii="Georgia" w:hAnsi="Georgia"/>
          <w:sz w:val="24"/>
          <w:szCs w:val="24"/>
        </w:rPr>
        <w:t>These advisory committees could help shape transmission planning procedures and evaluation tools to help ensure that</w:t>
      </w:r>
      <w:r w:rsidR="00847E1C">
        <w:rPr>
          <w:rFonts w:ascii="Georgia" w:hAnsi="Georgia"/>
          <w:sz w:val="24"/>
          <w:szCs w:val="24"/>
        </w:rPr>
        <w:t xml:space="preserve"> planned transmission capacity reflects priorities </w:t>
      </w:r>
      <w:r w:rsidR="004B58EF">
        <w:rPr>
          <w:rFonts w:ascii="Georgia" w:hAnsi="Georgia"/>
          <w:sz w:val="24"/>
          <w:szCs w:val="24"/>
        </w:rPr>
        <w:t>of</w:t>
      </w:r>
      <w:r w:rsidR="00847E1C">
        <w:rPr>
          <w:rFonts w:ascii="Georgia" w:hAnsi="Georgia"/>
          <w:sz w:val="24"/>
          <w:szCs w:val="24"/>
        </w:rPr>
        <w:t xml:space="preserve"> EJ communit</w:t>
      </w:r>
      <w:r w:rsidR="004B58EF">
        <w:rPr>
          <w:rFonts w:ascii="Georgia" w:hAnsi="Georgia"/>
          <w:sz w:val="24"/>
          <w:szCs w:val="24"/>
        </w:rPr>
        <w:t>ies</w:t>
      </w:r>
      <w:r w:rsidR="00847E1C">
        <w:rPr>
          <w:rFonts w:ascii="Georgia" w:hAnsi="Georgia"/>
          <w:sz w:val="24"/>
          <w:szCs w:val="24"/>
        </w:rPr>
        <w:t xml:space="preserve"> and consumer advocates.</w:t>
      </w:r>
      <w:r w:rsidR="00D27B5F">
        <w:rPr>
          <w:rStyle w:val="FootnoteReference"/>
          <w:rFonts w:ascii="Georgia" w:hAnsi="Georgia"/>
          <w:sz w:val="24"/>
          <w:szCs w:val="24"/>
        </w:rPr>
        <w:footnoteReference w:id="8"/>
      </w:r>
      <w:r w:rsidR="00662DE1">
        <w:rPr>
          <w:rFonts w:ascii="Georgia" w:hAnsi="Georgia"/>
          <w:sz w:val="24"/>
          <w:szCs w:val="24"/>
        </w:rPr>
        <w:t xml:space="preserve"> </w:t>
      </w:r>
    </w:p>
    <w:p w14:paraId="7CF0E09D" w14:textId="77777777" w:rsidR="00F03309" w:rsidRDefault="00F03309" w:rsidP="00C41CF4">
      <w:pPr>
        <w:jc w:val="center"/>
        <w:rPr>
          <w:rFonts w:ascii="Georgia" w:hAnsi="Georgia"/>
          <w:b/>
          <w:bCs/>
          <w:sz w:val="24"/>
          <w:szCs w:val="24"/>
        </w:rPr>
      </w:pPr>
    </w:p>
    <w:p w14:paraId="0C27CD26" w14:textId="77777777" w:rsidR="004B58EF" w:rsidRDefault="004B58EF" w:rsidP="00C41CF4">
      <w:pPr>
        <w:jc w:val="center"/>
        <w:rPr>
          <w:rFonts w:ascii="Georgia" w:hAnsi="Georgia"/>
          <w:b/>
          <w:bCs/>
          <w:sz w:val="24"/>
          <w:szCs w:val="24"/>
        </w:rPr>
      </w:pPr>
    </w:p>
    <w:p w14:paraId="11D83975" w14:textId="0FA77BF0" w:rsidR="00C60C54" w:rsidRPr="00C41CF4" w:rsidRDefault="00C60C54" w:rsidP="00C41CF4">
      <w:pPr>
        <w:jc w:val="center"/>
        <w:rPr>
          <w:rFonts w:ascii="Georgia" w:hAnsi="Georgia"/>
          <w:b/>
          <w:bCs/>
          <w:sz w:val="24"/>
          <w:szCs w:val="24"/>
        </w:rPr>
      </w:pPr>
      <w:r w:rsidRPr="00C41CF4">
        <w:rPr>
          <w:rFonts w:ascii="Georgia" w:hAnsi="Georgia"/>
          <w:b/>
          <w:bCs/>
          <w:sz w:val="24"/>
          <w:szCs w:val="24"/>
        </w:rPr>
        <w:t xml:space="preserve">Need for Commission to Consult On DOE </w:t>
      </w:r>
      <w:r w:rsidR="00B06090" w:rsidRPr="00C41CF4">
        <w:rPr>
          <w:rFonts w:ascii="Georgia" w:hAnsi="Georgia"/>
          <w:b/>
          <w:bCs/>
          <w:sz w:val="24"/>
          <w:szCs w:val="24"/>
        </w:rPr>
        <w:t>National</w:t>
      </w:r>
      <w:r w:rsidRPr="00C41CF4">
        <w:rPr>
          <w:rFonts w:ascii="Georgia" w:hAnsi="Georgia"/>
          <w:b/>
          <w:bCs/>
          <w:sz w:val="24"/>
          <w:szCs w:val="24"/>
        </w:rPr>
        <w:t xml:space="preserve"> Interest </w:t>
      </w:r>
      <w:r w:rsidR="004B58EF" w:rsidRPr="00C41CF4">
        <w:rPr>
          <w:rFonts w:ascii="Georgia" w:hAnsi="Georgia"/>
          <w:b/>
          <w:bCs/>
          <w:sz w:val="24"/>
          <w:szCs w:val="24"/>
        </w:rPr>
        <w:t>Corridors</w:t>
      </w:r>
    </w:p>
    <w:p w14:paraId="69D23F17" w14:textId="77777777" w:rsidR="0075793C" w:rsidRDefault="0075793C" w:rsidP="00C60C54">
      <w:pPr>
        <w:rPr>
          <w:rFonts w:ascii="Georgia" w:hAnsi="Georgia"/>
          <w:sz w:val="24"/>
          <w:szCs w:val="24"/>
        </w:rPr>
      </w:pPr>
    </w:p>
    <w:p w14:paraId="4B0D5EE7" w14:textId="2D6EA9C5" w:rsidR="00C60C54" w:rsidRDefault="000D590E" w:rsidP="00280F6D">
      <w:pPr>
        <w:spacing w:line="360" w:lineRule="auto"/>
        <w:ind w:firstLine="720"/>
        <w:rPr>
          <w:rFonts w:ascii="Georgia" w:hAnsi="Georgia"/>
          <w:sz w:val="24"/>
          <w:szCs w:val="24"/>
        </w:rPr>
      </w:pPr>
      <w:r w:rsidRPr="000D590E">
        <w:rPr>
          <w:rFonts w:ascii="Georgia" w:hAnsi="Georgia"/>
          <w:sz w:val="24"/>
          <w:szCs w:val="24"/>
        </w:rPr>
        <w:t xml:space="preserve">On November 15, 2021, President Joe Biden signed </w:t>
      </w:r>
      <w:r w:rsidR="008C739A">
        <w:rPr>
          <w:rFonts w:ascii="Georgia" w:hAnsi="Georgia"/>
          <w:sz w:val="24"/>
          <w:szCs w:val="24"/>
        </w:rPr>
        <w:t xml:space="preserve">into law </w:t>
      </w:r>
      <w:r w:rsidRPr="000D590E">
        <w:rPr>
          <w:rFonts w:ascii="Georgia" w:hAnsi="Georgia"/>
          <w:sz w:val="24"/>
          <w:szCs w:val="24"/>
        </w:rPr>
        <w:t xml:space="preserve">H.R.3684, the </w:t>
      </w:r>
      <w:r w:rsidRPr="000D590E">
        <w:rPr>
          <w:rFonts w:ascii="Georgia" w:hAnsi="Georgia"/>
          <w:i/>
          <w:iCs/>
          <w:sz w:val="24"/>
          <w:szCs w:val="24"/>
        </w:rPr>
        <w:t>Infrastructure Investment and Jobs Act</w:t>
      </w:r>
      <w:r w:rsidRPr="000D590E">
        <w:rPr>
          <w:rFonts w:ascii="Georgia" w:hAnsi="Georgia"/>
          <w:sz w:val="24"/>
          <w:szCs w:val="24"/>
        </w:rPr>
        <w:t>.</w:t>
      </w:r>
      <w:r w:rsidR="009863C9">
        <w:rPr>
          <w:rStyle w:val="FootnoteReference"/>
          <w:rFonts w:ascii="Georgia" w:hAnsi="Georgia"/>
          <w:sz w:val="24"/>
          <w:szCs w:val="24"/>
        </w:rPr>
        <w:footnoteReference w:id="9"/>
      </w:r>
      <w:r w:rsidR="00C3065E">
        <w:rPr>
          <w:rFonts w:ascii="Georgia" w:hAnsi="Georgia"/>
          <w:sz w:val="24"/>
          <w:szCs w:val="24"/>
        </w:rPr>
        <w:t xml:space="preserve"> Section 40105</w:t>
      </w:r>
      <w:r w:rsidR="00744FCF">
        <w:rPr>
          <w:rFonts w:ascii="Georgia" w:hAnsi="Georgia"/>
          <w:sz w:val="24"/>
          <w:szCs w:val="24"/>
        </w:rPr>
        <w:t xml:space="preserve"> </w:t>
      </w:r>
      <w:r w:rsidR="00744FCF" w:rsidRPr="00744FCF">
        <w:rPr>
          <w:rFonts w:ascii="Georgia" w:hAnsi="Georgia"/>
          <w:sz w:val="24"/>
          <w:szCs w:val="24"/>
        </w:rPr>
        <w:t xml:space="preserve">amends the Federal Power Act to allow the Department of Energy to designate National Interest Electric </w:t>
      </w:r>
      <w:r w:rsidR="00744FCF" w:rsidRPr="00744FCF">
        <w:rPr>
          <w:rFonts w:ascii="Georgia" w:hAnsi="Georgia"/>
          <w:sz w:val="24"/>
          <w:szCs w:val="24"/>
        </w:rPr>
        <w:t>Transmission</w:t>
      </w:r>
      <w:r w:rsidR="00744FCF" w:rsidRPr="00744FCF">
        <w:rPr>
          <w:rFonts w:ascii="Georgia" w:hAnsi="Georgia"/>
          <w:sz w:val="24"/>
          <w:szCs w:val="24"/>
        </w:rPr>
        <w:t xml:space="preserve"> Corridors</w:t>
      </w:r>
      <w:r w:rsidR="00744FCF">
        <w:rPr>
          <w:rFonts w:ascii="Georgia" w:hAnsi="Georgia"/>
          <w:sz w:val="24"/>
          <w:szCs w:val="24"/>
        </w:rPr>
        <w:t xml:space="preserve">. It will be essential as part of the Commission’s transmission planning </w:t>
      </w:r>
      <w:r w:rsidR="00652EE2">
        <w:rPr>
          <w:rFonts w:ascii="Georgia" w:hAnsi="Georgia"/>
          <w:sz w:val="24"/>
          <w:szCs w:val="24"/>
        </w:rPr>
        <w:t>oversight</w:t>
      </w:r>
      <w:r w:rsidR="00744FCF">
        <w:rPr>
          <w:rFonts w:ascii="Georgia" w:hAnsi="Georgia"/>
          <w:sz w:val="24"/>
          <w:szCs w:val="24"/>
        </w:rPr>
        <w:t xml:space="preserve"> to coordinate with the Department of Energy on ensuring that EJ communities and </w:t>
      </w:r>
      <w:r w:rsidR="00B06090">
        <w:rPr>
          <w:rFonts w:ascii="Georgia" w:hAnsi="Georgia"/>
          <w:sz w:val="24"/>
          <w:szCs w:val="24"/>
        </w:rPr>
        <w:t xml:space="preserve">consumer advocates are able to meaningfully participate in the designation of such </w:t>
      </w:r>
      <w:r w:rsidR="00314000">
        <w:rPr>
          <w:rFonts w:ascii="Georgia" w:hAnsi="Georgia"/>
          <w:sz w:val="24"/>
          <w:szCs w:val="24"/>
        </w:rPr>
        <w:t>Transmission Corridors. In addition, consultation on</w:t>
      </w:r>
      <w:r w:rsidR="00035950">
        <w:rPr>
          <w:rFonts w:ascii="Georgia" w:hAnsi="Georgia"/>
          <w:sz w:val="24"/>
          <w:szCs w:val="24"/>
        </w:rPr>
        <w:t xml:space="preserve"> the </w:t>
      </w:r>
      <w:r w:rsidR="00035950">
        <w:rPr>
          <w:rFonts w:ascii="Georgia" w:hAnsi="Georgia"/>
          <w:sz w:val="24"/>
          <w:szCs w:val="24"/>
        </w:rPr>
        <w:lastRenderedPageBreak/>
        <w:t xml:space="preserve">Department of Energy’s new </w:t>
      </w:r>
      <w:r w:rsidR="00035950" w:rsidRPr="00F26B1A">
        <w:rPr>
          <w:rFonts w:ascii="Georgia" w:hAnsi="Georgia"/>
          <w:sz w:val="24"/>
          <w:szCs w:val="24"/>
        </w:rPr>
        <w:t>Transmission Facilitation Program</w:t>
      </w:r>
      <w:r w:rsidR="00035950">
        <w:rPr>
          <w:rFonts w:ascii="Georgia" w:hAnsi="Georgia"/>
          <w:sz w:val="24"/>
          <w:szCs w:val="24"/>
        </w:rPr>
        <w:t xml:space="preserve"> (Section 40106 of</w:t>
      </w:r>
      <w:r w:rsidR="0018634A">
        <w:rPr>
          <w:rFonts w:ascii="Georgia" w:hAnsi="Georgia"/>
          <w:sz w:val="24"/>
          <w:szCs w:val="24"/>
        </w:rPr>
        <w:t xml:space="preserve"> the </w:t>
      </w:r>
      <w:r w:rsidR="0018634A" w:rsidRPr="000D590E">
        <w:rPr>
          <w:rFonts w:ascii="Georgia" w:hAnsi="Georgia"/>
          <w:i/>
          <w:iCs/>
          <w:sz w:val="24"/>
          <w:szCs w:val="24"/>
        </w:rPr>
        <w:t>Infrastructure Investment and Jobs Act</w:t>
      </w:r>
      <w:r w:rsidR="0018634A">
        <w:rPr>
          <w:rFonts w:ascii="Georgia" w:hAnsi="Georgia"/>
          <w:sz w:val="24"/>
          <w:szCs w:val="24"/>
        </w:rPr>
        <w:t xml:space="preserve">) and the $5 billion in grants authorized for </w:t>
      </w:r>
      <w:r w:rsidR="00B66C92">
        <w:rPr>
          <w:rFonts w:ascii="Georgia" w:hAnsi="Georgia"/>
          <w:sz w:val="24"/>
          <w:szCs w:val="24"/>
        </w:rPr>
        <w:t>transmission upgrades (Section 40103) will also be important.</w:t>
      </w:r>
    </w:p>
    <w:p w14:paraId="4BBD8E31" w14:textId="77777777" w:rsidR="00A6114B" w:rsidRDefault="00A6114B" w:rsidP="000D590E">
      <w:pPr>
        <w:ind w:firstLine="720"/>
        <w:rPr>
          <w:rFonts w:ascii="Georgia" w:hAnsi="Georgia"/>
          <w:sz w:val="24"/>
          <w:szCs w:val="24"/>
        </w:rPr>
      </w:pPr>
    </w:p>
    <w:p w14:paraId="4E2C1C13" w14:textId="77777777" w:rsidR="00A6114B" w:rsidRDefault="00A6114B" w:rsidP="000D590E">
      <w:pPr>
        <w:ind w:firstLine="720"/>
        <w:rPr>
          <w:rFonts w:ascii="Georgia" w:hAnsi="Georgia"/>
          <w:sz w:val="24"/>
          <w:szCs w:val="24"/>
        </w:rPr>
      </w:pPr>
    </w:p>
    <w:p w14:paraId="1AEA2170" w14:textId="3DE8E4D3" w:rsidR="00A6114B" w:rsidRDefault="00A6114B" w:rsidP="00A6114B">
      <w:pPr>
        <w:ind w:left="720" w:firstLine="720"/>
        <w:rPr>
          <w:rFonts w:ascii="Georgia" w:hAnsi="Georgia"/>
          <w:sz w:val="24"/>
          <w:szCs w:val="24"/>
        </w:rPr>
      </w:pPr>
      <w:r>
        <w:rPr>
          <w:rFonts w:ascii="Georgia" w:hAnsi="Georgia"/>
          <w:sz w:val="24"/>
          <w:szCs w:val="24"/>
        </w:rPr>
        <w:t>Respectfully submitted,</w:t>
      </w:r>
    </w:p>
    <w:p w14:paraId="3AB6C16C" w14:textId="77777777" w:rsidR="00A6114B" w:rsidRDefault="00A6114B" w:rsidP="000D590E">
      <w:pPr>
        <w:ind w:firstLine="720"/>
        <w:rPr>
          <w:rFonts w:ascii="Georgia" w:hAnsi="Georgia"/>
          <w:sz w:val="24"/>
          <w:szCs w:val="24"/>
        </w:rPr>
      </w:pPr>
    </w:p>
    <w:p w14:paraId="48769DE0" w14:textId="35852842" w:rsidR="00A6114B" w:rsidRDefault="00A6114B" w:rsidP="00A6114B">
      <w:pPr>
        <w:ind w:left="720" w:firstLine="720"/>
        <w:rPr>
          <w:rFonts w:ascii="Georgia" w:hAnsi="Georgia"/>
          <w:sz w:val="24"/>
          <w:szCs w:val="24"/>
        </w:rPr>
      </w:pPr>
      <w:r>
        <w:rPr>
          <w:rFonts w:ascii="Georgia" w:hAnsi="Georgia"/>
          <w:sz w:val="24"/>
          <w:szCs w:val="24"/>
        </w:rPr>
        <w:t>Tyson Slocum, Energy Program Director</w:t>
      </w:r>
    </w:p>
    <w:p w14:paraId="7A8C22E5" w14:textId="1188C866" w:rsidR="00A6114B" w:rsidRDefault="00A6114B" w:rsidP="00A6114B">
      <w:pPr>
        <w:ind w:left="720" w:firstLine="720"/>
        <w:rPr>
          <w:rFonts w:ascii="Georgia" w:hAnsi="Georgia"/>
          <w:sz w:val="24"/>
          <w:szCs w:val="24"/>
        </w:rPr>
      </w:pPr>
      <w:r>
        <w:rPr>
          <w:rFonts w:ascii="Georgia" w:hAnsi="Georgia"/>
          <w:sz w:val="24"/>
          <w:szCs w:val="24"/>
        </w:rPr>
        <w:t>Public Citizen, Inc.</w:t>
      </w:r>
    </w:p>
    <w:p w14:paraId="14114376" w14:textId="3FC5D92A" w:rsidR="00A6114B" w:rsidRDefault="00A6114B" w:rsidP="00A6114B">
      <w:pPr>
        <w:ind w:left="720" w:firstLine="720"/>
        <w:rPr>
          <w:rFonts w:ascii="Georgia" w:hAnsi="Georgia"/>
          <w:sz w:val="24"/>
          <w:szCs w:val="24"/>
        </w:rPr>
      </w:pPr>
      <w:r>
        <w:rPr>
          <w:rFonts w:ascii="Georgia" w:hAnsi="Georgia"/>
          <w:sz w:val="24"/>
          <w:szCs w:val="24"/>
        </w:rPr>
        <w:t>215 Pennsylvania Ave SE</w:t>
      </w:r>
    </w:p>
    <w:p w14:paraId="53ECB8CB" w14:textId="012AA532" w:rsidR="00A6114B" w:rsidRDefault="00A6114B" w:rsidP="00A6114B">
      <w:pPr>
        <w:ind w:left="720" w:firstLine="720"/>
        <w:rPr>
          <w:rFonts w:ascii="Georgia" w:hAnsi="Georgia"/>
          <w:sz w:val="24"/>
          <w:szCs w:val="24"/>
        </w:rPr>
      </w:pPr>
      <w:r>
        <w:rPr>
          <w:rFonts w:ascii="Georgia" w:hAnsi="Georgia"/>
          <w:sz w:val="24"/>
          <w:szCs w:val="24"/>
        </w:rPr>
        <w:t>Washington, DC  20003</w:t>
      </w:r>
    </w:p>
    <w:p w14:paraId="6F30C03A" w14:textId="74839F13" w:rsidR="00A6114B" w:rsidRDefault="00A6114B" w:rsidP="00A6114B">
      <w:pPr>
        <w:ind w:left="720" w:firstLine="720"/>
        <w:rPr>
          <w:rFonts w:ascii="Georgia" w:hAnsi="Georgia"/>
          <w:sz w:val="24"/>
          <w:szCs w:val="24"/>
        </w:rPr>
      </w:pPr>
      <w:r>
        <w:rPr>
          <w:rFonts w:ascii="Georgia" w:hAnsi="Georgia"/>
          <w:sz w:val="24"/>
          <w:szCs w:val="24"/>
        </w:rPr>
        <w:t>(202) 454-5191</w:t>
      </w:r>
    </w:p>
    <w:p w14:paraId="0F3172AF" w14:textId="41993217" w:rsidR="00A6114B" w:rsidRPr="0018634A" w:rsidRDefault="00A6114B" w:rsidP="00A6114B">
      <w:pPr>
        <w:ind w:left="720" w:firstLine="720"/>
        <w:rPr>
          <w:rFonts w:ascii="Georgia" w:hAnsi="Georgia"/>
          <w:sz w:val="24"/>
          <w:szCs w:val="24"/>
        </w:rPr>
      </w:pPr>
      <w:r>
        <w:rPr>
          <w:rFonts w:ascii="Georgia" w:hAnsi="Georgia"/>
          <w:sz w:val="24"/>
          <w:szCs w:val="24"/>
        </w:rPr>
        <w:t>tslocum@citizen.org</w:t>
      </w:r>
    </w:p>
    <w:p w14:paraId="3076B719" w14:textId="77777777" w:rsidR="008D1F3A" w:rsidRDefault="008D1F3A">
      <w:pPr>
        <w:rPr>
          <w:rFonts w:ascii="Georgia" w:hAnsi="Georgia"/>
          <w:sz w:val="24"/>
          <w:szCs w:val="24"/>
        </w:rPr>
      </w:pPr>
    </w:p>
    <w:p w14:paraId="0953F96B" w14:textId="1B87E9F6" w:rsidR="003172F7" w:rsidRPr="0056400F" w:rsidRDefault="003172F7" w:rsidP="00F26B1A">
      <w:pPr>
        <w:rPr>
          <w:rFonts w:ascii="Georgia" w:hAnsi="Georgia"/>
          <w:sz w:val="24"/>
          <w:szCs w:val="24"/>
        </w:rPr>
      </w:pPr>
    </w:p>
    <w:sectPr w:rsidR="003172F7" w:rsidRPr="0056400F" w:rsidSect="00F033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A399" w14:textId="77777777" w:rsidR="00D865D7" w:rsidRDefault="00D865D7" w:rsidP="008D1F3A">
      <w:r>
        <w:separator/>
      </w:r>
    </w:p>
  </w:endnote>
  <w:endnote w:type="continuationSeparator" w:id="0">
    <w:p w14:paraId="2B24896C" w14:textId="77777777" w:rsidR="00D865D7" w:rsidRDefault="00D865D7" w:rsidP="008D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E56D" w14:textId="77777777" w:rsidR="00F03309" w:rsidRDefault="00F03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829614"/>
      <w:docPartObj>
        <w:docPartGallery w:val="Page Numbers (Bottom of Page)"/>
        <w:docPartUnique/>
      </w:docPartObj>
    </w:sdtPr>
    <w:sdtEndPr>
      <w:rPr>
        <w:color w:val="7F7F7F" w:themeColor="background1" w:themeShade="7F"/>
        <w:spacing w:val="60"/>
      </w:rPr>
    </w:sdtEndPr>
    <w:sdtContent>
      <w:p w14:paraId="277BAA61" w14:textId="2771C063" w:rsidR="00F03309" w:rsidRDefault="00F0330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FBA1BC" w14:textId="77777777" w:rsidR="00F03309" w:rsidRDefault="00F03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9707" w14:textId="77777777" w:rsidR="00F03309" w:rsidRDefault="00F03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40E1" w14:textId="77777777" w:rsidR="00D865D7" w:rsidRDefault="00D865D7" w:rsidP="008D1F3A">
      <w:r>
        <w:separator/>
      </w:r>
    </w:p>
  </w:footnote>
  <w:footnote w:type="continuationSeparator" w:id="0">
    <w:p w14:paraId="5613F7E0" w14:textId="77777777" w:rsidR="00D865D7" w:rsidRDefault="00D865D7" w:rsidP="008D1F3A">
      <w:r>
        <w:continuationSeparator/>
      </w:r>
    </w:p>
  </w:footnote>
  <w:footnote w:id="1">
    <w:p w14:paraId="10B7A2C3" w14:textId="0989D304" w:rsidR="000372F7" w:rsidRDefault="000372F7">
      <w:pPr>
        <w:pStyle w:val="FootnoteText"/>
      </w:pPr>
      <w:r>
        <w:rPr>
          <w:rStyle w:val="FootnoteReference"/>
        </w:rPr>
        <w:footnoteRef/>
      </w:r>
      <w:r>
        <w:t xml:space="preserve"> </w:t>
      </w:r>
      <w:r w:rsidR="00655061" w:rsidRPr="00655061">
        <w:rPr>
          <w:rFonts w:ascii="Georgia" w:hAnsi="Georgia"/>
        </w:rPr>
        <w:t xml:space="preserve">Posted in the November 29, 2021 </w:t>
      </w:r>
      <w:r w:rsidR="00655061" w:rsidRPr="00655061">
        <w:rPr>
          <w:rFonts w:ascii="Georgia" w:hAnsi="Georgia"/>
          <w:i/>
          <w:iCs/>
        </w:rPr>
        <w:t>Federal Register</w:t>
      </w:r>
      <w:r w:rsidR="00655061" w:rsidRPr="00655061">
        <w:rPr>
          <w:rFonts w:ascii="Georgia" w:hAnsi="Georgia"/>
        </w:rPr>
        <w:t xml:space="preserve"> </w:t>
      </w:r>
      <w:r w:rsidR="00655061" w:rsidRPr="00655061">
        <w:rPr>
          <w:rFonts w:ascii="Georgia" w:hAnsi="Georgia"/>
        </w:rPr>
        <w:t>www.govinfo.gov/content/pkg/FR-2021-11-29/html/2021-25939.htm</w:t>
      </w:r>
    </w:p>
  </w:footnote>
  <w:footnote w:id="2">
    <w:p w14:paraId="6AC1662E" w14:textId="05496682" w:rsidR="008D1F3A" w:rsidRDefault="008D1F3A">
      <w:pPr>
        <w:pStyle w:val="FootnoteText"/>
      </w:pPr>
      <w:r>
        <w:rPr>
          <w:rStyle w:val="FootnoteReference"/>
        </w:rPr>
        <w:footnoteRef/>
      </w:r>
      <w:r>
        <w:t xml:space="preserve"> </w:t>
      </w:r>
      <w:r w:rsidRPr="008D1F3A">
        <w:rPr>
          <w:rFonts w:ascii="Georgia" w:hAnsi="Georgia"/>
        </w:rPr>
        <w:t xml:space="preserve">October 27, 2021 </w:t>
      </w:r>
      <w:r w:rsidRPr="008D1F3A">
        <w:rPr>
          <w:rFonts w:ascii="Georgia" w:hAnsi="Georgia"/>
          <w:i/>
          <w:iCs/>
        </w:rPr>
        <w:t>Notice of Meeting</w:t>
      </w:r>
      <w:r w:rsidRPr="008D1F3A">
        <w:rPr>
          <w:rFonts w:ascii="Georgia" w:hAnsi="Georgia"/>
        </w:rPr>
        <w:t>.</w:t>
      </w:r>
    </w:p>
  </w:footnote>
  <w:footnote w:id="3">
    <w:p w14:paraId="579820AE" w14:textId="622C4BA0" w:rsidR="002C65BA" w:rsidRDefault="002C65BA">
      <w:pPr>
        <w:pStyle w:val="FootnoteText"/>
      </w:pPr>
      <w:r>
        <w:rPr>
          <w:rStyle w:val="FootnoteReference"/>
        </w:rPr>
        <w:footnoteRef/>
      </w:r>
      <w:r>
        <w:t xml:space="preserve"> </w:t>
      </w:r>
      <w:r w:rsidRPr="002C65BA">
        <w:rPr>
          <w:rFonts w:ascii="Georgia" w:hAnsi="Georgia"/>
        </w:rPr>
        <w:t>www.citizen.org/about/annual-report/</w:t>
      </w:r>
    </w:p>
  </w:footnote>
  <w:footnote w:id="4">
    <w:p w14:paraId="7420509D" w14:textId="45676916" w:rsidR="001B1A10" w:rsidRDefault="001B1A10">
      <w:pPr>
        <w:pStyle w:val="FootnoteText"/>
      </w:pPr>
      <w:r>
        <w:rPr>
          <w:rStyle w:val="FootnoteReference"/>
        </w:rPr>
        <w:footnoteRef/>
      </w:r>
      <w:r>
        <w:t xml:space="preserve"> </w:t>
      </w:r>
      <w:r w:rsidR="00715EE8" w:rsidRPr="00A00DB0">
        <w:rPr>
          <w:rFonts w:ascii="Georgia" w:hAnsi="Georgia"/>
        </w:rPr>
        <w:t>A</w:t>
      </w:r>
      <w:r w:rsidR="00715EE8" w:rsidRPr="00A00DB0">
        <w:rPr>
          <w:rFonts w:ascii="Georgia" w:hAnsi="Georgia"/>
        </w:rPr>
        <w:t>t pages 3 and 96, www.ferc.gov/sites/default/files/2020-06/RM99-2-00K_0.pdf</w:t>
      </w:r>
    </w:p>
  </w:footnote>
  <w:footnote w:id="5">
    <w:p w14:paraId="379E699C" w14:textId="0B078CB1" w:rsidR="00BD20D7" w:rsidRDefault="00BD20D7">
      <w:pPr>
        <w:pStyle w:val="FootnoteText"/>
      </w:pPr>
      <w:r>
        <w:rPr>
          <w:rStyle w:val="FootnoteReference"/>
        </w:rPr>
        <w:footnoteRef/>
      </w:r>
      <w:r>
        <w:t xml:space="preserve"> </w:t>
      </w:r>
      <w:r w:rsidRPr="006B437A">
        <w:rPr>
          <w:rFonts w:ascii="Georgia" w:hAnsi="Georgia"/>
        </w:rPr>
        <w:t xml:space="preserve">A proposal we made to President Biden’s transition team in November 2020: </w:t>
      </w:r>
      <w:r w:rsidRPr="006B437A">
        <w:rPr>
          <w:rFonts w:ascii="Georgia" w:hAnsi="Georgia"/>
        </w:rPr>
        <w:t>www.citizen.org/wp-content/uploads/FERC2021.pdf</w:t>
      </w:r>
    </w:p>
  </w:footnote>
  <w:footnote w:id="6">
    <w:p w14:paraId="61832227" w14:textId="63ED5A04" w:rsidR="004E4380" w:rsidRDefault="004E4380">
      <w:pPr>
        <w:pStyle w:val="FootnoteText"/>
      </w:pPr>
      <w:r>
        <w:rPr>
          <w:rStyle w:val="FootnoteReference"/>
        </w:rPr>
        <w:footnoteRef/>
      </w:r>
      <w:r>
        <w:t xml:space="preserve"> </w:t>
      </w:r>
      <w:r w:rsidRPr="004E4380">
        <w:rPr>
          <w:rFonts w:ascii="Georgia" w:hAnsi="Georgia"/>
        </w:rPr>
        <w:t>Fifty-six other federal agencies have active advisory committees: www.facadatabase.gov/FACA/apex/FACAPublicAgencyNavigation</w:t>
      </w:r>
    </w:p>
  </w:footnote>
  <w:footnote w:id="7">
    <w:p w14:paraId="028E3FBE" w14:textId="4CD8720B" w:rsidR="00FE1FB7" w:rsidRDefault="00FE1FB7">
      <w:pPr>
        <w:pStyle w:val="FootnoteText"/>
      </w:pPr>
      <w:r>
        <w:rPr>
          <w:rStyle w:val="FootnoteReference"/>
        </w:rPr>
        <w:footnoteRef/>
      </w:r>
      <w:r>
        <w:t xml:space="preserve"> </w:t>
      </w:r>
      <w:r w:rsidRPr="00FE1FB7">
        <w:rPr>
          <w:rFonts w:ascii="Georgia" w:hAnsi="Georgia"/>
        </w:rPr>
        <w:t>www.gsa.gov/policy-regulations/policy/federal-advisory-committee-management/legislation-and-regulations/the-federal-advisory-committee-act</w:t>
      </w:r>
    </w:p>
  </w:footnote>
  <w:footnote w:id="8">
    <w:p w14:paraId="2BA1C06F" w14:textId="5582F9B1" w:rsidR="00D27B5F" w:rsidRDefault="00D27B5F">
      <w:pPr>
        <w:pStyle w:val="FootnoteText"/>
      </w:pPr>
      <w:r>
        <w:rPr>
          <w:rStyle w:val="FootnoteReference"/>
        </w:rPr>
        <w:footnoteRef/>
      </w:r>
      <w:r>
        <w:t xml:space="preserve"> </w:t>
      </w:r>
      <w:r w:rsidRPr="00A6114B">
        <w:rPr>
          <w:rFonts w:ascii="Georgia" w:hAnsi="Georgia"/>
        </w:rPr>
        <w:t xml:space="preserve">Establishment of advisory committees is in addition to the </w:t>
      </w:r>
      <w:r w:rsidR="00A6114B" w:rsidRPr="00A6114B">
        <w:rPr>
          <w:rFonts w:ascii="Georgia" w:hAnsi="Georgia"/>
        </w:rPr>
        <w:t>important role of the new Office of Public Participation.</w:t>
      </w:r>
    </w:p>
  </w:footnote>
  <w:footnote w:id="9">
    <w:p w14:paraId="649C6E7D" w14:textId="2A819B33" w:rsidR="009863C9" w:rsidRDefault="009863C9">
      <w:pPr>
        <w:pStyle w:val="FootnoteText"/>
      </w:pPr>
      <w:r>
        <w:rPr>
          <w:rStyle w:val="FootnoteReference"/>
        </w:rPr>
        <w:footnoteRef/>
      </w:r>
      <w:r>
        <w:t xml:space="preserve"> </w:t>
      </w:r>
      <w:r w:rsidR="002E5C7D" w:rsidRPr="00C3065E">
        <w:rPr>
          <w:rFonts w:ascii="Georgia" w:hAnsi="Georgia"/>
        </w:rPr>
        <w:t>Public Law No: 117-58</w:t>
      </w:r>
      <w:r w:rsidR="002E5C7D" w:rsidRPr="00C3065E">
        <w:rPr>
          <w:rFonts w:ascii="Georgia" w:hAnsi="Georgia"/>
        </w:rPr>
        <w:t xml:space="preserve">, </w:t>
      </w:r>
      <w:r w:rsidRPr="002E5C7D">
        <w:rPr>
          <w:rFonts w:ascii="Georgia" w:hAnsi="Georgia"/>
        </w:rPr>
        <w:t>www.congress.gov/bill/117th-congress/house-bill/3684/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994F" w14:textId="77777777" w:rsidR="00F03309" w:rsidRDefault="00F03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A775" w14:textId="4727FABA" w:rsidR="009572D5" w:rsidRPr="009572D5" w:rsidRDefault="009572D5" w:rsidP="009572D5">
    <w:pPr>
      <w:pStyle w:val="Header"/>
      <w:jc w:val="center"/>
      <w:rPr>
        <w:rFonts w:ascii="Georgia" w:hAnsi="Georgia"/>
        <w:i/>
        <w:iCs/>
      </w:rPr>
    </w:pPr>
    <w:r w:rsidRPr="009572D5">
      <w:rPr>
        <w:rFonts w:ascii="Georgia" w:hAnsi="Georgia"/>
        <w:i/>
        <w:iCs/>
      </w:rPr>
      <w:t>Comments of Public Citizen • Docket No. AD21-15 • December 28, 2021</w:t>
    </w:r>
  </w:p>
  <w:p w14:paraId="0DDEFDE9" w14:textId="77777777" w:rsidR="00F03309" w:rsidRDefault="00F03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C23B" w14:textId="77777777" w:rsidR="00F03309" w:rsidRDefault="00F03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6839"/>
    <w:multiLevelType w:val="hybridMultilevel"/>
    <w:tmpl w:val="5F8C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0F"/>
    <w:rsid w:val="00035950"/>
    <w:rsid w:val="000372F7"/>
    <w:rsid w:val="0004640A"/>
    <w:rsid w:val="00050807"/>
    <w:rsid w:val="000616D6"/>
    <w:rsid w:val="00067557"/>
    <w:rsid w:val="00083891"/>
    <w:rsid w:val="000A179F"/>
    <w:rsid w:val="000D57D3"/>
    <w:rsid w:val="000D590E"/>
    <w:rsid w:val="000E15EC"/>
    <w:rsid w:val="000E7B77"/>
    <w:rsid w:val="00130CB3"/>
    <w:rsid w:val="00145FB5"/>
    <w:rsid w:val="00153570"/>
    <w:rsid w:val="00160EA0"/>
    <w:rsid w:val="0017328D"/>
    <w:rsid w:val="00184565"/>
    <w:rsid w:val="0018634A"/>
    <w:rsid w:val="001B1A10"/>
    <w:rsid w:val="001C0703"/>
    <w:rsid w:val="001D0ED9"/>
    <w:rsid w:val="001E68F3"/>
    <w:rsid w:val="001F2D4C"/>
    <w:rsid w:val="00230B32"/>
    <w:rsid w:val="002352DA"/>
    <w:rsid w:val="002473D7"/>
    <w:rsid w:val="002520BC"/>
    <w:rsid w:val="002572F9"/>
    <w:rsid w:val="002627F7"/>
    <w:rsid w:val="00270941"/>
    <w:rsid w:val="00280F6D"/>
    <w:rsid w:val="00290622"/>
    <w:rsid w:val="00291081"/>
    <w:rsid w:val="002961B1"/>
    <w:rsid w:val="002A7548"/>
    <w:rsid w:val="002C65BA"/>
    <w:rsid w:val="002D002F"/>
    <w:rsid w:val="002E5C7D"/>
    <w:rsid w:val="002F5DC3"/>
    <w:rsid w:val="002F7B12"/>
    <w:rsid w:val="003068D2"/>
    <w:rsid w:val="00314000"/>
    <w:rsid w:val="003172F7"/>
    <w:rsid w:val="0035651F"/>
    <w:rsid w:val="00371BA0"/>
    <w:rsid w:val="003816B7"/>
    <w:rsid w:val="00394D2D"/>
    <w:rsid w:val="003C1F07"/>
    <w:rsid w:val="003E02D8"/>
    <w:rsid w:val="003E330B"/>
    <w:rsid w:val="00414B8E"/>
    <w:rsid w:val="004165BF"/>
    <w:rsid w:val="00431F47"/>
    <w:rsid w:val="004A0350"/>
    <w:rsid w:val="004B475D"/>
    <w:rsid w:val="004B58EF"/>
    <w:rsid w:val="004C021A"/>
    <w:rsid w:val="004E0F6E"/>
    <w:rsid w:val="004E4380"/>
    <w:rsid w:val="00545344"/>
    <w:rsid w:val="0056400F"/>
    <w:rsid w:val="005711EE"/>
    <w:rsid w:val="0059705C"/>
    <w:rsid w:val="005B7D26"/>
    <w:rsid w:val="005E04A1"/>
    <w:rsid w:val="005E36A8"/>
    <w:rsid w:val="005F06FE"/>
    <w:rsid w:val="005F508F"/>
    <w:rsid w:val="00601F20"/>
    <w:rsid w:val="00647448"/>
    <w:rsid w:val="00652EE2"/>
    <w:rsid w:val="00655061"/>
    <w:rsid w:val="00662DE1"/>
    <w:rsid w:val="00662EDA"/>
    <w:rsid w:val="00670081"/>
    <w:rsid w:val="00681714"/>
    <w:rsid w:val="006A00F9"/>
    <w:rsid w:val="006B437A"/>
    <w:rsid w:val="006D5160"/>
    <w:rsid w:val="006E040F"/>
    <w:rsid w:val="00710852"/>
    <w:rsid w:val="00714A77"/>
    <w:rsid w:val="00715A0A"/>
    <w:rsid w:val="00715EE8"/>
    <w:rsid w:val="00726280"/>
    <w:rsid w:val="0073370F"/>
    <w:rsid w:val="00744FCF"/>
    <w:rsid w:val="0075793C"/>
    <w:rsid w:val="00765EA8"/>
    <w:rsid w:val="007660EE"/>
    <w:rsid w:val="00777B54"/>
    <w:rsid w:val="007972A5"/>
    <w:rsid w:val="007A4317"/>
    <w:rsid w:val="007B232D"/>
    <w:rsid w:val="007C1819"/>
    <w:rsid w:val="007D2F77"/>
    <w:rsid w:val="00824F58"/>
    <w:rsid w:val="00825194"/>
    <w:rsid w:val="008478B4"/>
    <w:rsid w:val="00847E1C"/>
    <w:rsid w:val="0087284C"/>
    <w:rsid w:val="008C29C4"/>
    <w:rsid w:val="008C4FD0"/>
    <w:rsid w:val="008C622D"/>
    <w:rsid w:val="008C739A"/>
    <w:rsid w:val="008D1F3A"/>
    <w:rsid w:val="008E0229"/>
    <w:rsid w:val="008E7F1E"/>
    <w:rsid w:val="009572D5"/>
    <w:rsid w:val="00966090"/>
    <w:rsid w:val="009863C9"/>
    <w:rsid w:val="009B47E1"/>
    <w:rsid w:val="009B650C"/>
    <w:rsid w:val="009D781E"/>
    <w:rsid w:val="009E462A"/>
    <w:rsid w:val="009F07F0"/>
    <w:rsid w:val="009F3E7D"/>
    <w:rsid w:val="00A00DB0"/>
    <w:rsid w:val="00A6114B"/>
    <w:rsid w:val="00A70D9C"/>
    <w:rsid w:val="00AA193E"/>
    <w:rsid w:val="00AB526F"/>
    <w:rsid w:val="00AB6FD4"/>
    <w:rsid w:val="00AC06CB"/>
    <w:rsid w:val="00AC6CD5"/>
    <w:rsid w:val="00AF583B"/>
    <w:rsid w:val="00B06090"/>
    <w:rsid w:val="00B24235"/>
    <w:rsid w:val="00B34CC8"/>
    <w:rsid w:val="00B566E5"/>
    <w:rsid w:val="00B653E9"/>
    <w:rsid w:val="00B66C92"/>
    <w:rsid w:val="00B92264"/>
    <w:rsid w:val="00BB4B7D"/>
    <w:rsid w:val="00BB6929"/>
    <w:rsid w:val="00BC4BF6"/>
    <w:rsid w:val="00BC642E"/>
    <w:rsid w:val="00BD20D7"/>
    <w:rsid w:val="00BD273A"/>
    <w:rsid w:val="00BD27B8"/>
    <w:rsid w:val="00BD3D95"/>
    <w:rsid w:val="00BE44FA"/>
    <w:rsid w:val="00C052C1"/>
    <w:rsid w:val="00C3065E"/>
    <w:rsid w:val="00C4190D"/>
    <w:rsid w:val="00C41CF4"/>
    <w:rsid w:val="00C60C54"/>
    <w:rsid w:val="00C6297D"/>
    <w:rsid w:val="00CE3D2C"/>
    <w:rsid w:val="00D122A1"/>
    <w:rsid w:val="00D27B5F"/>
    <w:rsid w:val="00D53537"/>
    <w:rsid w:val="00D71691"/>
    <w:rsid w:val="00D81E3B"/>
    <w:rsid w:val="00D865D7"/>
    <w:rsid w:val="00E049AE"/>
    <w:rsid w:val="00E272EF"/>
    <w:rsid w:val="00E61249"/>
    <w:rsid w:val="00E7660F"/>
    <w:rsid w:val="00E9382F"/>
    <w:rsid w:val="00EC7AE3"/>
    <w:rsid w:val="00ED0F02"/>
    <w:rsid w:val="00ED3C5B"/>
    <w:rsid w:val="00EE11DA"/>
    <w:rsid w:val="00EE1E45"/>
    <w:rsid w:val="00EE2CA3"/>
    <w:rsid w:val="00EF0A5E"/>
    <w:rsid w:val="00EF363E"/>
    <w:rsid w:val="00F03309"/>
    <w:rsid w:val="00F054CC"/>
    <w:rsid w:val="00F26B1A"/>
    <w:rsid w:val="00F37498"/>
    <w:rsid w:val="00F46359"/>
    <w:rsid w:val="00F46EDB"/>
    <w:rsid w:val="00F72578"/>
    <w:rsid w:val="00F752F0"/>
    <w:rsid w:val="00FC0E23"/>
    <w:rsid w:val="00FD65AF"/>
    <w:rsid w:val="00FD7602"/>
    <w:rsid w:val="00FE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1CE2"/>
  <w15:chartTrackingRefBased/>
  <w15:docId w15:val="{D7763C32-1C32-45D7-A341-B9DD6769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1E68F3"/>
    <w:pPr>
      <w:keepLines/>
      <w:widowControl w:val="0"/>
    </w:pPr>
  </w:style>
  <w:style w:type="character" w:customStyle="1" w:styleId="FootnoteTextChar">
    <w:name w:val="Footnote Text Char"/>
    <w:basedOn w:val="DefaultParagraphFont"/>
    <w:link w:val="FootnoteText"/>
    <w:uiPriority w:val="99"/>
    <w:semiHidden/>
    <w:rsid w:val="001E68F3"/>
  </w:style>
  <w:style w:type="paragraph" w:styleId="ListParagraph">
    <w:name w:val="List Paragraph"/>
    <w:basedOn w:val="Normal"/>
    <w:uiPriority w:val="34"/>
    <w:qFormat/>
    <w:rsid w:val="00670081"/>
    <w:pPr>
      <w:ind w:left="720"/>
      <w:contextualSpacing/>
    </w:pPr>
  </w:style>
  <w:style w:type="character" w:styleId="FootnoteReference">
    <w:name w:val="footnote reference"/>
    <w:basedOn w:val="DefaultParagraphFont"/>
    <w:uiPriority w:val="99"/>
    <w:semiHidden/>
    <w:unhideWhenUsed/>
    <w:rsid w:val="008D1F3A"/>
    <w:rPr>
      <w:vertAlign w:val="superscript"/>
    </w:rPr>
  </w:style>
  <w:style w:type="paragraph" w:styleId="Header">
    <w:name w:val="header"/>
    <w:basedOn w:val="Normal"/>
    <w:link w:val="HeaderChar"/>
    <w:uiPriority w:val="99"/>
    <w:unhideWhenUsed/>
    <w:rsid w:val="00F03309"/>
    <w:pPr>
      <w:tabs>
        <w:tab w:val="center" w:pos="4680"/>
        <w:tab w:val="right" w:pos="9360"/>
      </w:tabs>
    </w:pPr>
  </w:style>
  <w:style w:type="character" w:customStyle="1" w:styleId="HeaderChar">
    <w:name w:val="Header Char"/>
    <w:basedOn w:val="DefaultParagraphFont"/>
    <w:link w:val="Header"/>
    <w:uiPriority w:val="99"/>
    <w:rsid w:val="00F03309"/>
  </w:style>
  <w:style w:type="paragraph" w:styleId="Footer">
    <w:name w:val="footer"/>
    <w:basedOn w:val="Normal"/>
    <w:link w:val="FooterChar"/>
    <w:uiPriority w:val="99"/>
    <w:unhideWhenUsed/>
    <w:rsid w:val="00F03309"/>
    <w:pPr>
      <w:tabs>
        <w:tab w:val="center" w:pos="4680"/>
        <w:tab w:val="right" w:pos="9360"/>
      </w:tabs>
    </w:pPr>
  </w:style>
  <w:style w:type="character" w:customStyle="1" w:styleId="FooterChar">
    <w:name w:val="Footer Char"/>
    <w:basedOn w:val="DefaultParagraphFont"/>
    <w:link w:val="Footer"/>
    <w:uiPriority w:val="99"/>
    <w:rsid w:val="00F0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32C29-FBA7-4C6C-BAD4-45A9358E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165</cp:revision>
  <dcterms:created xsi:type="dcterms:W3CDTF">2021-12-27T14:45:00Z</dcterms:created>
  <dcterms:modified xsi:type="dcterms:W3CDTF">2021-12-28T19:51:00Z</dcterms:modified>
</cp:coreProperties>
</file>