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C304" w14:textId="77777777" w:rsidR="00881115" w:rsidRDefault="00B53569" w:rsidP="007579CD">
      <w:pPr>
        <w:spacing w:after="0" w:line="240" w:lineRule="auto"/>
        <w:jc w:val="center"/>
        <w:rPr>
          <w:rFonts w:ascii="Georgia" w:eastAsia="Georgia" w:hAnsi="Georgia" w:cs="Georgia"/>
          <w:sz w:val="24"/>
          <w:szCs w:val="24"/>
        </w:rPr>
      </w:pPr>
      <w:r>
        <w:rPr>
          <w:rFonts w:ascii="Georgia" w:eastAsia="Georgia" w:hAnsi="Georgia" w:cs="Georgia"/>
          <w:sz w:val="24"/>
          <w:szCs w:val="24"/>
        </w:rPr>
        <w:t>UNITED STATES OF AMERICA</w:t>
      </w:r>
    </w:p>
    <w:p w14:paraId="3D5642CD" w14:textId="77777777" w:rsidR="00881115" w:rsidRDefault="00B53569" w:rsidP="007579CD">
      <w:pPr>
        <w:spacing w:after="0" w:line="240" w:lineRule="auto"/>
        <w:jc w:val="center"/>
        <w:rPr>
          <w:rFonts w:ascii="Georgia" w:eastAsia="Georgia" w:hAnsi="Georgia" w:cs="Georgia"/>
          <w:sz w:val="24"/>
          <w:szCs w:val="24"/>
        </w:rPr>
      </w:pPr>
      <w:r>
        <w:rPr>
          <w:rFonts w:ascii="Georgia" w:eastAsia="Georgia" w:hAnsi="Georgia" w:cs="Georgia"/>
          <w:sz w:val="24"/>
          <w:szCs w:val="24"/>
        </w:rPr>
        <w:t>BEFORE THE</w:t>
      </w:r>
    </w:p>
    <w:p w14:paraId="314D7DDA" w14:textId="77777777" w:rsidR="00881115" w:rsidRDefault="00B53569" w:rsidP="007579CD">
      <w:pPr>
        <w:spacing w:after="0" w:line="240" w:lineRule="auto"/>
        <w:jc w:val="center"/>
        <w:rPr>
          <w:rFonts w:ascii="Georgia" w:eastAsia="Georgia" w:hAnsi="Georgia" w:cs="Georgia"/>
          <w:sz w:val="24"/>
          <w:szCs w:val="24"/>
        </w:rPr>
      </w:pPr>
      <w:r>
        <w:rPr>
          <w:rFonts w:ascii="Georgia" w:eastAsia="Georgia" w:hAnsi="Georgia" w:cs="Georgia"/>
          <w:sz w:val="24"/>
          <w:szCs w:val="24"/>
        </w:rPr>
        <w:t>FEDERAL ENERGY REGULATORY COMMISSION</w:t>
      </w:r>
    </w:p>
    <w:p w14:paraId="04E1E3B3" w14:textId="77777777" w:rsidR="00881115" w:rsidRDefault="00881115">
      <w:pPr>
        <w:spacing w:after="0" w:line="360" w:lineRule="auto"/>
        <w:rPr>
          <w:rFonts w:ascii="Georgia" w:eastAsia="Georgia" w:hAnsi="Georgia" w:cs="Georgia"/>
          <w:sz w:val="24"/>
          <w:szCs w:val="24"/>
        </w:rPr>
      </w:pPr>
    </w:p>
    <w:p w14:paraId="68E8F2C9" w14:textId="77777777" w:rsidR="00881115" w:rsidRDefault="00B53569" w:rsidP="00D72602">
      <w:pPr>
        <w:spacing w:after="0" w:line="240" w:lineRule="auto"/>
        <w:rPr>
          <w:rFonts w:ascii="Georgia" w:eastAsia="Georgia" w:hAnsi="Georgia" w:cs="Georgia"/>
          <w:sz w:val="24"/>
          <w:szCs w:val="24"/>
        </w:rPr>
      </w:pP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Missouri West, Inc.</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Docket Nos.</w:t>
      </w:r>
      <w:r>
        <w:rPr>
          <w:rFonts w:ascii="Georgia" w:eastAsia="Georgia" w:hAnsi="Georgia" w:cs="Georgia"/>
          <w:sz w:val="24"/>
          <w:szCs w:val="24"/>
        </w:rPr>
        <w:tab/>
        <w:t>ER20-116-001</w:t>
      </w:r>
    </w:p>
    <w:p w14:paraId="4BB70207" w14:textId="77777777" w:rsidR="00881115" w:rsidRDefault="00B53569" w:rsidP="00D72602">
      <w:pPr>
        <w:spacing w:after="0" w:line="240" w:lineRule="auto"/>
        <w:rPr>
          <w:rFonts w:ascii="Georgia" w:eastAsia="Georgia" w:hAnsi="Georgia" w:cs="Georgia"/>
          <w:sz w:val="24"/>
          <w:szCs w:val="24"/>
        </w:rPr>
      </w:pP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Kansas Central, Inc.</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ER20-67-001</w:t>
      </w:r>
    </w:p>
    <w:p w14:paraId="46D5ADCB" w14:textId="77777777" w:rsidR="00881115" w:rsidRDefault="00B53569" w:rsidP="00D72602">
      <w:pPr>
        <w:spacing w:after="0" w:line="240" w:lineRule="auto"/>
        <w:rPr>
          <w:rFonts w:ascii="Georgia" w:eastAsia="Georgia" w:hAnsi="Georgia" w:cs="Georgia"/>
          <w:sz w:val="24"/>
          <w:szCs w:val="24"/>
        </w:rPr>
      </w:pP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Metro, Inc.</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ER20-113-001</w:t>
      </w:r>
    </w:p>
    <w:p w14:paraId="0E792A21" w14:textId="77777777" w:rsidR="00881115" w:rsidRDefault="00881115">
      <w:pPr>
        <w:spacing w:after="0" w:line="360" w:lineRule="auto"/>
        <w:rPr>
          <w:rFonts w:ascii="Georgia" w:eastAsia="Georgia" w:hAnsi="Georgia" w:cs="Georgia"/>
          <w:sz w:val="24"/>
          <w:szCs w:val="24"/>
        </w:rPr>
      </w:pPr>
    </w:p>
    <w:p w14:paraId="5951DE3F" w14:textId="77777777" w:rsidR="00881115" w:rsidRDefault="00881115" w:rsidP="00D72602">
      <w:pPr>
        <w:spacing w:after="0" w:line="240" w:lineRule="auto"/>
        <w:jc w:val="center"/>
        <w:rPr>
          <w:rFonts w:ascii="Georgia" w:eastAsia="Georgia" w:hAnsi="Georgia" w:cs="Georgia"/>
          <w:b/>
          <w:sz w:val="24"/>
          <w:szCs w:val="24"/>
        </w:rPr>
      </w:pPr>
    </w:p>
    <w:p w14:paraId="34C801CF" w14:textId="77777777" w:rsidR="00881115" w:rsidRDefault="00B53569" w:rsidP="00D72602">
      <w:pPr>
        <w:spacing w:after="0" w:line="240" w:lineRule="auto"/>
        <w:jc w:val="center"/>
        <w:rPr>
          <w:rFonts w:ascii="Georgia" w:eastAsia="Georgia" w:hAnsi="Georgia" w:cs="Georgia"/>
          <w:b/>
          <w:sz w:val="24"/>
          <w:szCs w:val="24"/>
        </w:rPr>
      </w:pPr>
      <w:r>
        <w:rPr>
          <w:rFonts w:ascii="Georgia" w:eastAsia="Georgia" w:hAnsi="Georgia" w:cs="Georgia"/>
          <w:b/>
          <w:sz w:val="24"/>
          <w:szCs w:val="24"/>
        </w:rPr>
        <w:t>Joint Protest of Public Citizen, Inc. and The Communications Workers of America</w:t>
      </w:r>
    </w:p>
    <w:p w14:paraId="77FA43C1" w14:textId="77777777" w:rsidR="00881115" w:rsidRDefault="00881115">
      <w:pPr>
        <w:spacing w:after="0" w:line="360" w:lineRule="auto"/>
        <w:rPr>
          <w:rFonts w:ascii="Georgia" w:eastAsia="Georgia" w:hAnsi="Georgia" w:cs="Georgia"/>
          <w:sz w:val="24"/>
          <w:szCs w:val="24"/>
        </w:rPr>
      </w:pPr>
    </w:p>
    <w:p w14:paraId="57062FFC"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The October 22 response by the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market-based rate sellers to the Commission’s deficiency letter is insufficient to address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affiliation with the hedge funds 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The Commission must compel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to provide additional information to determine whether there is an absence of arms-length bargaining that makes it necessary for FERC to treat Elliott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as affiliates per 18 CFR § 35.36(a)(9). </w:t>
      </w:r>
    </w:p>
    <w:p w14:paraId="236BAD8A" w14:textId="77777777" w:rsidR="00881115" w:rsidRDefault="00881115">
      <w:pPr>
        <w:spacing w:after="0" w:line="360" w:lineRule="auto"/>
        <w:ind w:firstLine="360"/>
        <w:rPr>
          <w:rFonts w:ascii="Georgia" w:eastAsia="Georgia" w:hAnsi="Georgia" w:cs="Georgia"/>
          <w:sz w:val="24"/>
          <w:szCs w:val="24"/>
        </w:rPr>
      </w:pPr>
    </w:p>
    <w:p w14:paraId="74ED5C8C" w14:textId="77777777" w:rsidR="00881115" w:rsidRDefault="00B53569" w:rsidP="00D72602">
      <w:pPr>
        <w:numPr>
          <w:ilvl w:val="0"/>
          <w:numId w:val="1"/>
        </w:numPr>
        <w:pBdr>
          <w:top w:val="nil"/>
          <w:left w:val="nil"/>
          <w:bottom w:val="nil"/>
          <w:right w:val="nil"/>
          <w:between w:val="nil"/>
        </w:pBdr>
        <w:spacing w:after="0" w:line="240" w:lineRule="auto"/>
        <w:rPr>
          <w:rFonts w:ascii="Georgia" w:eastAsia="Georgia" w:hAnsi="Georgia" w:cs="Georgia"/>
          <w:b/>
          <w:color w:val="000000"/>
          <w:sz w:val="24"/>
          <w:szCs w:val="24"/>
        </w:rPr>
      </w:pPr>
      <w:proofErr w:type="spellStart"/>
      <w:r>
        <w:rPr>
          <w:rFonts w:ascii="Georgia" w:eastAsia="Georgia" w:hAnsi="Georgia" w:cs="Georgia"/>
          <w:b/>
          <w:color w:val="000000"/>
          <w:sz w:val="24"/>
          <w:szCs w:val="24"/>
        </w:rPr>
        <w:t>Bluescape</w:t>
      </w:r>
      <w:proofErr w:type="spellEnd"/>
      <w:r>
        <w:rPr>
          <w:rFonts w:ascii="Georgia" w:eastAsia="Georgia" w:hAnsi="Georgia" w:cs="Georgia"/>
          <w:b/>
          <w:color w:val="000000"/>
          <w:sz w:val="24"/>
          <w:szCs w:val="24"/>
        </w:rPr>
        <w:t xml:space="preserve"> and Elliott Now Effectively Control </w:t>
      </w:r>
      <w:proofErr w:type="spellStart"/>
      <w:r>
        <w:rPr>
          <w:rFonts w:ascii="Georgia" w:eastAsia="Georgia" w:hAnsi="Georgia" w:cs="Georgia"/>
          <w:b/>
          <w:color w:val="000000"/>
          <w:sz w:val="24"/>
          <w:szCs w:val="24"/>
        </w:rPr>
        <w:t>Evergy’s</w:t>
      </w:r>
      <w:proofErr w:type="spellEnd"/>
      <w:r>
        <w:rPr>
          <w:rFonts w:ascii="Georgia" w:eastAsia="Georgia" w:hAnsi="Georgia" w:cs="Georgia"/>
          <w:b/>
          <w:color w:val="000000"/>
          <w:sz w:val="24"/>
          <w:szCs w:val="24"/>
        </w:rPr>
        <w:t xml:space="preserve"> Finance Committee, Which The Hedge Funds Negotiated To Serve As The Fulcrum Of Operational And Investment Decisions</w:t>
      </w:r>
    </w:p>
    <w:p w14:paraId="510469C2" w14:textId="77777777" w:rsidR="00881115" w:rsidRDefault="00881115">
      <w:pPr>
        <w:spacing w:after="0" w:line="360" w:lineRule="auto"/>
        <w:ind w:firstLine="360"/>
        <w:rPr>
          <w:rFonts w:ascii="Georgia" w:eastAsia="Georgia" w:hAnsi="Georgia" w:cs="Georgia"/>
          <w:sz w:val="24"/>
          <w:szCs w:val="24"/>
        </w:rPr>
      </w:pPr>
    </w:p>
    <w:p w14:paraId="315A1DE8" w14:textId="3BE5AE19"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There is substantial evidence that the hedge funds exert controlling influence over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First, at least four of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thirteen board members were selected by the hedge funds—C. John Wilder,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current Executive Chairman; David A. Campbell, former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President; Paul M. </w:t>
      </w:r>
      <w:proofErr w:type="spellStart"/>
      <w:r>
        <w:rPr>
          <w:rFonts w:ascii="Georgia" w:eastAsia="Georgia" w:hAnsi="Georgia" w:cs="Georgia"/>
          <w:sz w:val="24"/>
          <w:szCs w:val="24"/>
        </w:rPr>
        <w:t>Keglevic</w:t>
      </w:r>
      <w:proofErr w:type="spellEnd"/>
      <w:r>
        <w:rPr>
          <w:rFonts w:ascii="Georgia" w:eastAsia="Georgia" w:hAnsi="Georgia" w:cs="Georgia"/>
          <w:sz w:val="24"/>
          <w:szCs w:val="24"/>
        </w:rPr>
        <w:t>; and former U.S. Senator Mary L. Landrieu.</w:t>
      </w:r>
      <w:r>
        <w:rPr>
          <w:rFonts w:ascii="Georgia" w:eastAsia="Georgia" w:hAnsi="Georgia" w:cs="Georgia"/>
          <w:sz w:val="24"/>
          <w:szCs w:val="24"/>
          <w:vertAlign w:val="superscript"/>
        </w:rPr>
        <w:footnoteReference w:id="1"/>
      </w:r>
      <w:r>
        <w:rPr>
          <w:rFonts w:ascii="Georgia" w:eastAsia="Georgia" w:hAnsi="Georgia" w:cs="Georgia"/>
          <w:sz w:val="24"/>
          <w:szCs w:val="24"/>
        </w:rPr>
        <w:t xml:space="preserve"> Second and more important is the hedge fund’s changes to, and dominance over, the board’s </w:t>
      </w:r>
      <w:r w:rsidR="0056676E">
        <w:rPr>
          <w:rFonts w:ascii="Georgia" w:eastAsia="Georgia" w:hAnsi="Georgia" w:cs="Georgia"/>
          <w:sz w:val="24"/>
          <w:szCs w:val="24"/>
        </w:rPr>
        <w:t xml:space="preserve">crucial </w:t>
      </w:r>
      <w:r>
        <w:rPr>
          <w:rFonts w:ascii="Georgia" w:eastAsia="Georgia" w:hAnsi="Georgia" w:cs="Georgia"/>
          <w:sz w:val="24"/>
          <w:szCs w:val="24"/>
        </w:rPr>
        <w:t xml:space="preserve">Finance Committee, which clearly demonstrates the control Elliott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have over </w:t>
      </w:r>
      <w:proofErr w:type="spellStart"/>
      <w:r>
        <w:rPr>
          <w:rFonts w:ascii="Georgia" w:eastAsia="Georgia" w:hAnsi="Georgia" w:cs="Georgia"/>
          <w:sz w:val="24"/>
          <w:szCs w:val="24"/>
        </w:rPr>
        <w:t>Evergy</w:t>
      </w:r>
      <w:proofErr w:type="spellEnd"/>
      <w:r>
        <w:rPr>
          <w:rFonts w:ascii="Georgia" w:eastAsia="Georgia" w:hAnsi="Georgia" w:cs="Georgia"/>
          <w:sz w:val="24"/>
          <w:szCs w:val="24"/>
        </w:rPr>
        <w:t>.</w:t>
      </w:r>
      <w:r>
        <w:rPr>
          <w:rFonts w:ascii="Georgia" w:eastAsia="Georgia" w:hAnsi="Georgia" w:cs="Georgia"/>
          <w:sz w:val="24"/>
          <w:szCs w:val="24"/>
          <w:vertAlign w:val="superscript"/>
        </w:rPr>
        <w:footnoteReference w:id="2"/>
      </w:r>
    </w:p>
    <w:p w14:paraId="693A0C5E"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Mr. Wilder is employed by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and Mr. Campbell used to be Wilder’s employee. A fifth individual, Kirkland B. Andrews, was Elliott’s board selection, a </w:t>
      </w:r>
      <w:r>
        <w:rPr>
          <w:rFonts w:ascii="Georgia" w:eastAsia="Georgia" w:hAnsi="Georgia" w:cs="Georgia"/>
          <w:sz w:val="24"/>
          <w:szCs w:val="24"/>
        </w:rPr>
        <w:lastRenderedPageBreak/>
        <w:t xml:space="preserve">position he held until shifting over to become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Executive Vice President and Chief Financial Officer.</w:t>
      </w:r>
      <w:r>
        <w:rPr>
          <w:rFonts w:ascii="Georgia" w:eastAsia="Georgia" w:hAnsi="Georgia" w:cs="Georgia"/>
          <w:sz w:val="24"/>
          <w:szCs w:val="24"/>
          <w:vertAlign w:val="superscript"/>
        </w:rPr>
        <w:t xml:space="preserve"> </w:t>
      </w:r>
      <w:r>
        <w:rPr>
          <w:rFonts w:ascii="Georgia" w:eastAsia="Georgia" w:hAnsi="Georgia" w:cs="Georgia"/>
          <w:sz w:val="24"/>
          <w:szCs w:val="24"/>
          <w:vertAlign w:val="superscript"/>
        </w:rPr>
        <w:footnoteReference w:id="3"/>
      </w:r>
    </w:p>
    <w:p w14:paraId="72F9701A" w14:textId="3616853E"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An even more important metric than board composition is the emergence of the Finance Committee—whose charter was amended as part of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February 25, 2021 agreement with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w:t>
      </w:r>
      <w:r>
        <w:rPr>
          <w:rFonts w:ascii="Georgia" w:eastAsia="Georgia" w:hAnsi="Georgia" w:cs="Georgia"/>
          <w:sz w:val="24"/>
          <w:szCs w:val="24"/>
          <w:vertAlign w:val="superscript"/>
        </w:rPr>
        <w:footnoteReference w:id="4"/>
      </w:r>
      <w:r>
        <w:rPr>
          <w:rFonts w:ascii="Georgia" w:eastAsia="Georgia" w:hAnsi="Georgia" w:cs="Georgia"/>
          <w:sz w:val="24"/>
          <w:szCs w:val="24"/>
        </w:rPr>
        <w:t xml:space="preserve">—as the primary driver of management and investment decision making for the </w:t>
      </w:r>
      <w:r w:rsidR="0056676E">
        <w:rPr>
          <w:rFonts w:ascii="Georgia" w:eastAsia="Georgia" w:hAnsi="Georgia" w:cs="Georgia"/>
          <w:sz w:val="24"/>
          <w:szCs w:val="24"/>
        </w:rPr>
        <w:t>utility</w:t>
      </w:r>
      <w:r>
        <w:rPr>
          <w:rFonts w:ascii="Georgia" w:eastAsia="Georgia" w:hAnsi="Georgia" w:cs="Georgia"/>
          <w:sz w:val="24"/>
          <w:szCs w:val="24"/>
        </w:rPr>
        <w:t xml:space="preserve">. There are five members of the Finance Committee, and all four of the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and Elliott board members serve on the Committee, with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Wilder serving as Chair. The new Finance Committee charter gives broad authority to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Wilder, in that he is “responsible for leadership of the Committee, including overseeing the agenda, presiding over the meetings, and reporting to the Board.” The Finance Committee is charged under its charter with sweeping authorities governing nearly all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business operations, including to “[r]</w:t>
      </w:r>
      <w:proofErr w:type="spellStart"/>
      <w:r>
        <w:rPr>
          <w:rFonts w:ascii="Georgia" w:eastAsia="Georgia" w:hAnsi="Georgia" w:cs="Georgia"/>
          <w:sz w:val="24"/>
          <w:szCs w:val="24"/>
        </w:rPr>
        <w:t>eview</w:t>
      </w:r>
      <w:proofErr w:type="spellEnd"/>
      <w:r>
        <w:rPr>
          <w:rFonts w:ascii="Georgia" w:eastAsia="Georgia" w:hAnsi="Georgia" w:cs="Georgia"/>
          <w:sz w:val="24"/>
          <w:szCs w:val="24"/>
        </w:rPr>
        <w:t xml:space="preserve"> matters relating to the financial condition, financing plans, and financial strategies of the Company and, as appropriate, make recommendations to the Board regarding the same.”</w:t>
      </w:r>
      <w:r>
        <w:rPr>
          <w:rFonts w:ascii="Georgia" w:eastAsia="Georgia" w:hAnsi="Georgia" w:cs="Georgia"/>
          <w:sz w:val="24"/>
          <w:szCs w:val="24"/>
          <w:vertAlign w:val="superscript"/>
        </w:rPr>
        <w:footnoteReference w:id="5"/>
      </w:r>
    </w:p>
    <w:p w14:paraId="664E7C3F" w14:textId="77777777" w:rsidR="00881115" w:rsidRDefault="00881115">
      <w:pPr>
        <w:spacing w:after="0" w:line="360" w:lineRule="auto"/>
        <w:rPr>
          <w:rFonts w:ascii="Georgia" w:eastAsia="Georgia" w:hAnsi="Georgia" w:cs="Georgia"/>
          <w:sz w:val="24"/>
          <w:szCs w:val="24"/>
        </w:rPr>
      </w:pPr>
    </w:p>
    <w:p w14:paraId="6C015ED1" w14:textId="77777777" w:rsidR="00881115" w:rsidRDefault="00B53569" w:rsidP="004E51EE">
      <w:pPr>
        <w:numPr>
          <w:ilvl w:val="0"/>
          <w:numId w:val="1"/>
        </w:numPr>
        <w:pBdr>
          <w:top w:val="nil"/>
          <w:left w:val="nil"/>
          <w:bottom w:val="nil"/>
          <w:right w:val="nil"/>
          <w:between w:val="nil"/>
        </w:pBdr>
        <w:spacing w:after="0" w:line="240" w:lineRule="auto"/>
        <w:rPr>
          <w:rFonts w:ascii="Georgia" w:eastAsia="Georgia" w:hAnsi="Georgia" w:cs="Georgia"/>
          <w:b/>
          <w:color w:val="000000"/>
          <w:sz w:val="24"/>
          <w:szCs w:val="24"/>
        </w:rPr>
      </w:pPr>
      <w:proofErr w:type="spellStart"/>
      <w:r>
        <w:rPr>
          <w:rFonts w:ascii="Georgia" w:eastAsia="Georgia" w:hAnsi="Georgia" w:cs="Georgia"/>
          <w:b/>
          <w:color w:val="000000"/>
          <w:sz w:val="24"/>
          <w:szCs w:val="24"/>
        </w:rPr>
        <w:t>Evergy</w:t>
      </w:r>
      <w:proofErr w:type="spellEnd"/>
      <w:r>
        <w:rPr>
          <w:rFonts w:ascii="Georgia" w:eastAsia="Georgia" w:hAnsi="Georgia" w:cs="Georgia"/>
          <w:b/>
          <w:color w:val="000000"/>
          <w:sz w:val="24"/>
          <w:szCs w:val="24"/>
        </w:rPr>
        <w:t xml:space="preserve"> failed to “clarify the relationship between </w:t>
      </w:r>
      <w:proofErr w:type="spellStart"/>
      <w:r>
        <w:rPr>
          <w:rFonts w:ascii="Georgia" w:eastAsia="Georgia" w:hAnsi="Georgia" w:cs="Georgia"/>
          <w:b/>
          <w:color w:val="000000"/>
          <w:sz w:val="24"/>
          <w:szCs w:val="24"/>
        </w:rPr>
        <w:t>Evergy</w:t>
      </w:r>
      <w:proofErr w:type="spellEnd"/>
      <w:r>
        <w:rPr>
          <w:rFonts w:ascii="Georgia" w:eastAsia="Georgia" w:hAnsi="Georgia" w:cs="Georgia"/>
          <w:b/>
          <w:color w:val="000000"/>
          <w:sz w:val="24"/>
          <w:szCs w:val="24"/>
        </w:rPr>
        <w:t xml:space="preserve">, Elliott Management, and </w:t>
      </w:r>
      <w:proofErr w:type="spellStart"/>
      <w:r>
        <w:rPr>
          <w:rFonts w:ascii="Georgia" w:eastAsia="Georgia" w:hAnsi="Georgia" w:cs="Georgia"/>
          <w:b/>
          <w:color w:val="000000"/>
          <w:sz w:val="24"/>
          <w:szCs w:val="24"/>
        </w:rPr>
        <w:t>Bluescape</w:t>
      </w:r>
      <w:proofErr w:type="spellEnd"/>
      <w:r>
        <w:rPr>
          <w:rFonts w:ascii="Georgia" w:eastAsia="Georgia" w:hAnsi="Georgia" w:cs="Georgia"/>
          <w:b/>
          <w:color w:val="000000"/>
          <w:sz w:val="24"/>
          <w:szCs w:val="24"/>
        </w:rPr>
        <w:t>” as required by the Commission’s September deficiency letter.</w:t>
      </w:r>
      <w:r>
        <w:rPr>
          <w:rFonts w:ascii="Georgia" w:eastAsia="Georgia" w:hAnsi="Georgia" w:cs="Georgia"/>
          <w:b/>
          <w:color w:val="000000"/>
          <w:sz w:val="24"/>
          <w:szCs w:val="24"/>
        </w:rPr>
        <w:tab/>
      </w:r>
    </w:p>
    <w:p w14:paraId="0B9F6147" w14:textId="77777777" w:rsidR="00881115" w:rsidRDefault="00881115">
      <w:pPr>
        <w:spacing w:after="0" w:line="360" w:lineRule="auto"/>
        <w:ind w:left="360"/>
        <w:rPr>
          <w:rFonts w:ascii="Georgia" w:eastAsia="Georgia" w:hAnsi="Georgia" w:cs="Georgia"/>
          <w:sz w:val="24"/>
          <w:szCs w:val="24"/>
        </w:rPr>
      </w:pPr>
    </w:p>
    <w:p w14:paraId="7C63A340"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The Commission’s September 22 deficiency letter required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to “clarify the relationship between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But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October 22 response fails to document the extensive history of collaboration between Elliott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and omits any documentation of contractual agreements between the two hedge funds. </w:t>
      </w:r>
    </w:p>
    <w:p w14:paraId="157AD2E0"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Here are just a few recent examples of Elliott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collaborating  to influence FERC-jurisdictional utilities without ever notifying the Commission (and given the lack of regulatory disclosure requirements for the hedge funds’ intrusions into public companies, it is likely this list is not comprehensive):</w:t>
      </w:r>
    </w:p>
    <w:p w14:paraId="23F8A256" w14:textId="77777777" w:rsidR="00881115" w:rsidRDefault="00881115">
      <w:pPr>
        <w:spacing w:after="0" w:line="360" w:lineRule="auto"/>
        <w:ind w:firstLine="360"/>
        <w:rPr>
          <w:rFonts w:ascii="Georgia" w:eastAsia="Georgia" w:hAnsi="Georgia" w:cs="Georgia"/>
          <w:sz w:val="24"/>
          <w:szCs w:val="24"/>
        </w:rPr>
      </w:pPr>
    </w:p>
    <w:p w14:paraId="1478713F" w14:textId="77777777" w:rsidR="00881115" w:rsidRDefault="00B53569">
      <w:pPr>
        <w:numPr>
          <w:ilvl w:val="0"/>
          <w:numId w:val="2"/>
        </w:numPr>
        <w:pBdr>
          <w:top w:val="nil"/>
          <w:left w:val="nil"/>
          <w:bottom w:val="nil"/>
          <w:right w:val="nil"/>
          <w:between w:val="nil"/>
        </w:pBd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2017: Elliott Management and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Partners acquired a combined 9.4%</w:t>
      </w:r>
      <w:r>
        <w:rPr>
          <w:rFonts w:ascii="Georgia" w:eastAsia="Georgia" w:hAnsi="Georgia" w:cs="Georgia"/>
          <w:color w:val="000000"/>
          <w:sz w:val="24"/>
          <w:szCs w:val="24"/>
          <w:vertAlign w:val="superscript"/>
        </w:rPr>
        <w:footnoteReference w:id="6"/>
      </w:r>
      <w:r>
        <w:rPr>
          <w:rFonts w:ascii="Georgia" w:eastAsia="Georgia" w:hAnsi="Georgia" w:cs="Georgia"/>
          <w:color w:val="000000"/>
          <w:sz w:val="24"/>
          <w:szCs w:val="24"/>
        </w:rPr>
        <w:t xml:space="preserve"> stake in NRG Energy with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Executive Chairman C. John Wilder joining NRG’s board. </w:t>
      </w:r>
      <w:r>
        <w:rPr>
          <w:rFonts w:ascii="Georgia" w:eastAsia="Georgia" w:hAnsi="Georgia" w:cs="Georgia"/>
          <w:color w:val="000000"/>
          <w:sz w:val="24"/>
          <w:szCs w:val="24"/>
          <w:vertAlign w:val="superscript"/>
        </w:rPr>
        <w:footnoteReference w:id="7"/>
      </w:r>
      <w:r>
        <w:rPr>
          <w:rFonts w:ascii="Georgia" w:eastAsia="Georgia" w:hAnsi="Georgia" w:cs="Georgia"/>
          <w:color w:val="000000"/>
          <w:sz w:val="24"/>
          <w:szCs w:val="24"/>
        </w:rPr>
        <w:t xml:space="preserve"> This intervention is consistent with the trend of always staying under 10% ownership.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Partners owned 3.68% of NRG Energy’s outstanding common stock as of October 22, 2021 while it also owned 1.03% of </w:t>
      </w:r>
      <w:proofErr w:type="spellStart"/>
      <w:r>
        <w:rPr>
          <w:rFonts w:ascii="Georgia" w:eastAsia="Georgia" w:hAnsi="Georgia" w:cs="Georgia"/>
          <w:color w:val="000000"/>
          <w:sz w:val="24"/>
          <w:szCs w:val="24"/>
        </w:rPr>
        <w:t>Evergy</w:t>
      </w:r>
      <w:proofErr w:type="spellEnd"/>
      <w:r>
        <w:rPr>
          <w:rFonts w:ascii="Georgia" w:eastAsia="Georgia" w:hAnsi="Georgia" w:cs="Georgia"/>
          <w:color w:val="000000"/>
          <w:sz w:val="24"/>
          <w:szCs w:val="24"/>
        </w:rPr>
        <w:t xml:space="preserve"> Inc.’s outstanding common stock.</w:t>
      </w:r>
      <w:r>
        <w:rPr>
          <w:rFonts w:ascii="Georgia" w:eastAsia="Georgia" w:hAnsi="Georgia" w:cs="Georgia"/>
          <w:color w:val="000000"/>
          <w:sz w:val="24"/>
          <w:szCs w:val="24"/>
          <w:vertAlign w:val="superscript"/>
        </w:rPr>
        <w:footnoteReference w:id="8"/>
      </w:r>
      <w:r>
        <w:rPr>
          <w:rFonts w:ascii="Georgia" w:eastAsia="Georgia" w:hAnsi="Georgia" w:cs="Georgia"/>
          <w:color w:val="000000"/>
          <w:sz w:val="24"/>
          <w:szCs w:val="24"/>
        </w:rPr>
        <w:t xml:space="preserve"> </w:t>
      </w:r>
    </w:p>
    <w:p w14:paraId="6B9D339C" w14:textId="77777777" w:rsidR="00881115" w:rsidRDefault="00B53569">
      <w:pPr>
        <w:numPr>
          <w:ilvl w:val="0"/>
          <w:numId w:val="2"/>
        </w:numPr>
        <w:pBdr>
          <w:top w:val="nil"/>
          <w:left w:val="nil"/>
          <w:bottom w:val="nil"/>
          <w:right w:val="nil"/>
          <w:between w:val="nil"/>
        </w:pBd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t xml:space="preserve">2018: FirstEnergy raised $2.5 billion from an investor group that included Elliott Management and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w:t>
      </w:r>
      <w:r>
        <w:rPr>
          <w:rFonts w:ascii="Georgia" w:eastAsia="Georgia" w:hAnsi="Georgia" w:cs="Georgia"/>
          <w:color w:val="000000"/>
          <w:sz w:val="24"/>
          <w:szCs w:val="24"/>
          <w:vertAlign w:val="superscript"/>
        </w:rPr>
        <w:footnoteReference w:id="9"/>
      </w:r>
      <w:r>
        <w:rPr>
          <w:rFonts w:ascii="Georgia" w:eastAsia="Georgia" w:hAnsi="Georgia" w:cs="Georgia"/>
          <w:color w:val="000000"/>
          <w:sz w:val="24"/>
          <w:szCs w:val="24"/>
        </w:rPr>
        <w:t xml:space="preserve"> which led to C. John Wilder being appointed to FirstEnergy’s “Restructuring Working Group.”</w:t>
      </w:r>
      <w:r>
        <w:rPr>
          <w:rFonts w:ascii="Georgia" w:eastAsia="Georgia" w:hAnsi="Georgia" w:cs="Georgia"/>
          <w:color w:val="000000"/>
          <w:sz w:val="24"/>
          <w:szCs w:val="24"/>
          <w:vertAlign w:val="superscript"/>
        </w:rPr>
        <w:footnoteReference w:id="10"/>
      </w:r>
      <w:r>
        <w:rPr>
          <w:rFonts w:ascii="Georgia" w:eastAsia="Georgia" w:hAnsi="Georgia" w:cs="Georgia"/>
          <w:color w:val="000000"/>
          <w:sz w:val="24"/>
          <w:szCs w:val="24"/>
        </w:rPr>
        <w:t xml:space="preserve"> </w:t>
      </w:r>
    </w:p>
    <w:p w14:paraId="08D1CA95" w14:textId="77777777" w:rsidR="00881115" w:rsidRDefault="00B53569">
      <w:pPr>
        <w:numPr>
          <w:ilvl w:val="0"/>
          <w:numId w:val="2"/>
        </w:numPr>
        <w:pBdr>
          <w:top w:val="nil"/>
          <w:left w:val="nil"/>
          <w:bottom w:val="nil"/>
          <w:right w:val="nil"/>
          <w:between w:val="nil"/>
        </w:pBd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t xml:space="preserve">2018: Elliott Management and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Energy Partners announced a combined $1.3 billion investment, or 4.9% ownership interest, in Sempra Energy.</w:t>
      </w:r>
      <w:r>
        <w:rPr>
          <w:rFonts w:ascii="Georgia" w:eastAsia="Georgia" w:hAnsi="Georgia" w:cs="Georgia"/>
          <w:color w:val="000000"/>
          <w:sz w:val="24"/>
          <w:szCs w:val="24"/>
          <w:vertAlign w:val="superscript"/>
        </w:rPr>
        <w:footnoteReference w:id="11"/>
      </w:r>
      <w:r>
        <w:rPr>
          <w:rFonts w:ascii="Georgia" w:eastAsia="Georgia" w:hAnsi="Georgia" w:cs="Georgia"/>
          <w:color w:val="000000"/>
          <w:sz w:val="24"/>
          <w:szCs w:val="24"/>
        </w:rPr>
        <w:t xml:space="preserve"> Sempra Energy’s agreement with Elliott and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prophylactically blocked either fund from nominating paid directors to its corporate board.</w:t>
      </w:r>
      <w:r>
        <w:rPr>
          <w:rFonts w:ascii="Georgia" w:eastAsia="Georgia" w:hAnsi="Georgia" w:cs="Georgia"/>
          <w:color w:val="000000"/>
          <w:sz w:val="24"/>
          <w:szCs w:val="24"/>
          <w:vertAlign w:val="superscript"/>
        </w:rPr>
        <w:footnoteReference w:id="12"/>
      </w:r>
    </w:p>
    <w:p w14:paraId="7355609C" w14:textId="77777777" w:rsidR="00881115" w:rsidRDefault="00B53569">
      <w:pPr>
        <w:numPr>
          <w:ilvl w:val="0"/>
          <w:numId w:val="2"/>
        </w:numPr>
        <w:pBdr>
          <w:top w:val="nil"/>
          <w:left w:val="nil"/>
          <w:bottom w:val="nil"/>
          <w:right w:val="nil"/>
          <w:between w:val="nil"/>
        </w:pBd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t xml:space="preserve">2020: CenterPoint Energy Inc announced a $1.4 billion equity investment </w:t>
      </w:r>
      <w:r>
        <w:rPr>
          <w:rFonts w:ascii="Georgia" w:eastAsia="Georgia" w:hAnsi="Georgia" w:cs="Georgia"/>
          <w:sz w:val="24"/>
          <w:szCs w:val="24"/>
        </w:rPr>
        <w:t xml:space="preserve">from </w:t>
      </w:r>
      <w:r>
        <w:rPr>
          <w:rFonts w:ascii="Georgia" w:eastAsia="Georgia" w:hAnsi="Georgia" w:cs="Georgia"/>
          <w:color w:val="000000"/>
          <w:sz w:val="24"/>
          <w:szCs w:val="24"/>
        </w:rPr>
        <w:t xml:space="preserve">Elliott Management,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Energy Partners, and Fidelity Management.</w:t>
      </w:r>
      <w:r>
        <w:rPr>
          <w:rFonts w:ascii="Georgia" w:eastAsia="Georgia" w:hAnsi="Georgia" w:cs="Georgia"/>
          <w:color w:val="000000"/>
          <w:sz w:val="24"/>
          <w:szCs w:val="24"/>
          <w:vertAlign w:val="superscript"/>
        </w:rPr>
        <w:footnoteReference w:id="13"/>
      </w:r>
      <w:r>
        <w:rPr>
          <w:rFonts w:ascii="Georgia" w:eastAsia="Georgia" w:hAnsi="Georgia" w:cs="Georgia"/>
          <w:color w:val="000000"/>
          <w:sz w:val="24"/>
          <w:szCs w:val="24"/>
        </w:rPr>
        <w:t xml:space="preserve"> </w:t>
      </w:r>
    </w:p>
    <w:p w14:paraId="2D684080" w14:textId="77777777" w:rsidR="00881115" w:rsidRDefault="00B53569">
      <w:pPr>
        <w:numPr>
          <w:ilvl w:val="0"/>
          <w:numId w:val="2"/>
        </w:numPr>
        <w:pBdr>
          <w:top w:val="nil"/>
          <w:left w:val="nil"/>
          <w:bottom w:val="nil"/>
          <w:right w:val="nil"/>
          <w:between w:val="nil"/>
        </w:pBdr>
        <w:spacing w:after="0" w:line="360" w:lineRule="auto"/>
        <w:rPr>
          <w:rFonts w:ascii="Georgia" w:eastAsia="Georgia" w:hAnsi="Georgia" w:cs="Georgia"/>
          <w:color w:val="000000"/>
          <w:sz w:val="24"/>
          <w:szCs w:val="24"/>
        </w:rPr>
      </w:pPr>
      <w:r>
        <w:rPr>
          <w:rFonts w:ascii="Georgia" w:eastAsia="Georgia" w:hAnsi="Georgia" w:cs="Georgia"/>
          <w:color w:val="000000"/>
          <w:sz w:val="24"/>
          <w:szCs w:val="24"/>
        </w:rPr>
        <w:t xml:space="preserve">2020: In January 2020, Elliott Management sent a letter to </w:t>
      </w:r>
      <w:proofErr w:type="spellStart"/>
      <w:r>
        <w:rPr>
          <w:rFonts w:ascii="Georgia" w:eastAsia="Georgia" w:hAnsi="Georgia" w:cs="Georgia"/>
          <w:color w:val="000000"/>
          <w:sz w:val="24"/>
          <w:szCs w:val="24"/>
        </w:rPr>
        <w:t>Evergy’s</w:t>
      </w:r>
      <w:proofErr w:type="spellEnd"/>
      <w:r>
        <w:rPr>
          <w:rFonts w:ascii="Georgia" w:eastAsia="Georgia" w:hAnsi="Georgia" w:cs="Georgia"/>
          <w:color w:val="000000"/>
          <w:sz w:val="24"/>
          <w:szCs w:val="24"/>
        </w:rPr>
        <w:t xml:space="preserve"> Board of Directors demanding governance and operational changes.</w:t>
      </w:r>
      <w:r>
        <w:rPr>
          <w:rFonts w:ascii="Georgia" w:eastAsia="Georgia" w:hAnsi="Georgia" w:cs="Georgia"/>
          <w:color w:val="000000"/>
          <w:sz w:val="24"/>
          <w:szCs w:val="24"/>
          <w:vertAlign w:val="superscript"/>
        </w:rPr>
        <w:footnoteReference w:id="14"/>
      </w:r>
      <w:r>
        <w:rPr>
          <w:rFonts w:ascii="Georgia" w:eastAsia="Georgia" w:hAnsi="Georgia" w:cs="Georgia"/>
          <w:color w:val="000000"/>
          <w:sz w:val="24"/>
          <w:szCs w:val="24"/>
        </w:rPr>
        <w:t xml:space="preserve">  As of August 16, 2021, Elliott owned approximately 10.5 million shares worth about $637 </w:t>
      </w:r>
      <w:r>
        <w:rPr>
          <w:rFonts w:ascii="Georgia" w:eastAsia="Georgia" w:hAnsi="Georgia" w:cs="Georgia"/>
          <w:color w:val="000000"/>
          <w:sz w:val="24"/>
          <w:szCs w:val="24"/>
        </w:rPr>
        <w:lastRenderedPageBreak/>
        <w:t>million.</w:t>
      </w:r>
      <w:r>
        <w:rPr>
          <w:rFonts w:ascii="Georgia" w:eastAsia="Georgia" w:hAnsi="Georgia" w:cs="Georgia"/>
          <w:color w:val="000000"/>
          <w:sz w:val="24"/>
          <w:szCs w:val="24"/>
          <w:vertAlign w:val="superscript"/>
        </w:rPr>
        <w:footnoteReference w:id="15"/>
      </w:r>
      <w:r>
        <w:rPr>
          <w:rFonts w:ascii="Georgia" w:eastAsia="Georgia" w:hAnsi="Georgia" w:cs="Georgia"/>
          <w:color w:val="000000"/>
          <w:sz w:val="24"/>
          <w:szCs w:val="24"/>
        </w:rPr>
        <w:t xml:space="preserve"> As described in this filing, Elliott,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and </w:t>
      </w:r>
      <w:proofErr w:type="spellStart"/>
      <w:r>
        <w:rPr>
          <w:rFonts w:ascii="Georgia" w:eastAsia="Georgia" w:hAnsi="Georgia" w:cs="Georgia"/>
          <w:color w:val="000000"/>
          <w:sz w:val="24"/>
          <w:szCs w:val="24"/>
        </w:rPr>
        <w:t>Evergy</w:t>
      </w:r>
      <w:proofErr w:type="spellEnd"/>
      <w:r>
        <w:rPr>
          <w:rFonts w:ascii="Georgia" w:eastAsia="Georgia" w:hAnsi="Georgia" w:cs="Georgia"/>
          <w:color w:val="000000"/>
          <w:sz w:val="24"/>
          <w:szCs w:val="24"/>
        </w:rPr>
        <w:t xml:space="preserve"> announced an agreement in February 2021 that added </w:t>
      </w:r>
      <w:proofErr w:type="spellStart"/>
      <w:r>
        <w:rPr>
          <w:rFonts w:ascii="Georgia" w:eastAsia="Georgia" w:hAnsi="Georgia" w:cs="Georgia"/>
          <w:color w:val="000000"/>
          <w:sz w:val="24"/>
          <w:szCs w:val="24"/>
        </w:rPr>
        <w:t>Bluescape</w:t>
      </w:r>
      <w:proofErr w:type="spellEnd"/>
      <w:r>
        <w:rPr>
          <w:rFonts w:ascii="Georgia" w:eastAsia="Georgia" w:hAnsi="Georgia" w:cs="Georgia"/>
          <w:color w:val="000000"/>
          <w:sz w:val="24"/>
          <w:szCs w:val="24"/>
        </w:rPr>
        <w:t xml:space="preserve"> Energy Partners LLC’s executive chairman C. John Wilder and former US Senator Mary Landrieu to </w:t>
      </w:r>
      <w:proofErr w:type="spellStart"/>
      <w:r>
        <w:rPr>
          <w:rFonts w:ascii="Georgia" w:eastAsia="Georgia" w:hAnsi="Georgia" w:cs="Georgia"/>
          <w:color w:val="000000"/>
          <w:sz w:val="24"/>
          <w:szCs w:val="24"/>
        </w:rPr>
        <w:t>Evergy’s</w:t>
      </w:r>
      <w:proofErr w:type="spellEnd"/>
      <w:r>
        <w:rPr>
          <w:rFonts w:ascii="Georgia" w:eastAsia="Georgia" w:hAnsi="Georgia" w:cs="Georgia"/>
          <w:color w:val="000000"/>
          <w:sz w:val="24"/>
          <w:szCs w:val="24"/>
        </w:rPr>
        <w:t xml:space="preserve"> Board.</w:t>
      </w:r>
      <w:r>
        <w:rPr>
          <w:rFonts w:ascii="Georgia" w:eastAsia="Georgia" w:hAnsi="Georgia" w:cs="Georgia"/>
          <w:color w:val="000000"/>
          <w:sz w:val="24"/>
          <w:szCs w:val="24"/>
          <w:vertAlign w:val="superscript"/>
        </w:rPr>
        <w:footnoteReference w:id="16"/>
      </w:r>
    </w:p>
    <w:p w14:paraId="137F43D9" w14:textId="77777777" w:rsidR="00881115" w:rsidRDefault="00881115">
      <w:pPr>
        <w:pBdr>
          <w:top w:val="nil"/>
          <w:left w:val="nil"/>
          <w:bottom w:val="nil"/>
          <w:right w:val="nil"/>
          <w:between w:val="nil"/>
        </w:pBdr>
        <w:spacing w:after="0" w:line="360" w:lineRule="auto"/>
        <w:rPr>
          <w:rFonts w:ascii="Georgia" w:eastAsia="Georgia" w:hAnsi="Georgia" w:cs="Georgia"/>
          <w:color w:val="000000"/>
          <w:sz w:val="24"/>
          <w:szCs w:val="24"/>
        </w:rPr>
      </w:pPr>
    </w:p>
    <w:p w14:paraId="145A8B0A" w14:textId="77777777" w:rsidR="00881115" w:rsidRDefault="00B53569">
      <w:pPr>
        <w:pBdr>
          <w:top w:val="nil"/>
          <w:left w:val="nil"/>
          <w:bottom w:val="nil"/>
          <w:right w:val="nil"/>
          <w:between w:val="nil"/>
        </w:pBdr>
        <w:spacing w:line="360" w:lineRule="auto"/>
        <w:ind w:firstLine="360"/>
        <w:rPr>
          <w:rFonts w:ascii="Georgia" w:eastAsia="Georgia" w:hAnsi="Georgia" w:cs="Georgia"/>
          <w:color w:val="000000"/>
          <w:sz w:val="24"/>
          <w:szCs w:val="24"/>
        </w:rPr>
      </w:pPr>
      <w:r>
        <w:rPr>
          <w:rFonts w:ascii="Georgia" w:eastAsia="Georgia" w:hAnsi="Georgia" w:cs="Georgia"/>
          <w:color w:val="000000"/>
          <w:sz w:val="24"/>
          <w:szCs w:val="24"/>
        </w:rPr>
        <w:t xml:space="preserve">These interventions have consequences for ratepayers. Regarding the </w:t>
      </w:r>
      <w:proofErr w:type="spellStart"/>
      <w:r>
        <w:rPr>
          <w:rFonts w:ascii="Georgia" w:eastAsia="Georgia" w:hAnsi="Georgia" w:cs="Georgia"/>
          <w:color w:val="000000"/>
          <w:sz w:val="24"/>
          <w:szCs w:val="24"/>
        </w:rPr>
        <w:t>Evergy</w:t>
      </w:r>
      <w:proofErr w:type="spellEnd"/>
      <w:r>
        <w:rPr>
          <w:rFonts w:ascii="Georgia" w:eastAsia="Georgia" w:hAnsi="Georgia" w:cs="Georgia"/>
          <w:color w:val="000000"/>
          <w:sz w:val="24"/>
          <w:szCs w:val="24"/>
        </w:rPr>
        <w:t xml:space="preserve"> case, research by </w:t>
      </w:r>
      <w:r>
        <w:rPr>
          <w:rFonts w:ascii="Georgia" w:eastAsia="Georgia" w:hAnsi="Georgia" w:cs="Georgia"/>
          <w:sz w:val="24"/>
          <w:szCs w:val="24"/>
        </w:rPr>
        <w:t>t</w:t>
      </w:r>
      <w:r>
        <w:rPr>
          <w:rFonts w:ascii="Georgia" w:eastAsia="Georgia" w:hAnsi="Georgia" w:cs="Georgia"/>
          <w:color w:val="000000"/>
          <w:sz w:val="24"/>
          <w:szCs w:val="24"/>
        </w:rPr>
        <w:t xml:space="preserve">he Communications Workers of America into the outcomes of Elliott Management’s interventions in the energy and utility sectors showed that </w:t>
      </w:r>
      <w:proofErr w:type="spellStart"/>
      <w:r>
        <w:rPr>
          <w:rFonts w:ascii="Georgia" w:eastAsia="Georgia" w:hAnsi="Georgia" w:cs="Georgia"/>
          <w:color w:val="000000"/>
          <w:sz w:val="24"/>
          <w:szCs w:val="24"/>
        </w:rPr>
        <w:t>Evergy’s</w:t>
      </w:r>
      <w:proofErr w:type="spellEnd"/>
      <w:r>
        <w:rPr>
          <w:rFonts w:ascii="Georgia" w:eastAsia="Georgia" w:hAnsi="Georgia" w:cs="Georgia"/>
          <w:color w:val="000000"/>
          <w:sz w:val="24"/>
          <w:szCs w:val="24"/>
        </w:rPr>
        <w:t xml:space="preserve"> ratepayers were likely to pay higher electricity rates</w:t>
      </w:r>
      <w:r>
        <w:rPr>
          <w:rFonts w:ascii="Georgia" w:eastAsia="Georgia" w:hAnsi="Georgia" w:cs="Georgia"/>
          <w:sz w:val="24"/>
          <w:szCs w:val="24"/>
        </w:rPr>
        <w:t>.</w:t>
      </w:r>
      <w:r>
        <w:rPr>
          <w:rFonts w:ascii="Georgia" w:eastAsia="Georgia" w:hAnsi="Georgia" w:cs="Georgia"/>
          <w:sz w:val="24"/>
          <w:szCs w:val="24"/>
          <w:vertAlign w:val="superscript"/>
        </w:rPr>
        <w:footnoteReference w:id="17"/>
      </w:r>
      <w:r>
        <w:rPr>
          <w:rFonts w:ascii="Georgia" w:eastAsia="Georgia" w:hAnsi="Georgia" w:cs="Georgia"/>
          <w:sz w:val="24"/>
          <w:szCs w:val="24"/>
        </w:rPr>
        <w:t xml:space="preserve"> </w:t>
      </w:r>
      <w:r>
        <w:rPr>
          <w:rFonts w:ascii="Georgia" w:eastAsia="Georgia" w:hAnsi="Georgia" w:cs="Georgia"/>
          <w:color w:val="000000"/>
          <w:sz w:val="24"/>
          <w:szCs w:val="24"/>
        </w:rPr>
        <w:t xml:space="preserve">This is because </w:t>
      </w:r>
      <w:proofErr w:type="spellStart"/>
      <w:r>
        <w:rPr>
          <w:rFonts w:ascii="Georgia" w:eastAsia="Georgia" w:hAnsi="Georgia" w:cs="Georgia"/>
          <w:color w:val="000000"/>
          <w:sz w:val="24"/>
          <w:szCs w:val="24"/>
        </w:rPr>
        <w:t>Evergy</w:t>
      </w:r>
      <w:proofErr w:type="spellEnd"/>
      <w:r>
        <w:rPr>
          <w:rFonts w:ascii="Georgia" w:eastAsia="Georgia" w:hAnsi="Georgia" w:cs="Georgia"/>
          <w:color w:val="000000"/>
          <w:sz w:val="24"/>
          <w:szCs w:val="24"/>
        </w:rPr>
        <w:t xml:space="preserve"> acquiesced to Elliott’s demand for $8.9 billion in</w:t>
      </w:r>
      <w:r>
        <w:rPr>
          <w:rFonts w:ascii="Georgia" w:eastAsia="Georgia" w:hAnsi="Georgia" w:cs="Georgia"/>
          <w:sz w:val="24"/>
          <w:szCs w:val="24"/>
        </w:rPr>
        <w:t xml:space="preserve"> selective </w:t>
      </w:r>
      <w:r>
        <w:rPr>
          <w:rFonts w:ascii="Georgia" w:eastAsia="Georgia" w:hAnsi="Georgia" w:cs="Georgia"/>
          <w:color w:val="000000"/>
          <w:sz w:val="24"/>
          <w:szCs w:val="24"/>
        </w:rPr>
        <w:t>rate base investment</w:t>
      </w:r>
      <w:r>
        <w:rPr>
          <w:rFonts w:ascii="Georgia" w:eastAsia="Georgia" w:hAnsi="Georgia" w:cs="Georgia"/>
          <w:color w:val="000000"/>
          <w:sz w:val="24"/>
          <w:szCs w:val="24"/>
          <w:vertAlign w:val="superscript"/>
        </w:rPr>
        <w:footnoteReference w:id="18"/>
      </w:r>
      <w:r>
        <w:rPr>
          <w:rFonts w:ascii="Georgia" w:eastAsia="Georgia" w:hAnsi="Georgia" w:cs="Georgia"/>
          <w:color w:val="000000"/>
          <w:sz w:val="24"/>
          <w:szCs w:val="24"/>
        </w:rPr>
        <w:t xml:space="preserve"> and CWA’s analysis of other interventions in the energy and utility sectors showed that targeted companies paid higher costs of capital and operating costs. From the investor perspective, increased rate base investment generates higher valuations; </w:t>
      </w:r>
      <w:proofErr w:type="gramStart"/>
      <w:r>
        <w:rPr>
          <w:rFonts w:ascii="Georgia" w:eastAsia="Georgia" w:hAnsi="Georgia" w:cs="Georgia"/>
          <w:color w:val="000000"/>
          <w:sz w:val="24"/>
          <w:szCs w:val="24"/>
        </w:rPr>
        <w:t>yet,</w:t>
      </w:r>
      <w:proofErr w:type="gramEnd"/>
      <w:r>
        <w:rPr>
          <w:rFonts w:ascii="Georgia" w:eastAsia="Georgia" w:hAnsi="Georgia" w:cs="Georgia"/>
          <w:color w:val="000000"/>
          <w:sz w:val="24"/>
          <w:szCs w:val="24"/>
        </w:rPr>
        <w:t xml:space="preserve"> these outlays are paid for through higher rates determined by the permissible revenue requirement. </w:t>
      </w:r>
      <w:r>
        <w:rPr>
          <w:rFonts w:ascii="Georgia" w:eastAsia="Georgia" w:hAnsi="Georgia" w:cs="Georgia"/>
          <w:sz w:val="24"/>
          <w:szCs w:val="24"/>
        </w:rPr>
        <w:t xml:space="preserve">The potential consequences of these selective investments and capital costs rates included unnecessarily higher electricity costs because of the rate base investment demanded by Elliott as a condition of its agreement with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Inc. Rate base investment should be driven by consumer demand for  technological improvement and system maintenance requirements rather than an acquiescence to the short-term, profit-oriented demands of select investors, as was the case with Elliott and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intervention in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w:t>
      </w:r>
    </w:p>
    <w:p w14:paraId="7094C2BD" w14:textId="435C6EE6" w:rsidR="00881115" w:rsidRDefault="0056676E">
      <w:pPr>
        <w:pBdr>
          <w:top w:val="nil"/>
          <w:left w:val="nil"/>
          <w:bottom w:val="nil"/>
          <w:right w:val="nil"/>
          <w:between w:val="nil"/>
        </w:pBdr>
        <w:spacing w:line="360" w:lineRule="auto"/>
        <w:ind w:firstLine="360"/>
        <w:rPr>
          <w:rFonts w:ascii="Georgia" w:eastAsia="Georgia" w:hAnsi="Georgia" w:cs="Georgia"/>
          <w:color w:val="000000"/>
          <w:sz w:val="24"/>
          <w:szCs w:val="24"/>
        </w:rPr>
      </w:pPr>
      <w:r>
        <w:rPr>
          <w:rFonts w:ascii="Georgia" w:eastAsia="Georgia" w:hAnsi="Georgia" w:cs="Georgia"/>
          <w:color w:val="000000"/>
          <w:sz w:val="24"/>
          <w:szCs w:val="24"/>
        </w:rPr>
        <w:t>State-r</w:t>
      </w:r>
      <w:r w:rsidR="00B53569">
        <w:rPr>
          <w:rFonts w:ascii="Georgia" w:eastAsia="Georgia" w:hAnsi="Georgia" w:cs="Georgia"/>
          <w:color w:val="000000"/>
          <w:sz w:val="24"/>
          <w:szCs w:val="24"/>
        </w:rPr>
        <w:t xml:space="preserve">egulated utilities are allowed to charge rates that meet their revenue requirements. In Missouri, </w:t>
      </w:r>
      <w:proofErr w:type="spellStart"/>
      <w:r w:rsidR="00B53569">
        <w:rPr>
          <w:rFonts w:ascii="Georgia" w:eastAsia="Georgia" w:hAnsi="Georgia" w:cs="Georgia"/>
          <w:color w:val="000000"/>
          <w:sz w:val="24"/>
          <w:szCs w:val="24"/>
        </w:rPr>
        <w:t>Evergy</w:t>
      </w:r>
      <w:proofErr w:type="spellEnd"/>
      <w:r w:rsidR="00B53569">
        <w:rPr>
          <w:rFonts w:ascii="Georgia" w:eastAsia="Georgia" w:hAnsi="Georgia" w:cs="Georgia"/>
          <w:color w:val="000000"/>
          <w:sz w:val="24"/>
          <w:szCs w:val="24"/>
        </w:rPr>
        <w:t xml:space="preserve"> Inc.’s home state, the revenue requirement is equal to the permissible rate of return (which is based on the cost of capital) multiplied by rate </w:t>
      </w:r>
      <w:r w:rsidR="00B53569">
        <w:rPr>
          <w:rFonts w:ascii="Georgia" w:eastAsia="Georgia" w:hAnsi="Georgia" w:cs="Georgia"/>
          <w:color w:val="000000"/>
          <w:sz w:val="24"/>
          <w:szCs w:val="24"/>
        </w:rPr>
        <w:lastRenderedPageBreak/>
        <w:t>base investment minus depreciation and plus operating costs.</w:t>
      </w:r>
      <w:r w:rsidR="00B53569">
        <w:rPr>
          <w:rFonts w:ascii="Georgia" w:eastAsia="Georgia" w:hAnsi="Georgia" w:cs="Georgia"/>
          <w:color w:val="000000"/>
          <w:sz w:val="24"/>
          <w:szCs w:val="24"/>
          <w:vertAlign w:val="superscript"/>
        </w:rPr>
        <w:footnoteReference w:id="19"/>
      </w:r>
      <w:r w:rsidR="00B53569">
        <w:rPr>
          <w:rFonts w:ascii="Georgia" w:eastAsia="Georgia" w:hAnsi="Georgia" w:cs="Georgia"/>
          <w:color w:val="000000"/>
          <w:sz w:val="24"/>
          <w:szCs w:val="24"/>
        </w:rPr>
        <w:t xml:space="preserve">  If </w:t>
      </w:r>
      <w:proofErr w:type="spellStart"/>
      <w:r w:rsidR="00B53569">
        <w:rPr>
          <w:rFonts w:ascii="Georgia" w:eastAsia="Georgia" w:hAnsi="Georgia" w:cs="Georgia"/>
          <w:color w:val="000000"/>
          <w:sz w:val="24"/>
          <w:szCs w:val="24"/>
        </w:rPr>
        <w:t>Evergy’s</w:t>
      </w:r>
      <w:proofErr w:type="spellEnd"/>
      <w:r w:rsidR="00B53569">
        <w:rPr>
          <w:rFonts w:ascii="Georgia" w:eastAsia="Georgia" w:hAnsi="Georgia" w:cs="Georgia"/>
          <w:color w:val="000000"/>
          <w:sz w:val="24"/>
          <w:szCs w:val="24"/>
        </w:rPr>
        <w:t xml:space="preserve"> capital costs follow the trajectory of Elliott’s previous targets, this intervention would increase the overall revenue requirement due to increased rate base investments net of depreciation as demanded by Elliott. This expense is increased by the higher costs of capital paid by Elliott’s targets. (Cost of capital equals the total interest and related expenses such as securing short- and long-term debt divided by the debt in current liabilities, the amount of short-term notes, and the current portion of long-term debt due in one year). CWA’s research showed that energy and utility companies targeted by Elliott Management paid increasing costs of capital while companies in the same sector that were not targeted by Elliott paid decreasing costs over three years post-intervention. The higher revenue requirement translates to increased rates for consumers. </w:t>
      </w:r>
    </w:p>
    <w:p w14:paraId="15FFD123" w14:textId="77777777" w:rsidR="00881115" w:rsidRDefault="00B53569">
      <w:pPr>
        <w:pBdr>
          <w:top w:val="nil"/>
          <w:left w:val="nil"/>
          <w:bottom w:val="nil"/>
          <w:right w:val="nil"/>
          <w:between w:val="nil"/>
        </w:pBdr>
        <w:spacing w:line="360" w:lineRule="auto"/>
        <w:ind w:firstLine="360"/>
        <w:rPr>
          <w:rFonts w:ascii="Georgia" w:eastAsia="Georgia" w:hAnsi="Georgia" w:cs="Georgia"/>
          <w:color w:val="000000"/>
          <w:sz w:val="24"/>
          <w:szCs w:val="24"/>
        </w:rPr>
      </w:pPr>
      <w:r>
        <w:rPr>
          <w:rFonts w:ascii="Georgia" w:eastAsia="Georgia" w:hAnsi="Georgia" w:cs="Georgia"/>
          <w:noProof/>
          <w:color w:val="000000"/>
          <w:sz w:val="24"/>
          <w:szCs w:val="24"/>
        </w:rPr>
        <w:drawing>
          <wp:inline distT="0" distB="0" distL="0" distR="0" wp14:anchorId="76189D52" wp14:editId="29585338">
            <wp:extent cx="5943600" cy="2884170"/>
            <wp:effectExtent l="0" t="0" r="0" b="0"/>
            <wp:docPr id="10"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8"/>
                    <a:srcRect/>
                    <a:stretch>
                      <a:fillRect/>
                    </a:stretch>
                  </pic:blipFill>
                  <pic:spPr>
                    <a:xfrm>
                      <a:off x="0" y="0"/>
                      <a:ext cx="5943600" cy="2884170"/>
                    </a:xfrm>
                    <a:prstGeom prst="rect">
                      <a:avLst/>
                    </a:prstGeom>
                    <a:ln/>
                  </pic:spPr>
                </pic:pic>
              </a:graphicData>
            </a:graphic>
          </wp:inline>
        </w:drawing>
      </w:r>
    </w:p>
    <w:p w14:paraId="1206E497" w14:textId="77777777" w:rsidR="00881115" w:rsidRDefault="00B53569">
      <w:pPr>
        <w:pBdr>
          <w:top w:val="nil"/>
          <w:left w:val="nil"/>
          <w:bottom w:val="nil"/>
          <w:right w:val="nil"/>
          <w:between w:val="nil"/>
        </w:pBdr>
        <w:spacing w:line="360" w:lineRule="auto"/>
        <w:ind w:firstLine="360"/>
        <w:rPr>
          <w:rFonts w:ascii="Georgia" w:eastAsia="Georgia" w:hAnsi="Georgia" w:cs="Georgia"/>
          <w:sz w:val="24"/>
          <w:szCs w:val="24"/>
        </w:rPr>
      </w:pPr>
      <w:r>
        <w:rPr>
          <w:rFonts w:ascii="Georgia" w:eastAsia="Georgia" w:hAnsi="Georgia" w:cs="Georgia"/>
          <w:color w:val="000000"/>
          <w:sz w:val="24"/>
          <w:szCs w:val="24"/>
        </w:rPr>
        <w:t xml:space="preserve"> Clearly, </w:t>
      </w:r>
      <w:r>
        <w:rPr>
          <w:rFonts w:ascii="Georgia" w:eastAsia="Georgia" w:hAnsi="Georgia" w:cs="Georgia"/>
          <w:sz w:val="24"/>
          <w:szCs w:val="24"/>
        </w:rPr>
        <w:t xml:space="preserve">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years-long relationship of investing billions of dollars together to gain influence over management of FERC-jurisdictional public utilities has consequences for ratepayers. We expect that hedge funds that are working together with billions of dollars will  have formal working agreements that detail the terms of their relationship. Such a contract likely exists here with their combined efforts to influence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w:t>
      </w:r>
      <w:r>
        <w:rPr>
          <w:rFonts w:ascii="Georgia" w:eastAsia="Georgia" w:hAnsi="Georgia" w:cs="Georgia"/>
          <w:b/>
          <w:sz w:val="24"/>
          <w:szCs w:val="24"/>
          <w:u w:val="single"/>
        </w:rPr>
        <w:t xml:space="preserve">FERC must compel </w:t>
      </w:r>
      <w:proofErr w:type="spellStart"/>
      <w:r>
        <w:rPr>
          <w:rFonts w:ascii="Georgia" w:eastAsia="Georgia" w:hAnsi="Georgia" w:cs="Georgia"/>
          <w:b/>
          <w:sz w:val="24"/>
          <w:szCs w:val="24"/>
          <w:u w:val="single"/>
        </w:rPr>
        <w:t>Evergy</w:t>
      </w:r>
      <w:proofErr w:type="spellEnd"/>
      <w:r>
        <w:rPr>
          <w:rFonts w:ascii="Georgia" w:eastAsia="Georgia" w:hAnsi="Georgia" w:cs="Georgia"/>
          <w:b/>
          <w:sz w:val="24"/>
          <w:szCs w:val="24"/>
          <w:u w:val="single"/>
        </w:rPr>
        <w:t xml:space="preserve"> to turn </w:t>
      </w:r>
      <w:r>
        <w:rPr>
          <w:rFonts w:ascii="Georgia" w:eastAsia="Georgia" w:hAnsi="Georgia" w:cs="Georgia"/>
          <w:b/>
          <w:sz w:val="24"/>
          <w:szCs w:val="24"/>
          <w:u w:val="single"/>
        </w:rPr>
        <w:lastRenderedPageBreak/>
        <w:t xml:space="preserve">over all formal written agreements between Elliott Management and </w:t>
      </w:r>
      <w:proofErr w:type="spellStart"/>
      <w:r>
        <w:rPr>
          <w:rFonts w:ascii="Georgia" w:eastAsia="Georgia" w:hAnsi="Georgia" w:cs="Georgia"/>
          <w:b/>
          <w:sz w:val="24"/>
          <w:szCs w:val="24"/>
          <w:u w:val="single"/>
        </w:rPr>
        <w:t>Bluescape</w:t>
      </w:r>
      <w:proofErr w:type="spellEnd"/>
      <w:r>
        <w:rPr>
          <w:rFonts w:ascii="Georgia" w:eastAsia="Georgia" w:hAnsi="Georgia" w:cs="Georgia"/>
          <w:b/>
          <w:sz w:val="24"/>
          <w:szCs w:val="24"/>
          <w:u w:val="single"/>
        </w:rPr>
        <w:t xml:space="preserve"> Energy Partners related to their mutual investment in FERC-jurisdictional utilities. If no such written agreement exists, then FERC must compel sworn statements from </w:t>
      </w:r>
      <w:proofErr w:type="spellStart"/>
      <w:r>
        <w:rPr>
          <w:rFonts w:ascii="Georgia" w:eastAsia="Georgia" w:hAnsi="Georgia" w:cs="Georgia"/>
          <w:b/>
          <w:sz w:val="24"/>
          <w:szCs w:val="24"/>
          <w:u w:val="single"/>
        </w:rPr>
        <w:t>Bluescape’s</w:t>
      </w:r>
      <w:proofErr w:type="spellEnd"/>
      <w:r>
        <w:rPr>
          <w:rFonts w:ascii="Georgia" w:eastAsia="Georgia" w:hAnsi="Georgia" w:cs="Georgia"/>
          <w:b/>
          <w:sz w:val="24"/>
          <w:szCs w:val="24"/>
          <w:u w:val="single"/>
        </w:rPr>
        <w:t xml:space="preserve"> John Wilder and Elliott Management’s Paul Elliott Singer and their staff detailing all arrangements between the two hedge funds with regards to </w:t>
      </w:r>
      <w:proofErr w:type="spellStart"/>
      <w:r>
        <w:rPr>
          <w:rFonts w:ascii="Georgia" w:eastAsia="Georgia" w:hAnsi="Georgia" w:cs="Georgia"/>
          <w:b/>
          <w:sz w:val="24"/>
          <w:szCs w:val="24"/>
          <w:u w:val="single"/>
        </w:rPr>
        <w:t>Evergy</w:t>
      </w:r>
      <w:proofErr w:type="spellEnd"/>
      <w:r>
        <w:rPr>
          <w:rFonts w:ascii="Georgia" w:eastAsia="Georgia" w:hAnsi="Georgia" w:cs="Georgia"/>
          <w:b/>
          <w:sz w:val="24"/>
          <w:szCs w:val="24"/>
          <w:u w:val="single"/>
        </w:rPr>
        <w:t>.</w:t>
      </w:r>
    </w:p>
    <w:p w14:paraId="2D7C232A" w14:textId="77777777" w:rsidR="00881115" w:rsidRDefault="00881115">
      <w:pPr>
        <w:pBdr>
          <w:top w:val="nil"/>
          <w:left w:val="nil"/>
          <w:bottom w:val="nil"/>
          <w:right w:val="nil"/>
          <w:between w:val="nil"/>
        </w:pBdr>
        <w:spacing w:line="360" w:lineRule="auto"/>
        <w:ind w:firstLine="360"/>
        <w:rPr>
          <w:rFonts w:ascii="Georgia" w:eastAsia="Georgia" w:hAnsi="Georgia" w:cs="Georgia"/>
          <w:sz w:val="24"/>
          <w:szCs w:val="24"/>
        </w:rPr>
      </w:pPr>
    </w:p>
    <w:p w14:paraId="0E5DBF7A" w14:textId="77777777" w:rsidR="00881115" w:rsidRDefault="00B53569" w:rsidP="005F5460">
      <w:pPr>
        <w:numPr>
          <w:ilvl w:val="0"/>
          <w:numId w:val="1"/>
        </w:numPr>
        <w:pBdr>
          <w:top w:val="nil"/>
          <w:left w:val="nil"/>
          <w:bottom w:val="nil"/>
          <w:right w:val="nil"/>
          <w:between w:val="nil"/>
        </w:pBdr>
        <w:spacing w:after="0" w:line="240" w:lineRule="auto"/>
        <w:rPr>
          <w:rFonts w:ascii="Georgia" w:eastAsia="Georgia" w:hAnsi="Georgia" w:cs="Georgia"/>
          <w:b/>
          <w:color w:val="000000"/>
          <w:sz w:val="24"/>
          <w:szCs w:val="24"/>
        </w:rPr>
      </w:pPr>
      <w:r>
        <w:rPr>
          <w:rFonts w:ascii="Georgia" w:eastAsia="Georgia" w:hAnsi="Georgia" w:cs="Georgia"/>
          <w:b/>
          <w:color w:val="000000"/>
          <w:sz w:val="24"/>
          <w:szCs w:val="24"/>
        </w:rPr>
        <w:t xml:space="preserve">Both </w:t>
      </w:r>
      <w:proofErr w:type="spellStart"/>
      <w:r>
        <w:rPr>
          <w:rFonts w:ascii="Georgia" w:eastAsia="Georgia" w:hAnsi="Georgia" w:cs="Georgia"/>
          <w:b/>
          <w:color w:val="000000"/>
          <w:sz w:val="24"/>
          <w:szCs w:val="24"/>
        </w:rPr>
        <w:t>Bluescape</w:t>
      </w:r>
      <w:proofErr w:type="spellEnd"/>
      <w:r>
        <w:rPr>
          <w:rFonts w:ascii="Georgia" w:eastAsia="Georgia" w:hAnsi="Georgia" w:cs="Georgia"/>
          <w:b/>
          <w:color w:val="000000"/>
          <w:sz w:val="24"/>
          <w:szCs w:val="24"/>
        </w:rPr>
        <w:t xml:space="preserve"> and Elliott have significant holdings and, in some cases, material, non-public agreements with, </w:t>
      </w:r>
      <w:proofErr w:type="spellStart"/>
      <w:r>
        <w:rPr>
          <w:rFonts w:ascii="Georgia" w:eastAsia="Georgia" w:hAnsi="Georgia" w:cs="Georgia"/>
          <w:b/>
          <w:color w:val="000000"/>
          <w:sz w:val="24"/>
          <w:szCs w:val="24"/>
        </w:rPr>
        <w:t>Evergy’s</w:t>
      </w:r>
      <w:proofErr w:type="spellEnd"/>
      <w:r>
        <w:rPr>
          <w:rFonts w:ascii="Georgia" w:eastAsia="Georgia" w:hAnsi="Georgia" w:cs="Georgia"/>
          <w:b/>
          <w:color w:val="000000"/>
          <w:sz w:val="24"/>
          <w:szCs w:val="24"/>
        </w:rPr>
        <w:t xml:space="preserve"> competitors, threatening market power and competition</w:t>
      </w:r>
    </w:p>
    <w:p w14:paraId="3D876E28" w14:textId="77777777" w:rsidR="00881115" w:rsidRDefault="00881115">
      <w:pPr>
        <w:spacing w:after="0" w:line="360" w:lineRule="auto"/>
        <w:ind w:left="360"/>
        <w:rPr>
          <w:rFonts w:ascii="Georgia" w:eastAsia="Georgia" w:hAnsi="Georgia" w:cs="Georgia"/>
          <w:sz w:val="24"/>
          <w:szCs w:val="24"/>
        </w:rPr>
      </w:pPr>
    </w:p>
    <w:p w14:paraId="0F99CF46"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As Public Citizen noted in its October 19, 2020 </w:t>
      </w:r>
      <w:r>
        <w:rPr>
          <w:rFonts w:ascii="Georgia" w:eastAsia="Georgia" w:hAnsi="Georgia" w:cs="Georgia"/>
          <w:i/>
          <w:sz w:val="24"/>
          <w:szCs w:val="24"/>
        </w:rPr>
        <w:t>Protest</w:t>
      </w:r>
      <w:r>
        <w:rPr>
          <w:rFonts w:ascii="Georgia" w:eastAsia="Georgia" w:hAnsi="Georgia" w:cs="Georgia"/>
          <w:sz w:val="24"/>
          <w:szCs w:val="24"/>
        </w:rPr>
        <w:t xml:space="preserve"> in these dockets, Elliott Management negotiated a February 2020 non-public </w:t>
      </w:r>
      <w:r>
        <w:rPr>
          <w:rFonts w:ascii="Georgia" w:eastAsia="Georgia" w:hAnsi="Georgia" w:cs="Georgia"/>
          <w:i/>
          <w:sz w:val="24"/>
          <w:szCs w:val="24"/>
        </w:rPr>
        <w:t>Cooperation Agreement</w:t>
      </w:r>
      <w:r>
        <w:rPr>
          <w:rFonts w:ascii="Georgia" w:eastAsia="Georgia" w:hAnsi="Georgia" w:cs="Georgia"/>
          <w:sz w:val="24"/>
          <w:szCs w:val="24"/>
        </w:rPr>
        <w:t xml:space="preserve"> with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that grants the hedge fund sweeping rights to material, non-public information about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business operations.</w:t>
      </w:r>
      <w:r>
        <w:rPr>
          <w:rFonts w:ascii="Georgia" w:eastAsia="Georgia" w:hAnsi="Georgia" w:cs="Georgia"/>
          <w:sz w:val="24"/>
          <w:szCs w:val="24"/>
          <w:vertAlign w:val="superscript"/>
        </w:rPr>
        <w:footnoteReference w:id="20"/>
      </w:r>
      <w:r>
        <w:rPr>
          <w:rFonts w:ascii="Georgia" w:eastAsia="Georgia" w:hAnsi="Georgia" w:cs="Georgia"/>
          <w:sz w:val="24"/>
          <w:szCs w:val="24"/>
        </w:rPr>
        <w:t xml:space="preserve"> </w:t>
      </w:r>
      <w:r>
        <w:rPr>
          <w:rFonts w:ascii="Georgia" w:eastAsia="Georgia" w:hAnsi="Georgia" w:cs="Georgia"/>
          <w:b/>
          <w:sz w:val="24"/>
          <w:szCs w:val="24"/>
        </w:rPr>
        <w:t xml:space="preserve">That document remains non-public, and we repeat our request that the Commission must compel </w:t>
      </w:r>
      <w:proofErr w:type="spellStart"/>
      <w:r>
        <w:rPr>
          <w:rFonts w:ascii="Georgia" w:eastAsia="Georgia" w:hAnsi="Georgia" w:cs="Georgia"/>
          <w:b/>
          <w:sz w:val="24"/>
          <w:szCs w:val="24"/>
        </w:rPr>
        <w:t>Evergy</w:t>
      </w:r>
      <w:proofErr w:type="spellEnd"/>
      <w:r>
        <w:rPr>
          <w:rFonts w:ascii="Georgia" w:eastAsia="Georgia" w:hAnsi="Georgia" w:cs="Georgia"/>
          <w:b/>
          <w:sz w:val="24"/>
          <w:szCs w:val="24"/>
        </w:rPr>
        <w:t xml:space="preserve"> to provide the </w:t>
      </w:r>
      <w:r>
        <w:rPr>
          <w:rFonts w:ascii="Georgia" w:eastAsia="Georgia" w:hAnsi="Georgia" w:cs="Georgia"/>
          <w:b/>
          <w:i/>
          <w:sz w:val="24"/>
          <w:szCs w:val="24"/>
        </w:rPr>
        <w:t>Cooperation Agreement</w:t>
      </w:r>
      <w:r>
        <w:rPr>
          <w:rFonts w:ascii="Georgia" w:eastAsia="Georgia" w:hAnsi="Georgia" w:cs="Georgia"/>
          <w:b/>
          <w:sz w:val="24"/>
          <w:szCs w:val="24"/>
        </w:rPr>
        <w:t xml:space="preserve"> as part of this proceeding.</w:t>
      </w:r>
      <w:r>
        <w:rPr>
          <w:rFonts w:ascii="Georgia" w:eastAsia="Georgia" w:hAnsi="Georgia" w:cs="Georgia"/>
          <w:sz w:val="24"/>
          <w:szCs w:val="24"/>
        </w:rPr>
        <w:t xml:space="preserve"> </w:t>
      </w:r>
    </w:p>
    <w:p w14:paraId="1AB162A2" w14:textId="17B27500"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We have previously detailed that Elliott Management has active, billion-dollar investments that have resulted in the hedge fund simultaneously influencing and controlling CenterPoint Energy and DTE Energy</w:t>
      </w:r>
      <w:r>
        <w:rPr>
          <w:rFonts w:ascii="Georgia" w:eastAsia="Georgia" w:hAnsi="Georgia" w:cs="Georgia"/>
          <w:sz w:val="24"/>
          <w:szCs w:val="24"/>
          <w:vertAlign w:val="superscript"/>
        </w:rPr>
        <w:footnoteReference w:id="21"/>
      </w:r>
      <w:r>
        <w:rPr>
          <w:rFonts w:ascii="Georgia" w:eastAsia="Georgia" w:hAnsi="Georgia" w:cs="Georgia"/>
          <w:sz w:val="24"/>
          <w:szCs w:val="24"/>
        </w:rPr>
        <w:t>, with Reuters reporting just days ago that Elliott Management and Duke</w:t>
      </w:r>
      <w:r w:rsidR="0056676E">
        <w:rPr>
          <w:rFonts w:ascii="Georgia" w:eastAsia="Georgia" w:hAnsi="Georgia" w:cs="Georgia"/>
          <w:sz w:val="24"/>
          <w:szCs w:val="24"/>
        </w:rPr>
        <w:t xml:space="preserve"> Energy</w:t>
      </w:r>
      <w:r>
        <w:rPr>
          <w:rFonts w:ascii="Georgia" w:eastAsia="Georgia" w:hAnsi="Georgia" w:cs="Georgia"/>
          <w:sz w:val="24"/>
          <w:szCs w:val="24"/>
        </w:rPr>
        <w:t xml:space="preserve"> are in “advanced settlement talks” to provide Elliott with a significant role in shaping Duke’s management.</w:t>
      </w:r>
      <w:r>
        <w:rPr>
          <w:rFonts w:ascii="Georgia" w:eastAsia="Georgia" w:hAnsi="Georgia" w:cs="Georgia"/>
          <w:sz w:val="24"/>
          <w:szCs w:val="24"/>
          <w:vertAlign w:val="superscript"/>
        </w:rPr>
        <w:footnoteReference w:id="22"/>
      </w:r>
    </w:p>
    <w:p w14:paraId="2221AF27"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ab/>
        <w:t xml:space="preserve">In the case of CenterPoint and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Elliott Management negotiated agreements providing Elliott with unfettered access to material, non-public business information, simultaneously at competing utilities. As Public Citizen has repeatedly pointed out to the Commission in this proceeding, tolerating such unregulated access to </w:t>
      </w:r>
      <w:r>
        <w:rPr>
          <w:rFonts w:ascii="Georgia" w:eastAsia="Georgia" w:hAnsi="Georgia" w:cs="Georgia"/>
          <w:sz w:val="24"/>
          <w:szCs w:val="24"/>
        </w:rPr>
        <w:lastRenderedPageBreak/>
        <w:t>material, non-public information of MBR competitors pose significant risks to competition and market power.</w:t>
      </w:r>
      <w:r>
        <w:rPr>
          <w:rFonts w:ascii="Georgia" w:eastAsia="Georgia" w:hAnsi="Georgia" w:cs="Georgia"/>
          <w:sz w:val="24"/>
          <w:szCs w:val="24"/>
          <w:vertAlign w:val="superscript"/>
        </w:rPr>
        <w:footnoteReference w:id="23"/>
      </w:r>
    </w:p>
    <w:p w14:paraId="01493DE5"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In addition,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actively controls 5,555,230 shares of CenterPoint Energy, more than 9 million shares of NRG Energy, over 3 million shares of TransAlta Corp</w:t>
      </w:r>
      <w:r>
        <w:rPr>
          <w:rFonts w:ascii="Georgia" w:eastAsia="Georgia" w:hAnsi="Georgia" w:cs="Georgia"/>
          <w:sz w:val="24"/>
          <w:szCs w:val="24"/>
          <w:vertAlign w:val="superscript"/>
        </w:rPr>
        <w:footnoteReference w:id="24"/>
      </w:r>
      <w:r>
        <w:rPr>
          <w:rFonts w:ascii="Georgia" w:eastAsia="Georgia" w:hAnsi="Georgia" w:cs="Georgia"/>
          <w:sz w:val="24"/>
          <w:szCs w:val="24"/>
        </w:rPr>
        <w:t>, and nearly 1 million shares of Entergy.</w:t>
      </w:r>
      <w:r>
        <w:rPr>
          <w:rFonts w:ascii="Georgia" w:eastAsia="Georgia" w:hAnsi="Georgia" w:cs="Georgia"/>
          <w:sz w:val="24"/>
          <w:szCs w:val="24"/>
          <w:vertAlign w:val="superscript"/>
        </w:rPr>
        <w:footnoteReference w:id="25"/>
      </w:r>
      <w:r>
        <w:rPr>
          <w:rFonts w:ascii="Georgia" w:eastAsia="Georgia" w:hAnsi="Georgia" w:cs="Georgia"/>
          <w:sz w:val="24"/>
          <w:szCs w:val="24"/>
        </w:rPr>
        <w:t xml:space="preserve"> It is unknown whether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has entered into any agreements providing the activist hedge fund with access to material, non-public information because much of its investment activities are deliberately structured to avoid disclosure and oversight while maximizing influence and control over target companies.</w:t>
      </w:r>
    </w:p>
    <w:p w14:paraId="71D81BAF"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The significant financial investments both hedge funds have in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competitors, combined with their established roles as activists seeking management changes present significant threats to competition that necessitates a finding that both hedge funds are affiliates of </w:t>
      </w:r>
      <w:proofErr w:type="spellStart"/>
      <w:r>
        <w:rPr>
          <w:rFonts w:ascii="Georgia" w:eastAsia="Georgia" w:hAnsi="Georgia" w:cs="Georgia"/>
          <w:sz w:val="24"/>
          <w:szCs w:val="24"/>
        </w:rPr>
        <w:t>Evergy</w:t>
      </w:r>
      <w:proofErr w:type="spellEnd"/>
      <w:r>
        <w:rPr>
          <w:rFonts w:ascii="Georgia" w:eastAsia="Georgia" w:hAnsi="Georgia" w:cs="Georgia"/>
          <w:sz w:val="24"/>
          <w:szCs w:val="24"/>
        </w:rPr>
        <w:t>.</w:t>
      </w:r>
    </w:p>
    <w:p w14:paraId="0AAAE9D6" w14:textId="77777777" w:rsidR="00881115" w:rsidRDefault="00881115">
      <w:pPr>
        <w:spacing w:after="0" w:line="360" w:lineRule="auto"/>
        <w:rPr>
          <w:rFonts w:ascii="Georgia" w:eastAsia="Georgia" w:hAnsi="Georgia" w:cs="Georgia"/>
          <w:sz w:val="24"/>
          <w:szCs w:val="24"/>
        </w:rPr>
      </w:pPr>
    </w:p>
    <w:p w14:paraId="59D96CEA" w14:textId="77777777" w:rsidR="00881115" w:rsidRDefault="00B53569" w:rsidP="005F5460">
      <w:pPr>
        <w:numPr>
          <w:ilvl w:val="0"/>
          <w:numId w:val="1"/>
        </w:numPr>
        <w:pBdr>
          <w:top w:val="nil"/>
          <w:left w:val="nil"/>
          <w:bottom w:val="nil"/>
          <w:right w:val="nil"/>
          <w:between w:val="nil"/>
        </w:pBdr>
        <w:spacing w:after="0" w:line="240" w:lineRule="auto"/>
        <w:rPr>
          <w:rFonts w:ascii="Georgia" w:eastAsia="Georgia" w:hAnsi="Georgia" w:cs="Georgia"/>
          <w:b/>
          <w:color w:val="000000"/>
          <w:sz w:val="24"/>
          <w:szCs w:val="24"/>
        </w:rPr>
      </w:pPr>
      <w:r>
        <w:rPr>
          <w:rFonts w:ascii="Georgia" w:eastAsia="Georgia" w:hAnsi="Georgia" w:cs="Georgia"/>
          <w:b/>
          <w:color w:val="000000"/>
          <w:sz w:val="24"/>
          <w:szCs w:val="24"/>
        </w:rPr>
        <w:t xml:space="preserve">Elliott Management’s Peabody Energy Affiliate Has Fuel-Supply Contracts With </w:t>
      </w:r>
      <w:proofErr w:type="spellStart"/>
      <w:r>
        <w:rPr>
          <w:rFonts w:ascii="Georgia" w:eastAsia="Georgia" w:hAnsi="Georgia" w:cs="Georgia"/>
          <w:b/>
          <w:color w:val="000000"/>
          <w:sz w:val="24"/>
          <w:szCs w:val="24"/>
        </w:rPr>
        <w:t>Evergy</w:t>
      </w:r>
      <w:proofErr w:type="spellEnd"/>
      <w:r>
        <w:rPr>
          <w:rFonts w:ascii="Georgia" w:eastAsia="Georgia" w:hAnsi="Georgia" w:cs="Georgia"/>
          <w:b/>
          <w:color w:val="000000"/>
          <w:sz w:val="24"/>
          <w:szCs w:val="24"/>
        </w:rPr>
        <w:t>, Threatening Just and Reasonable Rates</w:t>
      </w:r>
    </w:p>
    <w:p w14:paraId="0534335D" w14:textId="77777777" w:rsidR="00881115" w:rsidRDefault="00881115">
      <w:pPr>
        <w:spacing w:after="0" w:line="360" w:lineRule="auto"/>
        <w:rPr>
          <w:rFonts w:ascii="Georgia" w:eastAsia="Georgia" w:hAnsi="Georgia" w:cs="Georgia"/>
          <w:sz w:val="24"/>
          <w:szCs w:val="24"/>
        </w:rPr>
      </w:pPr>
    </w:p>
    <w:p w14:paraId="3EA32EE8" w14:textId="7B9C240E" w:rsidR="00881115" w:rsidRDefault="00B53569">
      <w:pPr>
        <w:spacing w:line="360" w:lineRule="auto"/>
        <w:ind w:firstLine="360"/>
        <w:rPr>
          <w:rFonts w:ascii="Georgia" w:eastAsia="Georgia" w:hAnsi="Georgia" w:cs="Georgia"/>
          <w:sz w:val="24"/>
          <w:szCs w:val="24"/>
        </w:rPr>
      </w:pPr>
      <w:r>
        <w:rPr>
          <w:rFonts w:ascii="Georgia" w:eastAsia="Georgia" w:hAnsi="Georgia" w:cs="Georgia"/>
          <w:sz w:val="24"/>
          <w:szCs w:val="24"/>
        </w:rPr>
        <w:t>Elliott Management owns 23% of Peabody Energy’s outstanding common stock.</w:t>
      </w:r>
      <w:r>
        <w:rPr>
          <w:rFonts w:ascii="Georgia" w:eastAsia="Georgia" w:hAnsi="Georgia" w:cs="Georgia"/>
          <w:sz w:val="24"/>
          <w:szCs w:val="24"/>
          <w:vertAlign w:val="superscript"/>
        </w:rPr>
        <w:footnoteReference w:id="26"/>
      </w:r>
      <w:r>
        <w:rPr>
          <w:rFonts w:ascii="Georgia" w:eastAsia="Georgia" w:hAnsi="Georgia" w:cs="Georgia"/>
          <w:sz w:val="24"/>
          <w:szCs w:val="24"/>
          <w:vertAlign w:val="superscript"/>
        </w:rPr>
        <w:t xml:space="preserve">  </w:t>
      </w:r>
      <w:r>
        <w:rPr>
          <w:rFonts w:ascii="Georgia" w:eastAsia="Georgia" w:hAnsi="Georgia" w:cs="Georgia"/>
          <w:sz w:val="24"/>
          <w:szCs w:val="24"/>
        </w:rPr>
        <w:t xml:space="preserve">In 2019, the year prior to Elliott’s intervention,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bought  4,191,109 tons of coal from Peabody Coal Sales, according to data from the Energy Information Administration. In 2020, the year of Elliott’s intervention, coal sales from Peabody to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increased to 5,996,647 tons. Between January and August of 2021 (the time period for which data is currently available), Peabody sold 3,118,031 tons of coal to </w:t>
      </w:r>
      <w:proofErr w:type="spellStart"/>
      <w:r>
        <w:rPr>
          <w:rFonts w:ascii="Georgia" w:eastAsia="Georgia" w:hAnsi="Georgia" w:cs="Georgia"/>
          <w:sz w:val="24"/>
          <w:szCs w:val="24"/>
        </w:rPr>
        <w:t>Evergy</w:t>
      </w:r>
      <w:proofErr w:type="spellEnd"/>
      <w:r>
        <w:rPr>
          <w:rFonts w:ascii="Georgia" w:eastAsia="Georgia" w:hAnsi="Georgia" w:cs="Georgia"/>
          <w:sz w:val="24"/>
          <w:szCs w:val="24"/>
        </w:rPr>
        <w:t>.</w:t>
      </w:r>
      <w:r>
        <w:rPr>
          <w:rFonts w:ascii="Georgia" w:eastAsia="Georgia" w:hAnsi="Georgia" w:cs="Georgia"/>
          <w:sz w:val="24"/>
          <w:szCs w:val="24"/>
          <w:vertAlign w:val="superscript"/>
        </w:rPr>
        <w:footnoteReference w:id="27"/>
      </w:r>
      <w:r>
        <w:rPr>
          <w:rFonts w:ascii="Georgia" w:eastAsia="Georgia" w:hAnsi="Georgia" w:cs="Georgia"/>
          <w:sz w:val="24"/>
          <w:szCs w:val="24"/>
        </w:rPr>
        <w:t xml:space="preserve"> It therefore appears as though coal sales to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from Elliott Management’s affiliate have increased since Elliott’s involvement, indicating a potential threat to competition and rates.</w:t>
      </w:r>
    </w:p>
    <w:p w14:paraId="154B55FF" w14:textId="77777777" w:rsidR="00881115" w:rsidRDefault="00B53569">
      <w:pPr>
        <w:spacing w:line="360" w:lineRule="auto"/>
        <w:ind w:firstLine="720"/>
        <w:rPr>
          <w:rFonts w:ascii="Georgia" w:eastAsia="Georgia" w:hAnsi="Georgia" w:cs="Georgia"/>
          <w:sz w:val="24"/>
          <w:szCs w:val="24"/>
        </w:rPr>
      </w:pPr>
      <w:r>
        <w:rPr>
          <w:rFonts w:ascii="Georgia" w:eastAsia="Georgia" w:hAnsi="Georgia" w:cs="Georgia"/>
          <w:sz w:val="24"/>
          <w:szCs w:val="24"/>
        </w:rPr>
        <w:lastRenderedPageBreak/>
        <w:t xml:space="preserve"> Determining affiliation is important for many reasons, including to ensure that </w:t>
      </w:r>
      <w:proofErr w:type="spellStart"/>
      <w:r>
        <w:rPr>
          <w:rFonts w:ascii="Georgia" w:eastAsia="Georgia" w:hAnsi="Georgia" w:cs="Georgia"/>
          <w:sz w:val="24"/>
          <w:szCs w:val="24"/>
        </w:rPr>
        <w:t>Evergy’s</w:t>
      </w:r>
      <w:proofErr w:type="spellEnd"/>
      <w:r>
        <w:rPr>
          <w:rFonts w:ascii="Georgia" w:eastAsia="Georgia" w:hAnsi="Georgia" w:cs="Georgia"/>
          <w:sz w:val="24"/>
          <w:szCs w:val="24"/>
        </w:rPr>
        <w:t xml:space="preserve"> fuel supply transactions are conducted at arm’s length from Elliott Management. </w:t>
      </w:r>
    </w:p>
    <w:p w14:paraId="062ED7B4" w14:textId="77777777" w:rsidR="00881115" w:rsidRDefault="00881115">
      <w:pPr>
        <w:spacing w:after="0" w:line="360" w:lineRule="auto"/>
        <w:rPr>
          <w:rFonts w:ascii="Georgia" w:eastAsia="Georgia" w:hAnsi="Georgia" w:cs="Georgia"/>
          <w:sz w:val="24"/>
          <w:szCs w:val="24"/>
        </w:rPr>
      </w:pPr>
    </w:p>
    <w:p w14:paraId="4E15D37B" w14:textId="77777777" w:rsidR="00881115" w:rsidRDefault="00B53569" w:rsidP="0069190D">
      <w:pPr>
        <w:numPr>
          <w:ilvl w:val="0"/>
          <w:numId w:val="1"/>
        </w:numPr>
        <w:pBdr>
          <w:top w:val="nil"/>
          <w:left w:val="nil"/>
          <w:bottom w:val="nil"/>
          <w:right w:val="nil"/>
          <w:between w:val="nil"/>
        </w:pBdr>
        <w:spacing w:after="0" w:line="240" w:lineRule="auto"/>
        <w:rPr>
          <w:rFonts w:ascii="Georgia" w:eastAsia="Georgia" w:hAnsi="Georgia" w:cs="Georgia"/>
          <w:b/>
          <w:color w:val="000000"/>
          <w:sz w:val="24"/>
          <w:szCs w:val="24"/>
        </w:rPr>
      </w:pPr>
      <w:r>
        <w:rPr>
          <w:rFonts w:ascii="Georgia" w:eastAsia="Georgia" w:hAnsi="Georgia" w:cs="Georgia"/>
          <w:b/>
          <w:color w:val="000000"/>
          <w:sz w:val="24"/>
          <w:szCs w:val="24"/>
        </w:rPr>
        <w:t xml:space="preserve">The Commission Needs Additional Disclosures From </w:t>
      </w:r>
      <w:proofErr w:type="spellStart"/>
      <w:r>
        <w:rPr>
          <w:rFonts w:ascii="Georgia" w:eastAsia="Georgia" w:hAnsi="Georgia" w:cs="Georgia"/>
          <w:b/>
          <w:color w:val="000000"/>
          <w:sz w:val="24"/>
          <w:szCs w:val="24"/>
        </w:rPr>
        <w:t>Evergy</w:t>
      </w:r>
      <w:proofErr w:type="spellEnd"/>
      <w:r>
        <w:rPr>
          <w:rFonts w:ascii="Georgia" w:eastAsia="Georgia" w:hAnsi="Georgia" w:cs="Georgia"/>
          <w:b/>
          <w:color w:val="000000"/>
          <w:sz w:val="24"/>
          <w:szCs w:val="24"/>
        </w:rPr>
        <w:t xml:space="preserve"> to Determine Whether The Hedge Funds Utilize Financial Instruments To Convey Additional Ownership</w:t>
      </w:r>
    </w:p>
    <w:p w14:paraId="365EED47" w14:textId="77777777" w:rsidR="00881115" w:rsidRDefault="00881115">
      <w:pPr>
        <w:spacing w:after="0" w:line="360" w:lineRule="auto"/>
        <w:rPr>
          <w:rFonts w:ascii="Georgia" w:eastAsia="Georgia" w:hAnsi="Georgia" w:cs="Georgia"/>
          <w:sz w:val="24"/>
          <w:szCs w:val="24"/>
        </w:rPr>
      </w:pPr>
    </w:p>
    <w:p w14:paraId="72C17D3B"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Sophisticated financial firms like 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routinely employ the use of complex financial instruments, including various types of derivatives, to amplify their influence in target companies beyond directly owning voting shares. The use of such complex financial products is useful for activist investors because the derivatives are typically unregulated by the U.S. Securities and Exchange Commission for purposes of tracking ownership of public companies. </w:t>
      </w:r>
    </w:p>
    <w:p w14:paraId="03EE225E" w14:textId="77777777" w:rsidR="00881115" w:rsidRDefault="00B53569">
      <w:pPr>
        <w:spacing w:after="0" w:line="360" w:lineRule="auto"/>
        <w:ind w:firstLine="360"/>
        <w:rPr>
          <w:rFonts w:ascii="Georgia" w:eastAsia="Georgia" w:hAnsi="Georgia" w:cs="Georgia"/>
          <w:color w:val="000000"/>
          <w:sz w:val="24"/>
          <w:szCs w:val="24"/>
        </w:rPr>
      </w:pPr>
      <w:r>
        <w:rPr>
          <w:rFonts w:ascii="Georgia" w:eastAsia="Georgia" w:hAnsi="Georgia" w:cs="Georgia"/>
          <w:color w:val="000000"/>
          <w:sz w:val="24"/>
          <w:szCs w:val="24"/>
        </w:rPr>
        <w:t>For example, Carl Icahn recently volunteered that his 4.9% ownership stake of Southwest Gas is actually much higher than that “when including derivatives” contracts.</w:t>
      </w:r>
      <w:r>
        <w:rPr>
          <w:rFonts w:ascii="Georgia" w:eastAsia="Georgia" w:hAnsi="Georgia" w:cs="Georgia"/>
          <w:color w:val="000000"/>
          <w:sz w:val="24"/>
          <w:szCs w:val="24"/>
          <w:vertAlign w:val="superscript"/>
        </w:rPr>
        <w:footnoteReference w:id="28"/>
      </w:r>
      <w:r>
        <w:rPr>
          <w:rFonts w:ascii="Georgia" w:eastAsia="Georgia" w:hAnsi="Georgia" w:cs="Georgia"/>
          <w:color w:val="000000"/>
          <w:sz w:val="24"/>
          <w:szCs w:val="24"/>
        </w:rPr>
        <w:t xml:space="preserve"> Likewise, in October 2019, Elliott Management reported that its funds “collectively [owned] $3.4 billion in common stock and economic equivalents of AT&amp;T Inc.” Yet in a mid-February 2</w:t>
      </w:r>
      <w:r>
        <w:rPr>
          <w:rFonts w:ascii="Georgia" w:eastAsia="Georgia" w:hAnsi="Georgia" w:cs="Georgia"/>
          <w:sz w:val="24"/>
          <w:szCs w:val="24"/>
        </w:rPr>
        <w:t>020</w:t>
      </w:r>
      <w:r>
        <w:rPr>
          <w:rFonts w:ascii="Georgia" w:eastAsia="Georgia" w:hAnsi="Georgia" w:cs="Georgia"/>
          <w:color w:val="000000"/>
          <w:sz w:val="24"/>
          <w:szCs w:val="24"/>
        </w:rPr>
        <w:t xml:space="preserve"> filing with the SEC, Elliott </w:t>
      </w:r>
      <w:r>
        <w:rPr>
          <w:rFonts w:ascii="Georgia" w:eastAsia="Georgia" w:hAnsi="Georgia" w:cs="Georgia"/>
          <w:sz w:val="24"/>
          <w:szCs w:val="24"/>
        </w:rPr>
        <w:t xml:space="preserve">disclosed that it </w:t>
      </w:r>
      <w:r>
        <w:rPr>
          <w:rFonts w:ascii="Georgia" w:eastAsia="Georgia" w:hAnsi="Georgia" w:cs="Georgia"/>
          <w:color w:val="000000"/>
          <w:sz w:val="24"/>
          <w:szCs w:val="24"/>
        </w:rPr>
        <w:t xml:space="preserve"> made a </w:t>
      </w:r>
      <w:r>
        <w:rPr>
          <w:rFonts w:ascii="Georgia" w:eastAsia="Georgia" w:hAnsi="Georgia" w:cs="Georgia"/>
          <w:sz w:val="24"/>
          <w:szCs w:val="24"/>
        </w:rPr>
        <w:t xml:space="preserve">relatively </w:t>
      </w:r>
      <w:r>
        <w:rPr>
          <w:rFonts w:ascii="Georgia" w:eastAsia="Georgia" w:hAnsi="Georgia" w:cs="Georgia"/>
          <w:color w:val="000000"/>
          <w:sz w:val="24"/>
          <w:szCs w:val="24"/>
        </w:rPr>
        <w:t>small financial outlay upfront as it owned just 5 million shares of AT&amp;T stock, worth around $195 million. The remainder of Elliott’s holdings were in the form of derivatives, including 202,500 call options to purchase AT&amp;T shares and an undisclosed amount of “synthetic long exposure” through the sale of puts, according to Elliott Management sources.</w:t>
      </w:r>
      <w:r>
        <w:rPr>
          <w:rFonts w:ascii="Georgia" w:eastAsia="Georgia" w:hAnsi="Georgia" w:cs="Georgia"/>
          <w:color w:val="000000"/>
          <w:sz w:val="24"/>
          <w:szCs w:val="24"/>
          <w:vertAlign w:val="superscript"/>
        </w:rPr>
        <w:footnoteReference w:id="29"/>
      </w:r>
    </w:p>
    <w:p w14:paraId="61A93335" w14:textId="7777777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More recently, the March 2021 implosion of </w:t>
      </w:r>
      <w:proofErr w:type="spellStart"/>
      <w:r>
        <w:rPr>
          <w:rFonts w:ascii="Georgia" w:eastAsia="Georgia" w:hAnsi="Georgia" w:cs="Georgia"/>
          <w:sz w:val="24"/>
          <w:szCs w:val="24"/>
        </w:rPr>
        <w:t>Archegos</w:t>
      </w:r>
      <w:proofErr w:type="spellEnd"/>
      <w:r>
        <w:rPr>
          <w:rFonts w:ascii="Georgia" w:eastAsia="Georgia" w:hAnsi="Georgia" w:cs="Georgia"/>
          <w:sz w:val="24"/>
          <w:szCs w:val="24"/>
        </w:rPr>
        <w:t xml:space="preserve"> Capital Management that rocked global financial and equity markets was based entirely on the hedge fund’s </w:t>
      </w:r>
      <w:r>
        <w:rPr>
          <w:rFonts w:ascii="Georgia" w:eastAsia="Georgia" w:hAnsi="Georgia" w:cs="Georgia"/>
          <w:sz w:val="24"/>
          <w:szCs w:val="24"/>
        </w:rPr>
        <w:lastRenderedPageBreak/>
        <w:t>aggressive use of total return swaps to maximize leverage on single-stock bets</w:t>
      </w:r>
      <w:r>
        <w:rPr>
          <w:rFonts w:ascii="Georgia" w:eastAsia="Georgia" w:hAnsi="Georgia" w:cs="Georgia"/>
          <w:sz w:val="24"/>
          <w:szCs w:val="24"/>
          <w:vertAlign w:val="superscript"/>
        </w:rPr>
        <w:footnoteReference w:id="30"/>
      </w:r>
      <w:r>
        <w:rPr>
          <w:rFonts w:ascii="Georgia" w:eastAsia="Georgia" w:hAnsi="Georgia" w:cs="Georgia"/>
          <w:sz w:val="24"/>
          <w:szCs w:val="24"/>
        </w:rPr>
        <w:t xml:space="preserve">—thereby allowing </w:t>
      </w:r>
      <w:proofErr w:type="spellStart"/>
      <w:r>
        <w:rPr>
          <w:rFonts w:ascii="Georgia" w:eastAsia="Georgia" w:hAnsi="Georgia" w:cs="Georgia"/>
          <w:sz w:val="24"/>
          <w:szCs w:val="24"/>
        </w:rPr>
        <w:t>Archegos</w:t>
      </w:r>
      <w:proofErr w:type="spellEnd"/>
      <w:r>
        <w:rPr>
          <w:rFonts w:ascii="Georgia" w:eastAsia="Georgia" w:hAnsi="Georgia" w:cs="Georgia"/>
          <w:sz w:val="24"/>
          <w:szCs w:val="24"/>
        </w:rPr>
        <w:t xml:space="preserve"> to simulate being one of the largest stockholders of several publicly-traded companies without technically owning the stocks. But </w:t>
      </w:r>
      <w:proofErr w:type="spellStart"/>
      <w:r>
        <w:rPr>
          <w:rFonts w:ascii="Georgia" w:eastAsia="Georgia" w:hAnsi="Georgia" w:cs="Georgia"/>
          <w:sz w:val="24"/>
          <w:szCs w:val="24"/>
        </w:rPr>
        <w:t>Archeogos</w:t>
      </w:r>
      <w:proofErr w:type="spellEnd"/>
      <w:r>
        <w:rPr>
          <w:rFonts w:ascii="Georgia" w:eastAsia="Georgia" w:hAnsi="Georgia" w:cs="Georgia"/>
          <w:sz w:val="24"/>
          <w:szCs w:val="24"/>
        </w:rPr>
        <w:t xml:space="preserve">’ use of highly leveraged swap instruments meant that his financial trading enabled it to unilaterally influence the share price of the company, and therefore exert significant influence over management if he chose to do so. </w:t>
      </w:r>
      <w:proofErr w:type="spellStart"/>
      <w:r>
        <w:rPr>
          <w:rFonts w:ascii="Georgia" w:eastAsia="Georgia" w:hAnsi="Georgia" w:cs="Georgia"/>
          <w:sz w:val="24"/>
          <w:szCs w:val="24"/>
        </w:rPr>
        <w:t>Archeogos</w:t>
      </w:r>
      <w:proofErr w:type="spellEnd"/>
      <w:r>
        <w:rPr>
          <w:rFonts w:ascii="Georgia" w:eastAsia="Georgia" w:hAnsi="Georgia" w:cs="Georgia"/>
          <w:sz w:val="24"/>
          <w:szCs w:val="24"/>
        </w:rPr>
        <w:t>’ sudden collapse took the U.S. Securities and Exchange Commission by total surprise because U.S. regulators do not require disclosure of total return swaps.</w:t>
      </w:r>
    </w:p>
    <w:p w14:paraId="3084AEC2" w14:textId="5BBE9BE4" w:rsidR="00881115" w:rsidRDefault="00B53569" w:rsidP="0069190D">
      <w:pPr>
        <w:spacing w:after="0" w:line="360" w:lineRule="auto"/>
        <w:ind w:firstLine="360"/>
        <w:rPr>
          <w:rFonts w:ascii="Georgia" w:eastAsia="Georgia" w:hAnsi="Georgia" w:cs="Georgia"/>
          <w:sz w:val="24"/>
          <w:szCs w:val="24"/>
        </w:rPr>
      </w:pPr>
      <w:r>
        <w:rPr>
          <w:rFonts w:ascii="Georgia" w:eastAsia="Georgia" w:hAnsi="Georgia" w:cs="Georgia"/>
          <w:sz w:val="24"/>
          <w:szCs w:val="24"/>
        </w:rPr>
        <w:t xml:space="preserve">The unregulated nature of the market may mean that 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could be employing similar tactics. It would be useful for the Commission to compel the hedge funds to disclose whether they utilize such financial instruments involving </w:t>
      </w:r>
      <w:proofErr w:type="spellStart"/>
      <w:r>
        <w:rPr>
          <w:rFonts w:ascii="Georgia" w:eastAsia="Georgia" w:hAnsi="Georgia" w:cs="Georgia"/>
          <w:sz w:val="24"/>
          <w:szCs w:val="24"/>
        </w:rPr>
        <w:t>Evergy</w:t>
      </w:r>
      <w:proofErr w:type="spellEnd"/>
      <w:r>
        <w:rPr>
          <w:rFonts w:ascii="Georgia" w:eastAsia="Georgia" w:hAnsi="Georgia" w:cs="Georgia"/>
          <w:sz w:val="24"/>
          <w:szCs w:val="24"/>
        </w:rPr>
        <w:t>.</w:t>
      </w:r>
    </w:p>
    <w:p w14:paraId="6D3117E6" w14:textId="77777777" w:rsidR="00881115" w:rsidRDefault="00881115">
      <w:pPr>
        <w:spacing w:after="0" w:line="360" w:lineRule="auto"/>
        <w:ind w:firstLine="360"/>
        <w:rPr>
          <w:rFonts w:ascii="Georgia" w:eastAsia="Georgia" w:hAnsi="Georgia" w:cs="Georgia"/>
          <w:sz w:val="24"/>
          <w:szCs w:val="24"/>
        </w:rPr>
      </w:pPr>
    </w:p>
    <w:p w14:paraId="26F1CCBF" w14:textId="455FCE9B" w:rsidR="00881115" w:rsidRDefault="00B53569" w:rsidP="001511E8">
      <w:pPr>
        <w:spacing w:after="0" w:line="360" w:lineRule="auto"/>
        <w:jc w:val="center"/>
        <w:rPr>
          <w:rFonts w:ascii="Georgia" w:eastAsia="Georgia" w:hAnsi="Georgia" w:cs="Georgia"/>
          <w:b/>
          <w:sz w:val="24"/>
          <w:szCs w:val="24"/>
        </w:rPr>
      </w:pPr>
      <w:r>
        <w:rPr>
          <w:rFonts w:ascii="Georgia" w:eastAsia="Georgia" w:hAnsi="Georgia" w:cs="Georgia"/>
          <w:b/>
          <w:sz w:val="24"/>
          <w:szCs w:val="24"/>
        </w:rPr>
        <w:t>Conclusion</w:t>
      </w:r>
    </w:p>
    <w:p w14:paraId="0785E5F5" w14:textId="77777777" w:rsidR="001511E8" w:rsidRDefault="001511E8" w:rsidP="001511E8">
      <w:pPr>
        <w:spacing w:after="0" w:line="360" w:lineRule="auto"/>
        <w:jc w:val="center"/>
        <w:rPr>
          <w:rFonts w:ascii="Georgia" w:eastAsia="Georgia" w:hAnsi="Georgia" w:cs="Georgia"/>
          <w:b/>
          <w:sz w:val="24"/>
          <w:szCs w:val="24"/>
        </w:rPr>
      </w:pPr>
    </w:p>
    <w:p w14:paraId="254882DF" w14:textId="03457A27" w:rsidR="00881115" w:rsidRDefault="00B53569">
      <w:pPr>
        <w:spacing w:after="0" w:line="360" w:lineRule="auto"/>
        <w:ind w:firstLine="360"/>
        <w:rPr>
          <w:rFonts w:ascii="Georgia" w:eastAsia="Georgia" w:hAnsi="Georgia" w:cs="Georgia"/>
          <w:sz w:val="24"/>
          <w:szCs w:val="24"/>
        </w:rPr>
      </w:pPr>
      <w:r>
        <w:rPr>
          <w:rFonts w:ascii="Georgia" w:eastAsia="Georgia" w:hAnsi="Georgia" w:cs="Georgia"/>
          <w:sz w:val="24"/>
          <w:szCs w:val="24"/>
        </w:rPr>
        <w:t>The Commission must act to ensure just and reasonable rates by classifying both</w:t>
      </w:r>
      <w:r w:rsidR="0056676E">
        <w:rPr>
          <w:rFonts w:ascii="Georgia" w:eastAsia="Georgia" w:hAnsi="Georgia" w:cs="Georgia"/>
          <w:sz w:val="24"/>
          <w:szCs w:val="24"/>
        </w:rPr>
        <w:t xml:space="preserve"> </w:t>
      </w:r>
      <w:r w:rsidR="0056676E">
        <w:rPr>
          <w:rFonts w:ascii="Georgia" w:eastAsia="Georgia" w:hAnsi="Georgia" w:cs="Georgia"/>
          <w:sz w:val="24"/>
          <w:szCs w:val="24"/>
        </w:rPr>
        <w:t xml:space="preserve">Elliott Management and </w:t>
      </w:r>
      <w:proofErr w:type="spellStart"/>
      <w:r w:rsidR="0056676E">
        <w:rPr>
          <w:rFonts w:ascii="Georgia" w:eastAsia="Georgia" w:hAnsi="Georgia" w:cs="Georgia"/>
          <w:sz w:val="24"/>
          <w:szCs w:val="24"/>
        </w:rPr>
        <w:t>Bluescape</w:t>
      </w:r>
      <w:proofErr w:type="spellEnd"/>
      <w:r w:rsidR="0056676E">
        <w:rPr>
          <w:rFonts w:ascii="Georgia" w:eastAsia="Georgia" w:hAnsi="Georgia" w:cs="Georgia"/>
          <w:sz w:val="24"/>
          <w:szCs w:val="24"/>
        </w:rPr>
        <w:t xml:space="preserve"> Energy Partners</w:t>
      </w:r>
      <w:r>
        <w:rPr>
          <w:rFonts w:ascii="Georgia" w:eastAsia="Georgia" w:hAnsi="Georgia" w:cs="Georgia"/>
          <w:sz w:val="24"/>
          <w:szCs w:val="24"/>
        </w:rPr>
        <w:t xml:space="preserve"> as affiliates of </w:t>
      </w:r>
      <w:proofErr w:type="spellStart"/>
      <w:r w:rsidR="0042210B">
        <w:rPr>
          <w:rFonts w:ascii="Georgia" w:eastAsia="Georgia" w:hAnsi="Georgia" w:cs="Georgia"/>
          <w:sz w:val="24"/>
          <w:szCs w:val="24"/>
        </w:rPr>
        <w:t>Evergy</w:t>
      </w:r>
      <w:proofErr w:type="spellEnd"/>
      <w:r>
        <w:rPr>
          <w:rFonts w:ascii="Georgia" w:eastAsia="Georgia" w:hAnsi="Georgia" w:cs="Georgia"/>
          <w:sz w:val="24"/>
          <w:szCs w:val="24"/>
        </w:rPr>
        <w:t xml:space="preserve">. The Commission must compel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to turn over any written agreements between Elliott Management and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related to their mutual investment in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If no such written collusion agreement exists, then the Commission must compel sworn statements from </w:t>
      </w:r>
      <w:proofErr w:type="spellStart"/>
      <w:r>
        <w:rPr>
          <w:rFonts w:ascii="Georgia" w:eastAsia="Georgia" w:hAnsi="Georgia" w:cs="Georgia"/>
          <w:sz w:val="24"/>
          <w:szCs w:val="24"/>
        </w:rPr>
        <w:t>Bluescape’s</w:t>
      </w:r>
      <w:proofErr w:type="spellEnd"/>
      <w:r>
        <w:rPr>
          <w:rFonts w:ascii="Georgia" w:eastAsia="Georgia" w:hAnsi="Georgia" w:cs="Georgia"/>
          <w:sz w:val="24"/>
          <w:szCs w:val="24"/>
        </w:rPr>
        <w:t xml:space="preserve"> John Wilder and Elliott Management’s Paul Elliott Singer and their staff detailing all arrangements between the two hedge funds with regards to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In addition, the Commission must prevail upon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to provide the February 2020 </w:t>
      </w:r>
      <w:r>
        <w:rPr>
          <w:rFonts w:ascii="Georgia" w:eastAsia="Georgia" w:hAnsi="Georgia" w:cs="Georgia"/>
          <w:i/>
          <w:sz w:val="24"/>
          <w:szCs w:val="24"/>
        </w:rPr>
        <w:t>Cooperation Agreement</w:t>
      </w:r>
      <w:r>
        <w:rPr>
          <w:rFonts w:ascii="Georgia" w:eastAsia="Georgia" w:hAnsi="Georgia" w:cs="Georgia"/>
          <w:sz w:val="24"/>
          <w:szCs w:val="24"/>
        </w:rPr>
        <w:t xml:space="preserve"> with Elliott Management as part of this proceeding.</w:t>
      </w:r>
      <w:r w:rsidR="0042210B">
        <w:rPr>
          <w:rFonts w:ascii="Georgia" w:eastAsia="Georgia" w:hAnsi="Georgia" w:cs="Georgia"/>
          <w:sz w:val="24"/>
          <w:szCs w:val="24"/>
        </w:rPr>
        <w:t xml:space="preserve"> </w:t>
      </w:r>
      <w:r>
        <w:rPr>
          <w:rFonts w:ascii="Georgia" w:eastAsia="Georgia" w:hAnsi="Georgia" w:cs="Georgia"/>
          <w:sz w:val="24"/>
          <w:szCs w:val="24"/>
        </w:rPr>
        <w:t xml:space="preserve">Finally, the Commission must require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to detail whether either Elliott Management or </w:t>
      </w:r>
      <w:proofErr w:type="spellStart"/>
      <w:r>
        <w:rPr>
          <w:rFonts w:ascii="Georgia" w:eastAsia="Georgia" w:hAnsi="Georgia" w:cs="Georgia"/>
          <w:sz w:val="24"/>
          <w:szCs w:val="24"/>
        </w:rPr>
        <w:t>Bluescape</w:t>
      </w:r>
      <w:proofErr w:type="spellEnd"/>
      <w:r>
        <w:rPr>
          <w:rFonts w:ascii="Georgia" w:eastAsia="Georgia" w:hAnsi="Georgia" w:cs="Georgia"/>
          <w:sz w:val="24"/>
          <w:szCs w:val="24"/>
        </w:rPr>
        <w:t xml:space="preserve"> Energy Partners has utilized any financial instruments, including swaps, to enhance their financial influence over </w:t>
      </w:r>
      <w:proofErr w:type="spellStart"/>
      <w:r>
        <w:rPr>
          <w:rFonts w:ascii="Georgia" w:eastAsia="Georgia" w:hAnsi="Georgia" w:cs="Georgia"/>
          <w:sz w:val="24"/>
          <w:szCs w:val="24"/>
        </w:rPr>
        <w:t>Evergy</w:t>
      </w:r>
      <w:proofErr w:type="spellEnd"/>
      <w:r>
        <w:rPr>
          <w:rFonts w:ascii="Georgia" w:eastAsia="Georgia" w:hAnsi="Georgia" w:cs="Georgia"/>
          <w:sz w:val="24"/>
          <w:szCs w:val="24"/>
        </w:rPr>
        <w:t xml:space="preserve">. Compelling documentation of their shared relationship will provide FERC with necessary information to determine whether these funds should be treated as affiliates. </w:t>
      </w:r>
    </w:p>
    <w:p w14:paraId="20E03234" w14:textId="77777777" w:rsidR="00881115" w:rsidRDefault="00881115">
      <w:pPr>
        <w:spacing w:after="0" w:line="360" w:lineRule="auto"/>
        <w:rPr>
          <w:rFonts w:ascii="Georgia" w:eastAsia="Georgia" w:hAnsi="Georgia" w:cs="Georgia"/>
          <w:sz w:val="24"/>
          <w:szCs w:val="24"/>
        </w:rPr>
      </w:pPr>
    </w:p>
    <w:p w14:paraId="53F2B40E" w14:textId="77777777" w:rsidR="00881115" w:rsidRDefault="00881115">
      <w:pPr>
        <w:spacing w:after="0" w:line="360" w:lineRule="auto"/>
        <w:rPr>
          <w:rFonts w:ascii="Georgia" w:eastAsia="Georgia" w:hAnsi="Georgia" w:cs="Georgia"/>
          <w:sz w:val="24"/>
          <w:szCs w:val="24"/>
        </w:rPr>
      </w:pPr>
    </w:p>
    <w:p w14:paraId="20F25BA6" w14:textId="77777777" w:rsidR="00881115" w:rsidRDefault="00B53569">
      <w:pPr>
        <w:spacing w:after="0" w:line="360" w:lineRule="auto"/>
        <w:rPr>
          <w:rFonts w:ascii="Georgia" w:eastAsia="Georgia" w:hAnsi="Georgia" w:cs="Georgia"/>
          <w:sz w:val="24"/>
          <w:szCs w:val="24"/>
        </w:rPr>
      </w:pPr>
      <w:r>
        <w:rPr>
          <w:rFonts w:ascii="Georgia" w:eastAsia="Georgia" w:hAnsi="Georgia" w:cs="Georgia"/>
          <w:sz w:val="24"/>
          <w:szCs w:val="24"/>
        </w:rPr>
        <w:t>Respectfully submitted,</w:t>
      </w:r>
    </w:p>
    <w:p w14:paraId="0CB2ABA0" w14:textId="77777777" w:rsidR="00881115" w:rsidRDefault="00881115">
      <w:pPr>
        <w:spacing w:after="0" w:line="360" w:lineRule="auto"/>
        <w:rPr>
          <w:rFonts w:ascii="Georgia" w:eastAsia="Georgia" w:hAnsi="Georgia" w:cs="Georgia"/>
          <w:sz w:val="24"/>
          <w:szCs w:val="24"/>
        </w:rPr>
      </w:pPr>
    </w:p>
    <w:p w14:paraId="052BB586" w14:textId="11A87515" w:rsidR="0069190D"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Tyson Slocum</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Hudson Muñoz</w:t>
      </w:r>
      <w:r w:rsidR="0069190D">
        <w:rPr>
          <w:rFonts w:ascii="Georgia" w:eastAsia="Georgia" w:hAnsi="Georgia" w:cs="Georgia"/>
          <w:sz w:val="24"/>
          <w:szCs w:val="24"/>
        </w:rPr>
        <w:tab/>
      </w:r>
    </w:p>
    <w:p w14:paraId="3D6ED511" w14:textId="06A04F65" w:rsidR="00881115"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Energy Program Director</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Senior Strategic Research Associate</w:t>
      </w:r>
    </w:p>
    <w:p w14:paraId="32866DFA" w14:textId="77777777" w:rsidR="0069190D"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Public Citizen, Inc.</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The Communications Workers of America</w:t>
      </w:r>
    </w:p>
    <w:p w14:paraId="34DBA16F" w14:textId="0F916CEC" w:rsidR="00881115"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215 Pennsylvania Ave SE</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501 3</w:t>
      </w:r>
      <w:r w:rsidR="0069190D" w:rsidRPr="0069190D">
        <w:rPr>
          <w:rFonts w:ascii="Georgia" w:eastAsia="Georgia" w:hAnsi="Georgia" w:cs="Georgia"/>
          <w:sz w:val="24"/>
          <w:szCs w:val="24"/>
          <w:vertAlign w:val="superscript"/>
        </w:rPr>
        <w:t>rd</w:t>
      </w:r>
      <w:r w:rsidR="0069190D">
        <w:rPr>
          <w:rFonts w:ascii="Georgia" w:eastAsia="Georgia" w:hAnsi="Georgia" w:cs="Georgia"/>
          <w:sz w:val="24"/>
          <w:szCs w:val="24"/>
        </w:rPr>
        <w:t xml:space="preserve"> St NW</w:t>
      </w:r>
    </w:p>
    <w:p w14:paraId="68CCF185" w14:textId="6E09E09A" w:rsidR="00881115"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Washington, DC  20003</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Washington, DC 20001</w:t>
      </w:r>
    </w:p>
    <w:p w14:paraId="195A5F20" w14:textId="0BFA7307" w:rsidR="00881115" w:rsidRDefault="00B53569" w:rsidP="0069190D">
      <w:pPr>
        <w:spacing w:after="0" w:line="240" w:lineRule="auto"/>
        <w:rPr>
          <w:rFonts w:ascii="Georgia" w:eastAsia="Georgia" w:hAnsi="Georgia" w:cs="Georgia"/>
          <w:sz w:val="24"/>
          <w:szCs w:val="24"/>
        </w:rPr>
      </w:pPr>
      <w:r>
        <w:rPr>
          <w:rFonts w:ascii="Georgia" w:eastAsia="Georgia" w:hAnsi="Georgia" w:cs="Georgia"/>
          <w:sz w:val="24"/>
          <w:szCs w:val="24"/>
        </w:rPr>
        <w:t>(202) 454-5191</w:t>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r>
      <w:r w:rsidR="0069190D">
        <w:rPr>
          <w:rFonts w:ascii="Georgia" w:eastAsia="Georgia" w:hAnsi="Georgia" w:cs="Georgia"/>
          <w:sz w:val="24"/>
          <w:szCs w:val="24"/>
        </w:rPr>
        <w:tab/>
        <w:t>(202) 748-2309</w:t>
      </w:r>
    </w:p>
    <w:p w14:paraId="30598A3A" w14:textId="3AE1A811" w:rsidR="00881115" w:rsidRPr="0069190D" w:rsidRDefault="007B6F5D" w:rsidP="0069190D">
      <w:pPr>
        <w:spacing w:after="0" w:line="240" w:lineRule="auto"/>
        <w:rPr>
          <w:rFonts w:ascii="Georgia" w:eastAsia="Georgia" w:hAnsi="Georgia" w:cs="Georgia"/>
          <w:sz w:val="24"/>
          <w:szCs w:val="24"/>
        </w:rPr>
      </w:pPr>
      <w:hyperlink r:id="rId9" w:history="1">
        <w:r w:rsidR="0069190D" w:rsidRPr="0069190D">
          <w:rPr>
            <w:rStyle w:val="Hyperlink"/>
            <w:rFonts w:ascii="Georgia" w:eastAsia="Georgia" w:hAnsi="Georgia" w:cs="Georgia"/>
            <w:color w:val="auto"/>
            <w:sz w:val="24"/>
            <w:szCs w:val="24"/>
            <w:u w:val="none"/>
          </w:rPr>
          <w:t>tslocum@citizen.org</w:t>
        </w:r>
      </w:hyperlink>
      <w:r w:rsidR="0069190D" w:rsidRPr="0069190D">
        <w:rPr>
          <w:rFonts w:ascii="Georgia" w:eastAsia="Georgia" w:hAnsi="Georgia" w:cs="Georgia"/>
          <w:sz w:val="24"/>
          <w:szCs w:val="24"/>
        </w:rPr>
        <w:tab/>
      </w:r>
      <w:r w:rsidR="0069190D" w:rsidRPr="0069190D">
        <w:rPr>
          <w:rFonts w:ascii="Georgia" w:eastAsia="Georgia" w:hAnsi="Georgia" w:cs="Georgia"/>
          <w:sz w:val="24"/>
          <w:szCs w:val="24"/>
        </w:rPr>
        <w:tab/>
      </w:r>
      <w:r w:rsidR="0069190D" w:rsidRPr="0069190D">
        <w:rPr>
          <w:rFonts w:ascii="Georgia" w:eastAsia="Georgia" w:hAnsi="Georgia" w:cs="Georgia"/>
          <w:sz w:val="24"/>
          <w:szCs w:val="24"/>
        </w:rPr>
        <w:tab/>
      </w:r>
      <w:hyperlink r:id="rId10">
        <w:r w:rsidR="0069190D" w:rsidRPr="0069190D">
          <w:rPr>
            <w:rFonts w:ascii="Georgia" w:eastAsia="Georgia" w:hAnsi="Georgia" w:cs="Georgia"/>
            <w:sz w:val="24"/>
            <w:szCs w:val="24"/>
          </w:rPr>
          <w:t>hmunoz@cwa-union.org</w:t>
        </w:r>
      </w:hyperlink>
    </w:p>
    <w:sectPr w:rsidR="00881115" w:rsidRPr="006919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28EB" w14:textId="77777777" w:rsidR="007B6F5D" w:rsidRDefault="007B6F5D">
      <w:pPr>
        <w:spacing w:after="0" w:line="240" w:lineRule="auto"/>
      </w:pPr>
      <w:r>
        <w:separator/>
      </w:r>
    </w:p>
  </w:endnote>
  <w:endnote w:type="continuationSeparator" w:id="0">
    <w:p w14:paraId="1F9FC4DF" w14:textId="77777777" w:rsidR="007B6F5D" w:rsidRDefault="007B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A9F4"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AD77" w14:textId="77777777" w:rsidR="00881115" w:rsidRDefault="00B53569">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D72602">
      <w:rPr>
        <w:noProof/>
        <w:color w:val="000000"/>
      </w:rPr>
      <w:t>2</w:t>
    </w:r>
    <w:r>
      <w:rPr>
        <w:color w:val="000000"/>
      </w:rPr>
      <w:fldChar w:fldCharType="end"/>
    </w:r>
    <w:r>
      <w:rPr>
        <w:b/>
        <w:color w:val="000000"/>
      </w:rPr>
      <w:t xml:space="preserve"> | </w:t>
    </w:r>
    <w:r>
      <w:rPr>
        <w:color w:val="7F7F7F"/>
      </w:rPr>
      <w:t>Page</w:t>
    </w:r>
  </w:p>
  <w:p w14:paraId="6C167569"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268"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E984" w14:textId="77777777" w:rsidR="007B6F5D" w:rsidRDefault="007B6F5D">
      <w:pPr>
        <w:spacing w:after="0" w:line="240" w:lineRule="auto"/>
      </w:pPr>
      <w:r>
        <w:separator/>
      </w:r>
    </w:p>
  </w:footnote>
  <w:footnote w:type="continuationSeparator" w:id="0">
    <w:p w14:paraId="2F1C5764" w14:textId="77777777" w:rsidR="007B6F5D" w:rsidRDefault="007B6F5D">
      <w:pPr>
        <w:spacing w:after="0" w:line="240" w:lineRule="auto"/>
      </w:pPr>
      <w:r>
        <w:continuationSeparator/>
      </w:r>
    </w:p>
  </w:footnote>
  <w:footnote w:id="1">
    <w:p w14:paraId="5CEDF5EF"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Tom </w:t>
      </w:r>
      <w:proofErr w:type="spellStart"/>
      <w:r>
        <w:rPr>
          <w:rFonts w:ascii="Times New Roman" w:eastAsia="Times New Roman" w:hAnsi="Times New Roman" w:cs="Times New Roman"/>
          <w:color w:val="000000"/>
        </w:rPr>
        <w:t>Terrarosa</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Evergy</w:t>
      </w:r>
      <w:proofErr w:type="spellEnd"/>
      <w:r>
        <w:rPr>
          <w:rFonts w:ascii="Times New Roman" w:eastAsia="Times New Roman" w:hAnsi="Times New Roman" w:cs="Times New Roman"/>
          <w:color w:val="000000"/>
        </w:rPr>
        <w:t xml:space="preserve"> adds two directors and launches review,” IJ Global, March 2020.</w:t>
      </w:r>
    </w:p>
  </w:footnote>
  <w:footnote w:id="2">
    <w:p w14:paraId="3000C43E"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Ronald </w:t>
      </w:r>
      <w:proofErr w:type="spellStart"/>
      <w:r>
        <w:rPr>
          <w:rFonts w:ascii="Times New Roman" w:eastAsia="Times New Roman" w:hAnsi="Times New Roman" w:cs="Times New Roman"/>
          <w:color w:val="000000"/>
        </w:rPr>
        <w:t>Orol</w:t>
      </w:r>
      <w:proofErr w:type="spellEnd"/>
      <w:r>
        <w:rPr>
          <w:rFonts w:ascii="Times New Roman" w:eastAsia="Times New Roman" w:hAnsi="Times New Roman" w:cs="Times New Roman"/>
          <w:color w:val="000000"/>
        </w:rPr>
        <w:t xml:space="preserve">, ‘Elliott Strikes Another Compromise With </w:t>
      </w:r>
      <w:proofErr w:type="spellStart"/>
      <w:r>
        <w:rPr>
          <w:rFonts w:ascii="Times New Roman" w:eastAsia="Times New Roman" w:hAnsi="Times New Roman" w:cs="Times New Roman"/>
          <w:color w:val="000000"/>
        </w:rPr>
        <w:t>Evergy</w:t>
      </w:r>
      <w:proofErr w:type="spellEnd"/>
      <w:r>
        <w:rPr>
          <w:rFonts w:ascii="Times New Roman" w:eastAsia="Times New Roman" w:hAnsi="Times New Roman" w:cs="Times New Roman"/>
          <w:color w:val="000000"/>
        </w:rPr>
        <w:t>,” The Deal Pipeline, February 26, 2021</w:t>
      </w:r>
    </w:p>
  </w:footnote>
  <w:footnote w:id="3">
    <w:p w14:paraId="28754003"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Evergy</w:t>
      </w:r>
      <w:proofErr w:type="spellEnd"/>
      <w:r>
        <w:rPr>
          <w:rFonts w:ascii="Times New Roman" w:eastAsia="Times New Roman" w:hAnsi="Times New Roman" w:cs="Times New Roman"/>
          <w:color w:val="000000"/>
        </w:rPr>
        <w:t xml:space="preserve"> Response, at page 4.</w:t>
      </w:r>
    </w:p>
  </w:footnote>
  <w:footnote w:id="4">
    <w:p w14:paraId="3525837D"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https://investors.evergy.com/static-files/66bad017-75fc-4be6-84cd-df7c6bb7abc2</w:t>
      </w:r>
    </w:p>
  </w:footnote>
  <w:footnote w:id="5">
    <w:p w14:paraId="7B32286D" w14:textId="77777777" w:rsidR="00881115" w:rsidRDefault="00B53569">
      <w:pPr>
        <w:spacing w:after="0" w:line="240" w:lineRule="auto"/>
        <w:rPr>
          <w:rFonts w:ascii="Times New Roman" w:eastAsia="Times New Roman" w:hAnsi="Times New Roman" w:cs="Times New Roman"/>
          <w:i/>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i/>
        </w:rPr>
        <w:t>Ibid.</w:t>
      </w:r>
    </w:p>
  </w:footnote>
  <w:footnote w:id="6">
    <w:p w14:paraId="4E45CB84"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Press release, “NRG Announces Cooperation Agreement with Elliott Management and </w:t>
      </w:r>
      <w:proofErr w:type="spellStart"/>
      <w:r>
        <w:rPr>
          <w:rFonts w:ascii="Times New Roman" w:eastAsia="Times New Roman" w:hAnsi="Times New Roman" w:cs="Times New Roman"/>
          <w:color w:val="000000"/>
        </w:rPr>
        <w:t>Bluescape</w:t>
      </w:r>
      <w:proofErr w:type="spellEnd"/>
      <w:r>
        <w:rPr>
          <w:rFonts w:ascii="Times New Roman" w:eastAsia="Times New Roman" w:hAnsi="Times New Roman" w:cs="Times New Roman"/>
          <w:color w:val="000000"/>
        </w:rPr>
        <w:t xml:space="preserve"> Energy Partners; NRG Names Lawrence Coben as Chairman of the </w:t>
      </w:r>
      <w:proofErr w:type="gramStart"/>
      <w:r>
        <w:rPr>
          <w:rFonts w:ascii="Times New Roman" w:eastAsia="Times New Roman" w:hAnsi="Times New Roman" w:cs="Times New Roman"/>
          <w:color w:val="000000"/>
        </w:rPr>
        <w:t>Board;;</w:t>
      </w:r>
      <w:proofErr w:type="gramEnd"/>
      <w:r>
        <w:rPr>
          <w:rFonts w:ascii="Times New Roman" w:eastAsia="Times New Roman" w:hAnsi="Times New Roman" w:cs="Times New Roman"/>
          <w:color w:val="000000"/>
        </w:rPr>
        <w:t xml:space="preserve"> NRG Forms Business Review Committee; and C. John Wilder and Barry T. Smitherman to Join NRG Board,” Business Wire, February 13, 2017</w:t>
      </w:r>
    </w:p>
  </w:footnote>
  <w:footnote w:id="7">
    <w:p w14:paraId="669D72C6"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Press release, “NRG Announces Cooperation Agreement with Elliott Management and </w:t>
      </w:r>
      <w:proofErr w:type="spellStart"/>
      <w:r>
        <w:rPr>
          <w:rFonts w:ascii="Times New Roman" w:eastAsia="Times New Roman" w:hAnsi="Times New Roman" w:cs="Times New Roman"/>
          <w:color w:val="000000"/>
        </w:rPr>
        <w:t>Bluescape</w:t>
      </w:r>
      <w:proofErr w:type="spellEnd"/>
      <w:r>
        <w:rPr>
          <w:rFonts w:ascii="Times New Roman" w:eastAsia="Times New Roman" w:hAnsi="Times New Roman" w:cs="Times New Roman"/>
          <w:color w:val="000000"/>
        </w:rPr>
        <w:t xml:space="preserve"> Energy Partners; NRG Names Lawrence Coben as Chairman of the </w:t>
      </w:r>
      <w:proofErr w:type="gramStart"/>
      <w:r>
        <w:rPr>
          <w:rFonts w:ascii="Times New Roman" w:eastAsia="Times New Roman" w:hAnsi="Times New Roman" w:cs="Times New Roman"/>
          <w:color w:val="000000"/>
        </w:rPr>
        <w:t>Board;;</w:t>
      </w:r>
      <w:proofErr w:type="gramEnd"/>
      <w:r>
        <w:rPr>
          <w:rFonts w:ascii="Times New Roman" w:eastAsia="Times New Roman" w:hAnsi="Times New Roman" w:cs="Times New Roman"/>
          <w:color w:val="000000"/>
        </w:rPr>
        <w:t xml:space="preserve"> NRG Forms Business Review Committee; and C. John Wilder and Barry T. Smitherman to Join NRG Board,” Business Wire, February 13, 2017</w:t>
      </w:r>
    </w:p>
  </w:footnote>
  <w:footnote w:id="8">
    <w:p w14:paraId="4148FE61"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Bluescape</w:t>
      </w:r>
      <w:proofErr w:type="spellEnd"/>
      <w:r>
        <w:rPr>
          <w:rFonts w:ascii="Times New Roman" w:eastAsia="Times New Roman" w:hAnsi="Times New Roman" w:cs="Times New Roman"/>
          <w:color w:val="000000"/>
        </w:rPr>
        <w:t xml:space="preserve"> Energy Partners LLC 13F-HR (</w:t>
      </w:r>
      <w:hyperlink r:id="rId1">
        <w:r>
          <w:rPr>
            <w:rFonts w:ascii="Times New Roman" w:eastAsia="Times New Roman" w:hAnsi="Times New Roman" w:cs="Times New Roman"/>
            <w:color w:val="000000"/>
            <w:u w:val="single"/>
          </w:rPr>
          <w:t>October 22, 2021</w:t>
        </w:r>
      </w:hyperlink>
      <w:r>
        <w:rPr>
          <w:rFonts w:ascii="Times New Roman" w:eastAsia="Times New Roman" w:hAnsi="Times New Roman" w:cs="Times New Roman"/>
          <w:color w:val="000000"/>
        </w:rPr>
        <w:t>)</w:t>
      </w:r>
    </w:p>
  </w:footnote>
  <w:footnote w:id="9">
    <w:p w14:paraId="2853B105"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Iris </w:t>
      </w:r>
      <w:proofErr w:type="spellStart"/>
      <w:r>
        <w:rPr>
          <w:rFonts w:ascii="Times New Roman" w:eastAsia="Times New Roman" w:hAnsi="Times New Roman" w:cs="Times New Roman"/>
          <w:color w:val="000000"/>
        </w:rPr>
        <w:t>Dorbian</w:t>
      </w:r>
      <w:proofErr w:type="spellEnd"/>
      <w:r>
        <w:rPr>
          <w:rFonts w:ascii="Times New Roman" w:eastAsia="Times New Roman" w:hAnsi="Times New Roman" w:cs="Times New Roman"/>
          <w:color w:val="000000"/>
        </w:rPr>
        <w:t xml:space="preserve">, “FirstEnergy Corp Racks up $2.5 </w:t>
      </w:r>
      <w:proofErr w:type="spellStart"/>
      <w:r>
        <w:rPr>
          <w:rFonts w:ascii="Times New Roman" w:eastAsia="Times New Roman" w:hAnsi="Times New Roman" w:cs="Times New Roman"/>
          <w:color w:val="000000"/>
        </w:rPr>
        <w:t>bln</w:t>
      </w:r>
      <w:proofErr w:type="spellEnd"/>
      <w:r>
        <w:rPr>
          <w:rFonts w:ascii="Times New Roman" w:eastAsia="Times New Roman" w:hAnsi="Times New Roman" w:cs="Times New Roman"/>
          <w:color w:val="000000"/>
        </w:rPr>
        <w:t>,” peHUB, January 22, 2018.</w:t>
      </w:r>
    </w:p>
  </w:footnote>
  <w:footnote w:id="10">
    <w:p w14:paraId="2DBAE83B"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“FirstEnergy Announces Transformational $2.5 Billion Equity Investment,” FirstEnergy Corp, </w:t>
      </w:r>
      <w:hyperlink r:id="rId2">
        <w:r>
          <w:rPr>
            <w:rFonts w:ascii="Times New Roman" w:eastAsia="Times New Roman" w:hAnsi="Times New Roman" w:cs="Times New Roman"/>
            <w:color w:val="000000"/>
            <w:u w:val="single"/>
          </w:rPr>
          <w:t>January 22, 2018</w:t>
        </w:r>
      </w:hyperlink>
    </w:p>
  </w:footnote>
  <w:footnote w:id="11">
    <w:p w14:paraId="766BE9FC"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“Elliott Management and </w:t>
      </w:r>
      <w:proofErr w:type="spellStart"/>
      <w:r>
        <w:rPr>
          <w:rFonts w:ascii="Times New Roman" w:eastAsia="Times New Roman" w:hAnsi="Times New Roman" w:cs="Times New Roman"/>
          <w:color w:val="000000"/>
        </w:rPr>
        <w:t>Bluescape</w:t>
      </w:r>
      <w:proofErr w:type="spellEnd"/>
      <w:r>
        <w:rPr>
          <w:rFonts w:ascii="Times New Roman" w:eastAsia="Times New Roman" w:hAnsi="Times New Roman" w:cs="Times New Roman"/>
          <w:color w:val="000000"/>
        </w:rPr>
        <w:t xml:space="preserve"> Resources Send Letter and Presentation to the Board of Directors of Sempra Energy,” Business Wire, June 11, 2018.</w:t>
      </w:r>
    </w:p>
  </w:footnote>
  <w:footnote w:id="12">
    <w:p w14:paraId="24FC5E7C"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“Activist Spotlight: Why Elliott Came Up Short in Sempra Battle,” The Deal Pipeline, September 19, 2018</w:t>
      </w:r>
    </w:p>
  </w:footnote>
  <w:footnote w:id="13">
    <w:p w14:paraId="00C1914B"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“CenterPoint Energy Announces Landmark Actions: Significant Equity Investment, New Board Directors and New Board Committee,” </w:t>
      </w:r>
      <w:proofErr w:type="spellStart"/>
      <w:r>
        <w:rPr>
          <w:rFonts w:ascii="Times New Roman" w:eastAsia="Times New Roman" w:hAnsi="Times New Roman" w:cs="Times New Roman"/>
          <w:color w:val="000000"/>
        </w:rPr>
        <w:t>Contify</w:t>
      </w:r>
      <w:proofErr w:type="spellEnd"/>
      <w:r>
        <w:rPr>
          <w:rFonts w:ascii="Times New Roman" w:eastAsia="Times New Roman" w:hAnsi="Times New Roman" w:cs="Times New Roman"/>
          <w:color w:val="000000"/>
        </w:rPr>
        <w:t xml:space="preserve"> Energy News, May 7, 2020.</w:t>
      </w:r>
    </w:p>
  </w:footnote>
  <w:footnote w:id="14">
    <w:p w14:paraId="1CEFA059" w14:textId="77777777" w:rsidR="00881115" w:rsidRDefault="00B53569">
      <w:pPr>
        <w:spacing w:after="0" w:line="240" w:lineRule="auto"/>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​​Elliott Management, “Elliott Management Sends Letter to Board of Directors of </w:t>
      </w:r>
      <w:proofErr w:type="spellStart"/>
      <w:r>
        <w:rPr>
          <w:rFonts w:ascii="Times New Roman" w:eastAsia="Times New Roman" w:hAnsi="Times New Roman" w:cs="Times New Roman"/>
        </w:rPr>
        <w:t>Evergy</w:t>
      </w:r>
      <w:proofErr w:type="spellEnd"/>
      <w:r>
        <w:rPr>
          <w:rFonts w:ascii="Times New Roman" w:eastAsia="Times New Roman" w:hAnsi="Times New Roman" w:cs="Times New Roman"/>
        </w:rPr>
        <w:t>, Inc.; Highlights Readily Achievable $5 Billion Value Creation Opportunity, PR Newswire, January 21, 2020</w:t>
      </w:r>
    </w:p>
  </w:footnote>
  <w:footnote w:id="15">
    <w:p w14:paraId="2FE72F5B"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Elliott Management 13F, effective </w:t>
      </w:r>
      <w:hyperlink r:id="rId3">
        <w:r>
          <w:rPr>
            <w:rFonts w:ascii="Times New Roman" w:eastAsia="Times New Roman" w:hAnsi="Times New Roman" w:cs="Times New Roman"/>
            <w:color w:val="0563C1"/>
            <w:u w:val="single"/>
          </w:rPr>
          <w:t>August 16, 2021</w:t>
        </w:r>
      </w:hyperlink>
      <w:r>
        <w:rPr>
          <w:rFonts w:ascii="Times New Roman" w:eastAsia="Times New Roman" w:hAnsi="Times New Roman" w:cs="Times New Roman"/>
          <w:color w:val="000000"/>
        </w:rPr>
        <w:t>.</w:t>
      </w:r>
    </w:p>
  </w:footnote>
  <w:footnote w:id="16">
    <w:p w14:paraId="53107DCD"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Ronald </w:t>
      </w:r>
      <w:proofErr w:type="spellStart"/>
      <w:r>
        <w:rPr>
          <w:rFonts w:ascii="Times New Roman" w:eastAsia="Times New Roman" w:hAnsi="Times New Roman" w:cs="Times New Roman"/>
          <w:color w:val="000000"/>
        </w:rPr>
        <w:t>Orol</w:t>
      </w:r>
      <w:proofErr w:type="spellEnd"/>
      <w:r>
        <w:rPr>
          <w:rFonts w:ascii="Times New Roman" w:eastAsia="Times New Roman" w:hAnsi="Times New Roman" w:cs="Times New Roman"/>
          <w:color w:val="000000"/>
        </w:rPr>
        <w:t xml:space="preserve">, ‘Elliott Strikes Another Compromise With </w:t>
      </w:r>
      <w:proofErr w:type="spellStart"/>
      <w:r>
        <w:rPr>
          <w:rFonts w:ascii="Times New Roman" w:eastAsia="Times New Roman" w:hAnsi="Times New Roman" w:cs="Times New Roman"/>
          <w:color w:val="000000"/>
        </w:rPr>
        <w:t>Evergy</w:t>
      </w:r>
      <w:proofErr w:type="spellEnd"/>
      <w:r>
        <w:rPr>
          <w:rFonts w:ascii="Times New Roman" w:eastAsia="Times New Roman" w:hAnsi="Times New Roman" w:cs="Times New Roman"/>
          <w:color w:val="000000"/>
        </w:rPr>
        <w:t>,” The Deal Pipeline, February 26, 2021</w:t>
      </w:r>
    </w:p>
  </w:footnote>
  <w:footnote w:id="17">
    <w:p w14:paraId="3AB70B76" w14:textId="77777777" w:rsidR="00881115" w:rsidRDefault="00B53569">
      <w:pPr>
        <w:spacing w:after="0" w:line="240" w:lineRule="auto"/>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Sierra Club Comments and Exhibits (Docket 21-EKME-088-GIE) Kansas Corporation Commission, beginning page</w:t>
      </w:r>
      <w:hyperlink r:id="rId4">
        <w:r>
          <w:rPr>
            <w:rFonts w:ascii="Times New Roman" w:eastAsia="Times New Roman" w:hAnsi="Times New Roman" w:cs="Times New Roman"/>
            <w:color w:val="1155CC"/>
            <w:u w:val="single"/>
          </w:rPr>
          <w:t xml:space="preserve"> Ex. </w:t>
        </w:r>
        <w:proofErr w:type="gramStart"/>
        <w:r>
          <w:rPr>
            <w:rFonts w:ascii="Times New Roman" w:eastAsia="Times New Roman" w:hAnsi="Times New Roman" w:cs="Times New Roman"/>
            <w:color w:val="1155CC"/>
            <w:u w:val="single"/>
          </w:rPr>
          <w:t>A,</w:t>
        </w:r>
        <w:proofErr w:type="gramEnd"/>
        <w:r>
          <w:rPr>
            <w:rFonts w:ascii="Times New Roman" w:eastAsia="Times New Roman" w:hAnsi="Times New Roman" w:cs="Times New Roman"/>
            <w:color w:val="1155CC"/>
            <w:u w:val="single"/>
          </w:rPr>
          <w:t xml:space="preserve"> Page 12 of 138</w:t>
        </w:r>
      </w:hyperlink>
    </w:p>
  </w:footnote>
  <w:footnote w:id="18">
    <w:p w14:paraId="1B3F71E8"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Evergy’s</w:t>
      </w:r>
      <w:proofErr w:type="spellEnd"/>
      <w:r>
        <w:rPr>
          <w:rFonts w:ascii="Times New Roman" w:eastAsia="Times New Roman" w:hAnsi="Times New Roman" w:cs="Times New Roman"/>
          <w:color w:val="000000"/>
        </w:rPr>
        <w:t xml:space="preserve"> Notice of Filing Report to the Commission regarding Sustainability Transformation Plan, Docket No. 20- EKME-514-GIE, Filed with Kansas Corporation Commission on August 13, 2020.</w:t>
      </w:r>
    </w:p>
  </w:footnote>
  <w:footnote w:id="19">
    <w:p w14:paraId="6C01820F"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Ted Robertson, CPA, “Small Utility Rate Case Tutorial,” Missouri Office of the Public Counsel, accessed December 21, 2020.</w:t>
      </w:r>
    </w:p>
  </w:footnote>
  <w:footnote w:id="20">
    <w:p w14:paraId="10E75CCF"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At page 3.</w:t>
      </w:r>
    </w:p>
  </w:footnote>
  <w:footnote w:id="21">
    <w:p w14:paraId="16E01F48"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June 4, 2021 </w:t>
      </w:r>
      <w:r>
        <w:rPr>
          <w:rFonts w:ascii="Times New Roman" w:eastAsia="Times New Roman" w:hAnsi="Times New Roman" w:cs="Times New Roman"/>
          <w:i/>
          <w:color w:val="000000"/>
        </w:rPr>
        <w:t>Comment of Public Citizen</w:t>
      </w:r>
      <w:r>
        <w:rPr>
          <w:rFonts w:ascii="Times New Roman" w:eastAsia="Times New Roman" w:hAnsi="Times New Roman" w:cs="Times New Roman"/>
          <w:color w:val="000000"/>
        </w:rPr>
        <w:t>, FERC Docket Nos. ER13-738-008, et al, www.citizen.org/article/dte-energy-elliott-management/</w:t>
      </w:r>
    </w:p>
  </w:footnote>
  <w:footnote w:id="22">
    <w:p w14:paraId="2F1CDBD5"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www.reuters.com/business/exclusive-us-utility-duke-advanced-settlement-talks-with-elliott-sources-2021-10-22/</w:t>
      </w:r>
    </w:p>
  </w:footnote>
  <w:footnote w:id="23">
    <w:p w14:paraId="012A4995"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June 16 </w:t>
      </w:r>
      <w:r>
        <w:rPr>
          <w:rFonts w:ascii="Times New Roman" w:eastAsia="Times New Roman" w:hAnsi="Times New Roman" w:cs="Times New Roman"/>
          <w:i/>
          <w:color w:val="000000"/>
        </w:rPr>
        <w:t>Comment of Public Citizen</w:t>
      </w:r>
      <w:r>
        <w:rPr>
          <w:rFonts w:ascii="Times New Roman" w:eastAsia="Times New Roman" w:hAnsi="Times New Roman" w:cs="Times New Roman"/>
          <w:color w:val="000000"/>
        </w:rPr>
        <w:t>, at page 3.</w:t>
      </w:r>
    </w:p>
  </w:footnote>
  <w:footnote w:id="24">
    <w:p w14:paraId="4E558C61"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Bluescape</w:t>
      </w:r>
      <w:proofErr w:type="spellEnd"/>
      <w:r>
        <w:rPr>
          <w:rFonts w:ascii="Times New Roman" w:eastAsia="Times New Roman" w:hAnsi="Times New Roman" w:cs="Times New Roman"/>
          <w:color w:val="000000"/>
        </w:rPr>
        <w:t xml:space="preserve"> Energy Partners LLC 13F-HR (</w:t>
      </w:r>
      <w:hyperlink r:id="rId5">
        <w:r>
          <w:rPr>
            <w:rFonts w:ascii="Times New Roman" w:eastAsia="Times New Roman" w:hAnsi="Times New Roman" w:cs="Times New Roman"/>
            <w:color w:val="0563C1"/>
            <w:u w:val="single"/>
          </w:rPr>
          <w:t>October 22, 2021</w:t>
        </w:r>
      </w:hyperlink>
      <w:r>
        <w:rPr>
          <w:rFonts w:ascii="Times New Roman" w:eastAsia="Times New Roman" w:hAnsi="Times New Roman" w:cs="Times New Roman"/>
          <w:color w:val="000000"/>
        </w:rPr>
        <w:t>)</w:t>
      </w:r>
    </w:p>
  </w:footnote>
  <w:footnote w:id="25">
    <w:p w14:paraId="42F7485F"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Raymond James &amp; Associates Sells 28,403 Shares of Entergy, </w:t>
      </w:r>
      <w:r>
        <w:rPr>
          <w:rFonts w:ascii="Times New Roman" w:eastAsia="Times New Roman" w:hAnsi="Times New Roman" w:cs="Times New Roman"/>
          <w:i/>
          <w:color w:val="000000"/>
        </w:rPr>
        <w:t>American Banking and Market News</w:t>
      </w:r>
      <w:r>
        <w:rPr>
          <w:rFonts w:ascii="Times New Roman" w:eastAsia="Times New Roman" w:hAnsi="Times New Roman" w:cs="Times New Roman"/>
          <w:color w:val="000000"/>
        </w:rPr>
        <w:t>, March 11, 2020.</w:t>
      </w:r>
    </w:p>
  </w:footnote>
  <w:footnote w:id="26">
    <w:p w14:paraId="23A02F5E"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Elliott Management 13F, effective </w:t>
      </w:r>
      <w:hyperlink r:id="rId6">
        <w:r>
          <w:rPr>
            <w:rFonts w:ascii="Times New Roman" w:eastAsia="Times New Roman" w:hAnsi="Times New Roman" w:cs="Times New Roman"/>
            <w:color w:val="0563C1"/>
            <w:u w:val="single"/>
          </w:rPr>
          <w:t>August 16, 2021</w:t>
        </w:r>
      </w:hyperlink>
      <w:r>
        <w:rPr>
          <w:rFonts w:ascii="Times New Roman" w:eastAsia="Times New Roman" w:hAnsi="Times New Roman" w:cs="Times New Roman"/>
          <w:color w:val="000000"/>
        </w:rPr>
        <w:t xml:space="preserve">; </w:t>
      </w:r>
      <w:hyperlink r:id="rId7">
        <w:r>
          <w:rPr>
            <w:rFonts w:ascii="Times New Roman" w:eastAsia="Times New Roman" w:hAnsi="Times New Roman" w:cs="Times New Roman"/>
            <w:color w:val="0563C1"/>
            <w:u w:val="single"/>
          </w:rPr>
          <w:t>Peabody Energy (BTU), Yahoo! Finance, accessed November 5, 2021</w:t>
        </w:r>
      </w:hyperlink>
      <w:r>
        <w:rPr>
          <w:rFonts w:ascii="Times New Roman" w:eastAsia="Times New Roman" w:hAnsi="Times New Roman" w:cs="Times New Roman"/>
          <w:color w:val="000000"/>
        </w:rPr>
        <w:t>.</w:t>
      </w:r>
    </w:p>
  </w:footnote>
  <w:footnote w:id="27">
    <w:p w14:paraId="5345EE3B" w14:textId="77777777" w:rsidR="00881115" w:rsidRDefault="00B53569">
      <w:pPr>
        <w:spacing w:after="0" w:line="240" w:lineRule="auto"/>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Form EIA-923 detailed data with previous form data (EIA-906/920) for </w:t>
      </w:r>
      <w:hyperlink r:id="rId8">
        <w:r>
          <w:rPr>
            <w:rFonts w:ascii="Times New Roman" w:eastAsia="Times New Roman" w:hAnsi="Times New Roman" w:cs="Times New Roman"/>
            <w:color w:val="1155CC"/>
            <w:u w:val="single"/>
          </w:rPr>
          <w:t>2019</w:t>
        </w:r>
      </w:hyperlink>
      <w:r>
        <w:rPr>
          <w:rFonts w:ascii="Times New Roman" w:eastAsia="Times New Roman" w:hAnsi="Times New Roman" w:cs="Times New Roman"/>
        </w:rPr>
        <w:t xml:space="preserve">. </w:t>
      </w:r>
    </w:p>
  </w:footnote>
  <w:footnote w:id="28">
    <w:p w14:paraId="3CD13968"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Cara Lombardo, “Carl Icahn Holds Significant Stake in Southwest Gas, Opposes Planned Deal”, </w:t>
      </w:r>
      <w:r>
        <w:rPr>
          <w:rFonts w:ascii="Times New Roman" w:eastAsia="Times New Roman" w:hAnsi="Times New Roman" w:cs="Times New Roman"/>
          <w:i/>
          <w:color w:val="000000"/>
        </w:rPr>
        <w:t>The Wall Street Journal</w:t>
      </w:r>
      <w:r>
        <w:rPr>
          <w:rFonts w:ascii="Times New Roman" w:eastAsia="Times New Roman" w:hAnsi="Times New Roman" w:cs="Times New Roman"/>
          <w:color w:val="000000"/>
        </w:rPr>
        <w:t>, October 5, 2021, www.wsj.com/articles/carl-icahn-holds-significant-stake-in-southwest-gas-letter-says-11633442375</w:t>
      </w:r>
    </w:p>
  </w:footnote>
  <w:footnote w:id="29">
    <w:p w14:paraId="41941ACE" w14:textId="77777777" w:rsidR="00881115" w:rsidRDefault="00B53569">
      <w:pPr>
        <w:spacing w:after="0" w:line="240" w:lineRule="auto"/>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“CWA Alerts Elliott Management Investors About Hedge Fund’s Underperformance, Divestment by University of California Endowment and Pension Fund, and AT&amp;T Job Cuts,” The Communications Workers of America, </w:t>
      </w:r>
      <w:hyperlink r:id="rId9">
        <w:r>
          <w:rPr>
            <w:rFonts w:ascii="Times New Roman" w:eastAsia="Times New Roman" w:hAnsi="Times New Roman" w:cs="Times New Roman"/>
            <w:color w:val="1155CC"/>
            <w:u w:val="single"/>
          </w:rPr>
          <w:t>March 26, 2020</w:t>
        </w:r>
      </w:hyperlink>
      <w:r>
        <w:rPr>
          <w:rFonts w:ascii="Times New Roman" w:eastAsia="Times New Roman" w:hAnsi="Times New Roman" w:cs="Times New Roman"/>
        </w:rPr>
        <w:t>.</w:t>
      </w:r>
    </w:p>
  </w:footnote>
  <w:footnote w:id="30">
    <w:p w14:paraId="69D52A5F" w14:textId="77777777" w:rsidR="00881115" w:rsidRDefault="00B53569">
      <w:pPr>
        <w:keepLines/>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Erik </w:t>
      </w:r>
      <w:proofErr w:type="spellStart"/>
      <w:r>
        <w:rPr>
          <w:rFonts w:ascii="Times New Roman" w:eastAsia="Times New Roman" w:hAnsi="Times New Roman" w:cs="Times New Roman"/>
          <w:color w:val="000000"/>
        </w:rPr>
        <w:t>Schatzker</w:t>
      </w:r>
      <w:proofErr w:type="spellEnd"/>
      <w:r>
        <w:rPr>
          <w:rFonts w:ascii="Times New Roman" w:eastAsia="Times New Roman" w:hAnsi="Times New Roman" w:cs="Times New Roman"/>
          <w:color w:val="000000"/>
        </w:rPr>
        <w:t xml:space="preserve">, Sridhar </w:t>
      </w:r>
      <w:proofErr w:type="spellStart"/>
      <w:r>
        <w:rPr>
          <w:rFonts w:ascii="Times New Roman" w:eastAsia="Times New Roman" w:hAnsi="Times New Roman" w:cs="Times New Roman"/>
          <w:color w:val="000000"/>
        </w:rPr>
        <w:t>Nataajan</w:t>
      </w:r>
      <w:proofErr w:type="spellEnd"/>
      <w:r>
        <w:rPr>
          <w:rFonts w:ascii="Times New Roman" w:eastAsia="Times New Roman" w:hAnsi="Times New Roman" w:cs="Times New Roman"/>
          <w:color w:val="000000"/>
        </w:rPr>
        <w:t xml:space="preserve"> and Katherine Burton, “Bill Hwang Had $20 Billion, Then Lost It All in Two Days”, </w:t>
      </w:r>
      <w:r>
        <w:rPr>
          <w:rFonts w:ascii="Times New Roman" w:eastAsia="Times New Roman" w:hAnsi="Times New Roman" w:cs="Times New Roman"/>
          <w:i/>
          <w:color w:val="000000"/>
        </w:rPr>
        <w:t>Bloomberg</w:t>
      </w:r>
      <w:r>
        <w:rPr>
          <w:rFonts w:ascii="Times New Roman" w:eastAsia="Times New Roman" w:hAnsi="Times New Roman" w:cs="Times New Roman"/>
          <w:color w:val="000000"/>
        </w:rPr>
        <w:t>, April 8, 2021, www.bloomberg.com/news/features/2021-04-08/how-bill-hwang-of-archegos-capital-lost-20-billion-in-two-days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E738"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0F74" w14:textId="77777777" w:rsidR="00881115" w:rsidRDefault="00B53569">
    <w:pPr>
      <w:pBdr>
        <w:top w:val="nil"/>
        <w:left w:val="nil"/>
        <w:bottom w:val="nil"/>
        <w:right w:val="nil"/>
        <w:between w:val="nil"/>
      </w:pBdr>
      <w:tabs>
        <w:tab w:val="center" w:pos="4680"/>
        <w:tab w:val="right" w:pos="9360"/>
      </w:tabs>
      <w:spacing w:after="0" w:line="240" w:lineRule="auto"/>
      <w:jc w:val="center"/>
      <w:rPr>
        <w:rFonts w:ascii="Georgia" w:eastAsia="Georgia" w:hAnsi="Georgia" w:cs="Georgia"/>
        <w:i/>
        <w:color w:val="000000"/>
      </w:rPr>
    </w:pPr>
    <w:r>
      <w:rPr>
        <w:rFonts w:ascii="Georgia" w:eastAsia="Georgia" w:hAnsi="Georgia" w:cs="Georgia"/>
        <w:i/>
        <w:color w:val="000000"/>
      </w:rPr>
      <w:t>Public Citizen &amp; The Communications Workers of America Joint Protest • November 12, 2021</w:t>
    </w:r>
  </w:p>
  <w:p w14:paraId="56FCBD5D"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AE4E" w14:textId="77777777" w:rsidR="00881115" w:rsidRDefault="008811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4BF9"/>
    <w:multiLevelType w:val="multilevel"/>
    <w:tmpl w:val="C618FE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B252D2"/>
    <w:multiLevelType w:val="multilevel"/>
    <w:tmpl w:val="307C7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15"/>
    <w:rsid w:val="001511E8"/>
    <w:rsid w:val="0042210B"/>
    <w:rsid w:val="004E51EE"/>
    <w:rsid w:val="0056676E"/>
    <w:rsid w:val="005F5460"/>
    <w:rsid w:val="0069190D"/>
    <w:rsid w:val="007579CD"/>
    <w:rsid w:val="007B6F5D"/>
    <w:rsid w:val="00881115"/>
    <w:rsid w:val="00B53569"/>
    <w:rsid w:val="00D7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F82B"/>
  <w15:docId w15:val="{E7406850-707A-4910-BA8E-3C9A33AE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33"/>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semiHidden/>
    <w:unhideWhenUsed/>
    <w:rsid w:val="001E68F3"/>
    <w:pPr>
      <w:keepLines/>
      <w:widowControl w:val="0"/>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1E68F3"/>
  </w:style>
  <w:style w:type="character" w:styleId="FootnoteReference">
    <w:name w:val="footnote reference"/>
    <w:basedOn w:val="DefaultParagraphFont"/>
    <w:uiPriority w:val="99"/>
    <w:semiHidden/>
    <w:unhideWhenUsed/>
    <w:rsid w:val="00490884"/>
    <w:rPr>
      <w:vertAlign w:val="superscript"/>
    </w:rPr>
  </w:style>
  <w:style w:type="paragraph" w:styleId="ListParagraph">
    <w:name w:val="List Paragraph"/>
    <w:basedOn w:val="Normal"/>
    <w:uiPriority w:val="34"/>
    <w:qFormat/>
    <w:rsid w:val="004700EE"/>
    <w:pPr>
      <w:ind w:left="720"/>
      <w:contextualSpacing/>
    </w:pPr>
  </w:style>
  <w:style w:type="character" w:styleId="Hyperlink">
    <w:name w:val="Hyperlink"/>
    <w:basedOn w:val="DefaultParagraphFont"/>
    <w:uiPriority w:val="99"/>
    <w:unhideWhenUsed/>
    <w:rsid w:val="00434F1A"/>
    <w:rPr>
      <w:color w:val="0563C1" w:themeColor="hyperlink"/>
      <w:u w:val="single"/>
    </w:rPr>
  </w:style>
  <w:style w:type="character" w:styleId="UnresolvedMention">
    <w:name w:val="Unresolved Mention"/>
    <w:basedOn w:val="DefaultParagraphFont"/>
    <w:uiPriority w:val="99"/>
    <w:semiHidden/>
    <w:unhideWhenUsed/>
    <w:rsid w:val="00434F1A"/>
    <w:rPr>
      <w:color w:val="605E5C"/>
      <w:shd w:val="clear" w:color="auto" w:fill="E1DFDD"/>
    </w:rPr>
  </w:style>
  <w:style w:type="paragraph" w:styleId="Header">
    <w:name w:val="header"/>
    <w:basedOn w:val="Normal"/>
    <w:link w:val="HeaderChar"/>
    <w:uiPriority w:val="99"/>
    <w:unhideWhenUsed/>
    <w:rsid w:val="006E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7E"/>
    <w:rPr>
      <w:rFonts w:eastAsiaTheme="minorEastAsia"/>
    </w:rPr>
  </w:style>
  <w:style w:type="paragraph" w:styleId="Footer">
    <w:name w:val="footer"/>
    <w:basedOn w:val="Normal"/>
    <w:link w:val="FooterChar"/>
    <w:uiPriority w:val="99"/>
    <w:unhideWhenUsed/>
    <w:rsid w:val="006E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7E"/>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23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munoz@cwa-union.org" TargetMode="External"/><Relationship Id="rId4" Type="http://schemas.openxmlformats.org/officeDocument/2006/relationships/settings" Target="settings.xml"/><Relationship Id="rId9" Type="http://schemas.openxmlformats.org/officeDocument/2006/relationships/hyperlink" Target="mailto:tslocum@citize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ia.gov/electricity/data/eia923/" TargetMode="External"/><Relationship Id="rId3" Type="http://schemas.openxmlformats.org/officeDocument/2006/relationships/hyperlink" Target="https://www.sec.gov/Archives/edgar/data/0001791786/000156761921015859/0001567619-21-015859-index.htm" TargetMode="External"/><Relationship Id="rId7" Type="http://schemas.openxmlformats.org/officeDocument/2006/relationships/hyperlink" Target="https://finance.yahoo.com/quote/BTU/key-statistics?p=BTU" TargetMode="External"/><Relationship Id="rId2" Type="http://schemas.openxmlformats.org/officeDocument/2006/relationships/hyperlink" Target="https://www.prnewswire.com/news-releases/firstenergy-announces-transformational-25-billion-equity-investment-300585826.html" TargetMode="External"/><Relationship Id="rId1" Type="http://schemas.openxmlformats.org/officeDocument/2006/relationships/hyperlink" Target="https://www.sec.gov/Archives/edgar/data/0001629283/000181204621000090/0001812046-21-000090-index.htm" TargetMode="External"/><Relationship Id="rId6" Type="http://schemas.openxmlformats.org/officeDocument/2006/relationships/hyperlink" Target="https://www.sec.gov/Archives/edgar/data/0001791786/000156761921015859/0001567619-21-015859-index.htm" TargetMode="External"/><Relationship Id="rId5" Type="http://schemas.openxmlformats.org/officeDocument/2006/relationships/hyperlink" Target="https://www.sec.gov/Archives/edgar/data/0001629283/000181204621000090/0001812046-21-000090-index.htm" TargetMode="External"/><Relationship Id="rId4" Type="http://schemas.openxmlformats.org/officeDocument/2006/relationships/hyperlink" Target="https://estar.kcc.ks.gov/estar/ViewFile.aspx/S202104161412338447.pdf?Id=53dfcf9a-425b-42cd-bb57-70ed9476c8ad" TargetMode="External"/><Relationship Id="rId9" Type="http://schemas.openxmlformats.org/officeDocument/2006/relationships/hyperlink" Target="https://cwa-union.org/news/releases/cwa-alerts-elliott-management-investors-about-hedge-funds-underperformance-di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K4E028SsoJMB44uHRlZPnLTA==">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Slocum</dc:creator>
  <cp:lastModifiedBy>Tyson Slocum</cp:lastModifiedBy>
  <cp:revision>7</cp:revision>
  <dcterms:created xsi:type="dcterms:W3CDTF">2021-10-25T21:57:00Z</dcterms:created>
  <dcterms:modified xsi:type="dcterms:W3CDTF">2021-11-12T11:29:00Z</dcterms:modified>
</cp:coreProperties>
</file>