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3A18" w14:textId="59D07FE5" w:rsidR="006443BB" w:rsidRPr="009C4AF1" w:rsidRDefault="008B1556" w:rsidP="009C4AF1">
      <w:pPr>
        <w:jc w:val="center"/>
        <w:rPr>
          <w:rFonts w:ascii="Georgia" w:hAnsi="Georgia"/>
          <w:sz w:val="24"/>
          <w:szCs w:val="24"/>
        </w:rPr>
      </w:pPr>
      <w:r w:rsidRPr="009C4AF1">
        <w:rPr>
          <w:rFonts w:ascii="Georgia" w:hAnsi="Georgia"/>
          <w:sz w:val="24"/>
          <w:szCs w:val="24"/>
        </w:rPr>
        <w:t>UNITED STATES OF AMERICA</w:t>
      </w:r>
    </w:p>
    <w:p w14:paraId="2EC74A96" w14:textId="62438288" w:rsidR="008B1556" w:rsidRPr="009C4AF1" w:rsidRDefault="008B1556" w:rsidP="009C4AF1">
      <w:pPr>
        <w:jc w:val="center"/>
        <w:rPr>
          <w:rFonts w:ascii="Georgia" w:hAnsi="Georgia"/>
          <w:sz w:val="24"/>
          <w:szCs w:val="24"/>
        </w:rPr>
      </w:pPr>
      <w:r w:rsidRPr="009C4AF1">
        <w:rPr>
          <w:rFonts w:ascii="Georgia" w:hAnsi="Georgia"/>
          <w:sz w:val="24"/>
          <w:szCs w:val="24"/>
        </w:rPr>
        <w:t>BEFORE THE</w:t>
      </w:r>
    </w:p>
    <w:p w14:paraId="52F37552" w14:textId="617CE2C7" w:rsidR="008B1556" w:rsidRPr="009C4AF1" w:rsidRDefault="008B1556" w:rsidP="009C4AF1">
      <w:pPr>
        <w:jc w:val="center"/>
        <w:rPr>
          <w:rFonts w:ascii="Georgia" w:hAnsi="Georgia"/>
          <w:sz w:val="24"/>
          <w:szCs w:val="24"/>
        </w:rPr>
      </w:pPr>
      <w:r w:rsidRPr="009C4AF1">
        <w:rPr>
          <w:rFonts w:ascii="Georgia" w:hAnsi="Georgia"/>
          <w:sz w:val="24"/>
          <w:szCs w:val="24"/>
        </w:rPr>
        <w:t>FEDERAL ENERGY REGULATORY COMMISSION</w:t>
      </w:r>
    </w:p>
    <w:p w14:paraId="0F14C66F" w14:textId="2B0D5782" w:rsidR="008B1556" w:rsidRPr="009C4AF1" w:rsidRDefault="008B1556">
      <w:pPr>
        <w:rPr>
          <w:rFonts w:ascii="Georgia" w:hAnsi="Georgia"/>
          <w:sz w:val="24"/>
          <w:szCs w:val="24"/>
        </w:rPr>
      </w:pPr>
    </w:p>
    <w:p w14:paraId="39E2DF22" w14:textId="79D30255" w:rsidR="008B1556" w:rsidRPr="009C4AF1" w:rsidRDefault="008B1556">
      <w:pPr>
        <w:rPr>
          <w:rFonts w:ascii="Georgia" w:hAnsi="Georgia"/>
          <w:sz w:val="24"/>
          <w:szCs w:val="24"/>
        </w:rPr>
      </w:pPr>
      <w:r w:rsidRPr="009C4AF1">
        <w:rPr>
          <w:rFonts w:ascii="Georgia" w:hAnsi="Georgia"/>
          <w:sz w:val="24"/>
          <w:szCs w:val="24"/>
        </w:rPr>
        <w:t>Canal Generating LLC</w:t>
      </w:r>
    </w:p>
    <w:p w14:paraId="2F0D5FA1" w14:textId="090E0048" w:rsidR="008B1556" w:rsidRPr="009C4AF1" w:rsidRDefault="008B1556">
      <w:pPr>
        <w:rPr>
          <w:rFonts w:ascii="Georgia" w:hAnsi="Georgia"/>
          <w:sz w:val="24"/>
          <w:szCs w:val="24"/>
        </w:rPr>
      </w:pPr>
      <w:r w:rsidRPr="009C4AF1">
        <w:rPr>
          <w:rFonts w:ascii="Georgia" w:hAnsi="Georgia"/>
          <w:sz w:val="24"/>
          <w:szCs w:val="24"/>
        </w:rPr>
        <w:t>Canal 3 Generating LLC</w:t>
      </w:r>
      <w:r w:rsidRPr="009C4AF1">
        <w:rPr>
          <w:rFonts w:ascii="Georgia" w:hAnsi="Georgia"/>
          <w:sz w:val="24"/>
          <w:szCs w:val="24"/>
        </w:rPr>
        <w:tab/>
      </w:r>
      <w:r w:rsidRPr="009C4AF1">
        <w:rPr>
          <w:rFonts w:ascii="Georgia" w:hAnsi="Georgia"/>
          <w:sz w:val="24"/>
          <w:szCs w:val="24"/>
        </w:rPr>
        <w:tab/>
      </w:r>
      <w:r w:rsidRPr="009C4AF1">
        <w:rPr>
          <w:rFonts w:ascii="Georgia" w:hAnsi="Georgia"/>
          <w:sz w:val="24"/>
          <w:szCs w:val="24"/>
        </w:rPr>
        <w:tab/>
      </w:r>
      <w:r w:rsidRPr="009C4AF1">
        <w:rPr>
          <w:rFonts w:ascii="Georgia" w:hAnsi="Georgia"/>
          <w:sz w:val="24"/>
          <w:szCs w:val="24"/>
        </w:rPr>
        <w:tab/>
      </w:r>
      <w:r w:rsidR="009C4AF1" w:rsidRPr="009C4AF1">
        <w:rPr>
          <w:rFonts w:ascii="Georgia" w:hAnsi="Georgia"/>
          <w:sz w:val="24"/>
          <w:szCs w:val="24"/>
        </w:rPr>
        <w:tab/>
      </w:r>
      <w:r w:rsidR="009C4AF1" w:rsidRPr="009C4AF1">
        <w:rPr>
          <w:rFonts w:ascii="Georgia" w:hAnsi="Georgia"/>
          <w:sz w:val="24"/>
          <w:szCs w:val="24"/>
        </w:rPr>
        <w:tab/>
      </w:r>
      <w:r w:rsidRPr="009C4AF1">
        <w:rPr>
          <w:rFonts w:ascii="Georgia" w:hAnsi="Georgia"/>
          <w:sz w:val="24"/>
          <w:szCs w:val="24"/>
        </w:rPr>
        <w:t>Docket No. EC22-71</w:t>
      </w:r>
    </w:p>
    <w:p w14:paraId="060A0E1A" w14:textId="5614C091" w:rsidR="008B1556" w:rsidRPr="009C4AF1" w:rsidRDefault="008B1556">
      <w:pPr>
        <w:rPr>
          <w:rFonts w:ascii="Georgia" w:hAnsi="Georgia"/>
          <w:sz w:val="24"/>
          <w:szCs w:val="24"/>
        </w:rPr>
      </w:pPr>
      <w:r w:rsidRPr="009C4AF1">
        <w:rPr>
          <w:rFonts w:ascii="Georgia" w:hAnsi="Georgia"/>
          <w:sz w:val="24"/>
          <w:szCs w:val="24"/>
        </w:rPr>
        <w:t>Bucksport Generation LLC</w:t>
      </w:r>
    </w:p>
    <w:p w14:paraId="752C6F56" w14:textId="16F39891" w:rsidR="008B1556" w:rsidRPr="009C4AF1" w:rsidRDefault="008B1556">
      <w:pPr>
        <w:rPr>
          <w:rFonts w:ascii="Georgia" w:hAnsi="Georgia"/>
          <w:sz w:val="24"/>
          <w:szCs w:val="24"/>
        </w:rPr>
      </w:pPr>
      <w:r w:rsidRPr="009C4AF1">
        <w:rPr>
          <w:rFonts w:ascii="Georgia" w:hAnsi="Georgia"/>
          <w:sz w:val="24"/>
          <w:szCs w:val="24"/>
        </w:rPr>
        <w:t>Stonepeak Kestrel Energy Marketing LLC</w:t>
      </w:r>
    </w:p>
    <w:p w14:paraId="5EEF1BE8" w14:textId="77777777" w:rsidR="009C4AF1" w:rsidRDefault="009C4AF1">
      <w:pPr>
        <w:rPr>
          <w:rFonts w:ascii="Georgia" w:hAnsi="Georgia"/>
          <w:sz w:val="24"/>
          <w:szCs w:val="24"/>
        </w:rPr>
      </w:pPr>
    </w:p>
    <w:p w14:paraId="1C64993A" w14:textId="77777777" w:rsidR="000B5464" w:rsidRPr="009C4AF1" w:rsidRDefault="000B5464">
      <w:pPr>
        <w:rPr>
          <w:rFonts w:ascii="Georgia" w:hAnsi="Georgia"/>
          <w:sz w:val="24"/>
          <w:szCs w:val="24"/>
        </w:rPr>
      </w:pPr>
    </w:p>
    <w:p w14:paraId="41F31624" w14:textId="1E9361FB" w:rsidR="009C4AF1" w:rsidRPr="00121C98" w:rsidRDefault="009C4AF1" w:rsidP="00121C98">
      <w:pPr>
        <w:jc w:val="center"/>
        <w:rPr>
          <w:rFonts w:ascii="Georgia" w:hAnsi="Georgia"/>
          <w:b/>
          <w:bCs/>
          <w:sz w:val="24"/>
          <w:szCs w:val="24"/>
        </w:rPr>
      </w:pPr>
      <w:r w:rsidRPr="00121C98">
        <w:rPr>
          <w:rFonts w:ascii="Georgia" w:hAnsi="Georgia"/>
          <w:b/>
          <w:bCs/>
          <w:sz w:val="24"/>
          <w:szCs w:val="24"/>
        </w:rPr>
        <w:t>Protest of Public Citizen, Inc.</w:t>
      </w:r>
    </w:p>
    <w:p w14:paraId="56B01605" w14:textId="77777777" w:rsidR="000B5464" w:rsidRDefault="000B5464">
      <w:pPr>
        <w:rPr>
          <w:rFonts w:ascii="Georgia" w:hAnsi="Georgia"/>
          <w:sz w:val="24"/>
          <w:szCs w:val="24"/>
        </w:rPr>
      </w:pPr>
    </w:p>
    <w:p w14:paraId="1C97DDB2" w14:textId="77777777" w:rsidR="00AE3D12" w:rsidRPr="009C4AF1" w:rsidRDefault="00AE3D12">
      <w:pPr>
        <w:rPr>
          <w:rFonts w:ascii="Georgia" w:hAnsi="Georgia"/>
          <w:sz w:val="24"/>
          <w:szCs w:val="24"/>
        </w:rPr>
      </w:pPr>
    </w:p>
    <w:p w14:paraId="3E7A319E" w14:textId="5C48D5BA" w:rsidR="00F1079E" w:rsidRDefault="006F3B8A" w:rsidP="00AC1DF1">
      <w:pPr>
        <w:spacing w:line="360" w:lineRule="auto"/>
        <w:ind w:firstLine="720"/>
        <w:rPr>
          <w:rFonts w:ascii="Georgia" w:hAnsi="Georgia"/>
          <w:sz w:val="24"/>
          <w:szCs w:val="24"/>
        </w:rPr>
      </w:pPr>
      <w:r>
        <w:rPr>
          <w:rFonts w:ascii="Georgia" w:hAnsi="Georgia"/>
          <w:sz w:val="24"/>
          <w:szCs w:val="24"/>
        </w:rPr>
        <w:t xml:space="preserve">On </w:t>
      </w:r>
      <w:r w:rsidR="008B1556" w:rsidRPr="009C4AF1">
        <w:rPr>
          <w:rFonts w:ascii="Georgia" w:hAnsi="Georgia"/>
          <w:sz w:val="24"/>
          <w:szCs w:val="24"/>
        </w:rPr>
        <w:t>June 1</w:t>
      </w:r>
      <w:r>
        <w:rPr>
          <w:rFonts w:ascii="Georgia" w:hAnsi="Georgia"/>
          <w:sz w:val="24"/>
          <w:szCs w:val="24"/>
        </w:rPr>
        <w:t>, a</w:t>
      </w:r>
      <w:r w:rsidR="008B1556" w:rsidRPr="009C4AF1">
        <w:rPr>
          <w:rFonts w:ascii="Georgia" w:hAnsi="Georgia"/>
          <w:sz w:val="24"/>
          <w:szCs w:val="24"/>
        </w:rPr>
        <w:t xml:space="preserve"> </w:t>
      </w:r>
      <w:r>
        <w:rPr>
          <w:rFonts w:ascii="Georgia" w:hAnsi="Georgia"/>
          <w:sz w:val="24"/>
          <w:szCs w:val="24"/>
        </w:rPr>
        <w:t>j</w:t>
      </w:r>
      <w:r w:rsidR="008B1556" w:rsidRPr="009C4AF1">
        <w:rPr>
          <w:rFonts w:ascii="Georgia" w:hAnsi="Georgia"/>
          <w:sz w:val="24"/>
          <w:szCs w:val="24"/>
        </w:rPr>
        <w:t xml:space="preserve">oint </w:t>
      </w:r>
      <w:r>
        <w:rPr>
          <w:rFonts w:ascii="Georgia" w:hAnsi="Georgia"/>
          <w:sz w:val="24"/>
          <w:szCs w:val="24"/>
        </w:rPr>
        <w:t>a</w:t>
      </w:r>
      <w:r w:rsidR="008B1556" w:rsidRPr="009C4AF1">
        <w:rPr>
          <w:rFonts w:ascii="Georgia" w:hAnsi="Georgia"/>
          <w:sz w:val="24"/>
          <w:szCs w:val="24"/>
        </w:rPr>
        <w:t xml:space="preserve">pplication for </w:t>
      </w:r>
      <w:r>
        <w:rPr>
          <w:rFonts w:ascii="Georgia" w:hAnsi="Georgia"/>
          <w:sz w:val="24"/>
          <w:szCs w:val="24"/>
        </w:rPr>
        <w:t>a</w:t>
      </w:r>
      <w:r w:rsidR="008B1556" w:rsidRPr="009C4AF1">
        <w:rPr>
          <w:rFonts w:ascii="Georgia" w:hAnsi="Georgia"/>
          <w:sz w:val="24"/>
          <w:szCs w:val="24"/>
        </w:rPr>
        <w:t xml:space="preserve">uthorization </w:t>
      </w:r>
      <w:r>
        <w:rPr>
          <w:rFonts w:ascii="Georgia" w:hAnsi="Georgia"/>
          <w:sz w:val="24"/>
          <w:szCs w:val="24"/>
        </w:rPr>
        <w:t>u</w:t>
      </w:r>
      <w:r w:rsidR="008B1556" w:rsidRPr="009C4AF1">
        <w:rPr>
          <w:rFonts w:ascii="Georgia" w:hAnsi="Georgia"/>
          <w:sz w:val="24"/>
          <w:szCs w:val="24"/>
        </w:rPr>
        <w:t xml:space="preserve">nder </w:t>
      </w:r>
      <w:r w:rsidR="00B80008">
        <w:rPr>
          <w:rFonts w:ascii="Georgia" w:hAnsi="Georgia"/>
          <w:sz w:val="24"/>
          <w:szCs w:val="24"/>
        </w:rPr>
        <w:t>S</w:t>
      </w:r>
      <w:r w:rsidR="008B1556" w:rsidRPr="009C4AF1">
        <w:rPr>
          <w:rFonts w:ascii="Georgia" w:hAnsi="Georgia"/>
          <w:sz w:val="24"/>
          <w:szCs w:val="24"/>
        </w:rPr>
        <w:t>ection 203 of the Federal Power Act</w:t>
      </w:r>
      <w:r w:rsidR="00B57F51">
        <w:rPr>
          <w:rFonts w:ascii="Georgia" w:hAnsi="Georgia"/>
          <w:sz w:val="24"/>
          <w:szCs w:val="24"/>
        </w:rPr>
        <w:t xml:space="preserve"> </w:t>
      </w:r>
      <w:proofErr w:type="gramStart"/>
      <w:r w:rsidR="0087493E">
        <w:rPr>
          <w:rFonts w:ascii="Georgia" w:hAnsi="Georgia"/>
          <w:sz w:val="24"/>
          <w:szCs w:val="24"/>
        </w:rPr>
        <w:t xml:space="preserve">was </w:t>
      </w:r>
      <w:r w:rsidR="00DE5995">
        <w:rPr>
          <w:rFonts w:ascii="Georgia" w:hAnsi="Georgia"/>
          <w:sz w:val="24"/>
          <w:szCs w:val="24"/>
        </w:rPr>
        <w:t>filed</w:t>
      </w:r>
      <w:proofErr w:type="gramEnd"/>
      <w:r w:rsidR="00DE5995">
        <w:rPr>
          <w:rFonts w:ascii="Georgia" w:hAnsi="Georgia"/>
          <w:sz w:val="24"/>
          <w:szCs w:val="24"/>
        </w:rPr>
        <w:t xml:space="preserve"> </w:t>
      </w:r>
      <w:r w:rsidR="005D211E">
        <w:rPr>
          <w:rFonts w:ascii="Georgia" w:hAnsi="Georgia"/>
          <w:sz w:val="24"/>
          <w:szCs w:val="24"/>
        </w:rPr>
        <w:t xml:space="preserve">to sell three gas/oil fueled power plants in ISO-NE </w:t>
      </w:r>
      <w:r w:rsidR="00105BEA">
        <w:rPr>
          <w:rFonts w:ascii="Georgia" w:hAnsi="Georgia"/>
          <w:sz w:val="24"/>
          <w:szCs w:val="24"/>
        </w:rPr>
        <w:t>from</w:t>
      </w:r>
      <w:r w:rsidR="00DE5995">
        <w:rPr>
          <w:rFonts w:ascii="Georgia" w:hAnsi="Georgia"/>
          <w:sz w:val="24"/>
          <w:szCs w:val="24"/>
        </w:rPr>
        <w:t xml:space="preserve"> the private equity firm Stonepeak </w:t>
      </w:r>
      <w:r w:rsidR="00A02F39">
        <w:rPr>
          <w:rFonts w:ascii="Georgia" w:hAnsi="Georgia"/>
          <w:sz w:val="24"/>
          <w:szCs w:val="24"/>
        </w:rPr>
        <w:t xml:space="preserve">to </w:t>
      </w:r>
      <w:r w:rsidR="00A02F39" w:rsidRPr="00A02F39">
        <w:rPr>
          <w:rFonts w:ascii="Georgia" w:hAnsi="Georgia"/>
          <w:sz w:val="24"/>
          <w:szCs w:val="24"/>
        </w:rPr>
        <w:t>JERA Co. Inc</w:t>
      </w:r>
      <w:r w:rsidR="00CC5BC6">
        <w:rPr>
          <w:rFonts w:ascii="Georgia" w:hAnsi="Georgia"/>
          <w:sz w:val="24"/>
          <w:szCs w:val="24"/>
        </w:rPr>
        <w:t xml:space="preserve">. </w:t>
      </w:r>
      <w:r w:rsidR="00BA7336">
        <w:rPr>
          <w:rFonts w:ascii="Georgia" w:hAnsi="Georgia"/>
          <w:sz w:val="24"/>
          <w:szCs w:val="24"/>
        </w:rPr>
        <w:t>Our protest</w:t>
      </w:r>
      <w:r w:rsidR="000A2247">
        <w:rPr>
          <w:rFonts w:ascii="Georgia" w:hAnsi="Georgia"/>
          <w:sz w:val="24"/>
          <w:szCs w:val="24"/>
        </w:rPr>
        <w:t xml:space="preserve"> </w:t>
      </w:r>
      <w:r w:rsidR="00203705">
        <w:rPr>
          <w:rFonts w:ascii="Georgia" w:hAnsi="Georgia"/>
          <w:sz w:val="24"/>
          <w:szCs w:val="24"/>
        </w:rPr>
        <w:t>consists</w:t>
      </w:r>
      <w:r w:rsidR="000A2247">
        <w:rPr>
          <w:rFonts w:ascii="Georgia" w:hAnsi="Georgia"/>
          <w:sz w:val="24"/>
          <w:szCs w:val="24"/>
        </w:rPr>
        <w:t xml:space="preserve"> of</w:t>
      </w:r>
      <w:r w:rsidR="00BA7336">
        <w:rPr>
          <w:rFonts w:ascii="Georgia" w:hAnsi="Georgia"/>
          <w:sz w:val="24"/>
          <w:szCs w:val="24"/>
        </w:rPr>
        <w:t xml:space="preserve"> </w:t>
      </w:r>
      <w:r w:rsidR="000A2247">
        <w:rPr>
          <w:rFonts w:ascii="Georgia" w:hAnsi="Georgia"/>
          <w:sz w:val="24"/>
          <w:szCs w:val="24"/>
        </w:rPr>
        <w:t>four</w:t>
      </w:r>
      <w:r w:rsidR="00BA7336">
        <w:rPr>
          <w:rFonts w:ascii="Georgia" w:hAnsi="Georgia"/>
          <w:sz w:val="24"/>
          <w:szCs w:val="24"/>
        </w:rPr>
        <w:t xml:space="preserve"> </w:t>
      </w:r>
      <w:r w:rsidR="000A2247">
        <w:rPr>
          <w:rFonts w:ascii="Georgia" w:hAnsi="Georgia"/>
          <w:sz w:val="24"/>
          <w:szCs w:val="24"/>
        </w:rPr>
        <w:t>issues</w:t>
      </w:r>
      <w:r w:rsidR="00BA7336">
        <w:rPr>
          <w:rFonts w:ascii="Georgia" w:hAnsi="Georgia"/>
          <w:sz w:val="24"/>
          <w:szCs w:val="24"/>
        </w:rPr>
        <w:t>. First, t</w:t>
      </w:r>
      <w:r w:rsidR="00CC5BC6">
        <w:rPr>
          <w:rFonts w:ascii="Georgia" w:hAnsi="Georgia"/>
          <w:sz w:val="24"/>
          <w:szCs w:val="24"/>
        </w:rPr>
        <w:t xml:space="preserve">he </w:t>
      </w:r>
      <w:r w:rsidR="00B91420">
        <w:rPr>
          <w:rFonts w:ascii="Georgia" w:hAnsi="Georgia"/>
          <w:sz w:val="24"/>
          <w:szCs w:val="24"/>
        </w:rPr>
        <w:t xml:space="preserve">proposed </w:t>
      </w:r>
      <w:r w:rsidR="00CC5BC6">
        <w:rPr>
          <w:rFonts w:ascii="Georgia" w:hAnsi="Georgia"/>
          <w:sz w:val="24"/>
          <w:szCs w:val="24"/>
        </w:rPr>
        <w:t xml:space="preserve">transaction will result in significant concentration of </w:t>
      </w:r>
      <w:r w:rsidR="00B91420">
        <w:rPr>
          <w:rFonts w:ascii="Georgia" w:hAnsi="Georgia"/>
          <w:sz w:val="24"/>
          <w:szCs w:val="24"/>
        </w:rPr>
        <w:t xml:space="preserve">power generation ownership </w:t>
      </w:r>
      <w:r w:rsidR="0014353C">
        <w:rPr>
          <w:rFonts w:ascii="Georgia" w:hAnsi="Georgia"/>
          <w:sz w:val="24"/>
          <w:szCs w:val="24"/>
        </w:rPr>
        <w:t xml:space="preserve">by JERA </w:t>
      </w:r>
      <w:r w:rsidR="00B91420">
        <w:rPr>
          <w:rFonts w:ascii="Georgia" w:hAnsi="Georgia"/>
          <w:sz w:val="24"/>
          <w:szCs w:val="24"/>
        </w:rPr>
        <w:t>in ISO-NE</w:t>
      </w:r>
      <w:r w:rsidR="00F14718">
        <w:rPr>
          <w:rFonts w:ascii="Georgia" w:hAnsi="Georgia"/>
          <w:sz w:val="24"/>
          <w:szCs w:val="24"/>
        </w:rPr>
        <w:t xml:space="preserve"> and NYISO </w:t>
      </w:r>
      <w:r w:rsidR="00B91420">
        <w:rPr>
          <w:rFonts w:ascii="Georgia" w:hAnsi="Georgia"/>
          <w:sz w:val="24"/>
          <w:szCs w:val="24"/>
        </w:rPr>
        <w:t>that</w:t>
      </w:r>
      <w:r w:rsidR="00324E83">
        <w:rPr>
          <w:rFonts w:ascii="Georgia" w:hAnsi="Georgia"/>
          <w:sz w:val="24"/>
          <w:szCs w:val="24"/>
        </w:rPr>
        <w:t xml:space="preserve"> </w:t>
      </w:r>
      <w:r w:rsidR="00A922B3">
        <w:rPr>
          <w:rFonts w:ascii="Georgia" w:hAnsi="Georgia"/>
          <w:sz w:val="24"/>
          <w:szCs w:val="24"/>
        </w:rPr>
        <w:t>may threaten competition</w:t>
      </w:r>
      <w:r w:rsidR="00E37639">
        <w:rPr>
          <w:rFonts w:ascii="Georgia" w:hAnsi="Georgia"/>
          <w:sz w:val="24"/>
          <w:szCs w:val="24"/>
        </w:rPr>
        <w:t xml:space="preserve"> and rates</w:t>
      </w:r>
      <w:r w:rsidR="00A922B3">
        <w:rPr>
          <w:rFonts w:ascii="Georgia" w:hAnsi="Georgia"/>
          <w:sz w:val="24"/>
          <w:szCs w:val="24"/>
        </w:rPr>
        <w:t xml:space="preserve">. </w:t>
      </w:r>
      <w:r w:rsidR="001F21A8">
        <w:rPr>
          <w:rFonts w:ascii="Georgia" w:hAnsi="Georgia"/>
          <w:sz w:val="24"/>
          <w:szCs w:val="24"/>
        </w:rPr>
        <w:t xml:space="preserve">Second, the transaction </w:t>
      </w:r>
      <w:r w:rsidR="001F4886">
        <w:rPr>
          <w:rFonts w:ascii="Georgia" w:hAnsi="Georgia"/>
          <w:sz w:val="24"/>
          <w:szCs w:val="24"/>
        </w:rPr>
        <w:t>involves</w:t>
      </w:r>
      <w:r w:rsidR="001F21A8">
        <w:rPr>
          <w:rFonts w:ascii="Georgia" w:hAnsi="Georgia"/>
          <w:sz w:val="24"/>
          <w:szCs w:val="24"/>
        </w:rPr>
        <w:t xml:space="preserve"> assets that may qualify for special out-of-market payments </w:t>
      </w:r>
      <w:r w:rsidR="00A56608">
        <w:rPr>
          <w:rFonts w:ascii="Georgia" w:hAnsi="Georgia"/>
          <w:sz w:val="24"/>
          <w:szCs w:val="24"/>
        </w:rPr>
        <w:t>administered</w:t>
      </w:r>
      <w:r w:rsidR="00DE5C31">
        <w:rPr>
          <w:rFonts w:ascii="Georgia" w:hAnsi="Georgia"/>
          <w:sz w:val="24"/>
          <w:szCs w:val="24"/>
        </w:rPr>
        <w:t xml:space="preserve"> by ISO-NE that </w:t>
      </w:r>
      <w:r w:rsidR="00760C0B">
        <w:rPr>
          <w:rFonts w:ascii="Georgia" w:hAnsi="Georgia"/>
          <w:sz w:val="24"/>
          <w:szCs w:val="24"/>
        </w:rPr>
        <w:t xml:space="preserve">require additional disclosure to </w:t>
      </w:r>
      <w:r w:rsidR="00815776">
        <w:rPr>
          <w:rFonts w:ascii="Georgia" w:hAnsi="Georgia"/>
          <w:sz w:val="24"/>
          <w:szCs w:val="24"/>
        </w:rPr>
        <w:t>assess</w:t>
      </w:r>
      <w:r w:rsidR="001F4886">
        <w:rPr>
          <w:rFonts w:ascii="Georgia" w:hAnsi="Georgia"/>
          <w:sz w:val="24"/>
          <w:szCs w:val="24"/>
        </w:rPr>
        <w:t xml:space="preserve"> the impact on competition and rates</w:t>
      </w:r>
      <w:r w:rsidR="00DE5C31">
        <w:rPr>
          <w:rFonts w:ascii="Georgia" w:hAnsi="Georgia"/>
          <w:sz w:val="24"/>
          <w:szCs w:val="24"/>
        </w:rPr>
        <w:t xml:space="preserve">. </w:t>
      </w:r>
      <w:r w:rsidR="00A56608">
        <w:rPr>
          <w:rFonts w:ascii="Georgia" w:hAnsi="Georgia"/>
          <w:sz w:val="24"/>
          <w:szCs w:val="24"/>
        </w:rPr>
        <w:t xml:space="preserve">To mitigate these two threats to competition and rates, </w:t>
      </w:r>
      <w:r w:rsidR="00A31813">
        <w:rPr>
          <w:rFonts w:ascii="Georgia" w:hAnsi="Georgia"/>
          <w:sz w:val="24"/>
          <w:szCs w:val="24"/>
        </w:rPr>
        <w:t xml:space="preserve">approval of the transaction should be contingent on </w:t>
      </w:r>
      <w:r w:rsidR="00A56608">
        <w:rPr>
          <w:rFonts w:ascii="Georgia" w:hAnsi="Georgia"/>
          <w:sz w:val="24"/>
          <w:szCs w:val="24"/>
        </w:rPr>
        <w:t>d</w:t>
      </w:r>
      <w:r w:rsidR="005F5313">
        <w:rPr>
          <w:rFonts w:ascii="Georgia" w:hAnsi="Georgia"/>
          <w:sz w:val="24"/>
          <w:szCs w:val="24"/>
        </w:rPr>
        <w:t>ivestiture of JERA’s existing</w:t>
      </w:r>
      <w:r w:rsidR="00F84FFC">
        <w:rPr>
          <w:rFonts w:ascii="Georgia" w:hAnsi="Georgia"/>
          <w:sz w:val="24"/>
          <w:szCs w:val="24"/>
        </w:rPr>
        <w:t xml:space="preserve"> </w:t>
      </w:r>
      <w:r w:rsidR="00781442">
        <w:rPr>
          <w:rFonts w:ascii="Georgia" w:hAnsi="Georgia"/>
          <w:sz w:val="24"/>
          <w:szCs w:val="24"/>
        </w:rPr>
        <w:t xml:space="preserve">ISO-NE </w:t>
      </w:r>
      <w:r w:rsidR="00F84FFC">
        <w:rPr>
          <w:rFonts w:ascii="Georgia" w:hAnsi="Georgia"/>
          <w:sz w:val="24"/>
          <w:szCs w:val="24"/>
        </w:rPr>
        <w:t>generation holdings</w:t>
      </w:r>
      <w:r w:rsidR="00F477E8">
        <w:rPr>
          <w:rFonts w:ascii="Georgia" w:hAnsi="Georgia"/>
          <w:sz w:val="24"/>
          <w:szCs w:val="24"/>
        </w:rPr>
        <w:t xml:space="preserve">. </w:t>
      </w:r>
      <w:r w:rsidR="00DE5C31">
        <w:rPr>
          <w:rFonts w:ascii="Georgia" w:hAnsi="Georgia"/>
          <w:sz w:val="24"/>
          <w:szCs w:val="24"/>
        </w:rPr>
        <w:t>Third</w:t>
      </w:r>
      <w:r w:rsidR="00F477E8">
        <w:rPr>
          <w:rFonts w:ascii="Georgia" w:hAnsi="Georgia"/>
          <w:sz w:val="24"/>
          <w:szCs w:val="24"/>
        </w:rPr>
        <w:t xml:space="preserve">, </w:t>
      </w:r>
      <w:r w:rsidR="008B4FA6">
        <w:rPr>
          <w:rFonts w:ascii="Georgia" w:hAnsi="Georgia"/>
          <w:sz w:val="24"/>
          <w:szCs w:val="24"/>
        </w:rPr>
        <w:t xml:space="preserve">we contest the privileged treatment of the purchase price of the power plants. Comparable sales information is widely available, and the public interest should require disclosure of basic information such as the purchase price of FERC-jurisdictional power plants. </w:t>
      </w:r>
      <w:r w:rsidR="001446D5">
        <w:rPr>
          <w:rFonts w:ascii="Georgia" w:hAnsi="Georgia"/>
          <w:sz w:val="24"/>
          <w:szCs w:val="24"/>
        </w:rPr>
        <w:t xml:space="preserve">Fourth, </w:t>
      </w:r>
      <w:r w:rsidR="00F477E8">
        <w:rPr>
          <w:rFonts w:ascii="Georgia" w:hAnsi="Georgia"/>
          <w:sz w:val="24"/>
          <w:szCs w:val="24"/>
        </w:rPr>
        <w:t xml:space="preserve">more information </w:t>
      </w:r>
      <w:proofErr w:type="gramStart"/>
      <w:r w:rsidR="00F477E8">
        <w:rPr>
          <w:rFonts w:ascii="Georgia" w:hAnsi="Georgia"/>
          <w:sz w:val="24"/>
          <w:szCs w:val="24"/>
        </w:rPr>
        <w:t>is required</w:t>
      </w:r>
      <w:proofErr w:type="gramEnd"/>
      <w:r w:rsidR="00F477E8">
        <w:rPr>
          <w:rFonts w:ascii="Georgia" w:hAnsi="Georgia"/>
          <w:sz w:val="24"/>
          <w:szCs w:val="24"/>
        </w:rPr>
        <w:t xml:space="preserve"> on the transaction’s effect on concentra</w:t>
      </w:r>
      <w:r w:rsidR="00781442">
        <w:rPr>
          <w:rFonts w:ascii="Georgia" w:hAnsi="Georgia"/>
          <w:sz w:val="24"/>
          <w:szCs w:val="24"/>
        </w:rPr>
        <w:t>tion</w:t>
      </w:r>
      <w:r w:rsidR="00F477E8">
        <w:rPr>
          <w:rFonts w:ascii="Georgia" w:hAnsi="Georgia"/>
          <w:sz w:val="24"/>
          <w:szCs w:val="24"/>
        </w:rPr>
        <w:t xml:space="preserve"> of voting in ISO-NE’s </w:t>
      </w:r>
      <w:r w:rsidR="00B278EB">
        <w:rPr>
          <w:rFonts w:ascii="Georgia" w:hAnsi="Georgia"/>
          <w:sz w:val="24"/>
          <w:szCs w:val="24"/>
        </w:rPr>
        <w:t xml:space="preserve">NEPOOL </w:t>
      </w:r>
      <w:r w:rsidR="00F477E8">
        <w:rPr>
          <w:rFonts w:ascii="Georgia" w:hAnsi="Georgia"/>
          <w:sz w:val="24"/>
          <w:szCs w:val="24"/>
        </w:rPr>
        <w:t>stakeholder process</w:t>
      </w:r>
      <w:r w:rsidR="0015725B">
        <w:rPr>
          <w:rFonts w:ascii="Georgia" w:hAnsi="Georgia"/>
          <w:sz w:val="24"/>
          <w:szCs w:val="24"/>
        </w:rPr>
        <w:t xml:space="preserve"> to determine whether it threatens rates.</w:t>
      </w:r>
      <w:r w:rsidR="00124C6E">
        <w:rPr>
          <w:rFonts w:ascii="Georgia" w:hAnsi="Georgia"/>
          <w:sz w:val="24"/>
          <w:szCs w:val="24"/>
        </w:rPr>
        <w:tab/>
      </w:r>
    </w:p>
    <w:p w14:paraId="170520AD" w14:textId="77777777" w:rsidR="00124C6E" w:rsidRDefault="00124C6E" w:rsidP="00AC1DF1">
      <w:pPr>
        <w:spacing w:line="360" w:lineRule="auto"/>
        <w:rPr>
          <w:rFonts w:ascii="Georgia" w:hAnsi="Georgia"/>
          <w:sz w:val="24"/>
          <w:szCs w:val="24"/>
        </w:rPr>
      </w:pPr>
    </w:p>
    <w:p w14:paraId="155B6E78" w14:textId="4591AD67" w:rsidR="00D732C4" w:rsidRDefault="00D732C4" w:rsidP="00AC1DF1">
      <w:pPr>
        <w:spacing w:line="360" w:lineRule="auto"/>
        <w:ind w:firstLine="720"/>
        <w:rPr>
          <w:rFonts w:ascii="Georgia" w:hAnsi="Georgia"/>
          <w:sz w:val="24"/>
          <w:szCs w:val="24"/>
        </w:rPr>
      </w:pPr>
      <w:r>
        <w:rPr>
          <w:rFonts w:ascii="Georgia" w:hAnsi="Georgia"/>
          <w:sz w:val="24"/>
          <w:szCs w:val="24"/>
        </w:rPr>
        <w:t xml:space="preserve">Stonepeak proposes to sell </w:t>
      </w:r>
      <w:r w:rsidR="00700AB2">
        <w:rPr>
          <w:rFonts w:ascii="Georgia" w:hAnsi="Georgia"/>
          <w:sz w:val="24"/>
          <w:szCs w:val="24"/>
        </w:rPr>
        <w:t xml:space="preserve">to JERA </w:t>
      </w:r>
      <w:r>
        <w:rPr>
          <w:rFonts w:ascii="Georgia" w:hAnsi="Georgia"/>
          <w:sz w:val="24"/>
          <w:szCs w:val="24"/>
        </w:rPr>
        <w:t xml:space="preserve">two </w:t>
      </w:r>
      <w:r w:rsidR="00FC5307">
        <w:rPr>
          <w:rFonts w:ascii="Georgia" w:hAnsi="Georgia"/>
          <w:sz w:val="24"/>
          <w:szCs w:val="24"/>
        </w:rPr>
        <w:t>generation units</w:t>
      </w:r>
      <w:r w:rsidR="000F61DC">
        <w:rPr>
          <w:rFonts w:ascii="Georgia" w:hAnsi="Georgia"/>
          <w:sz w:val="24"/>
          <w:szCs w:val="24"/>
        </w:rPr>
        <w:t xml:space="preserve"> with</w:t>
      </w:r>
      <w:r w:rsidR="009F6BB8">
        <w:rPr>
          <w:rFonts w:ascii="Georgia" w:hAnsi="Georgia"/>
          <w:sz w:val="24"/>
          <w:szCs w:val="24"/>
        </w:rPr>
        <w:t xml:space="preserve"> combine</w:t>
      </w:r>
      <w:r w:rsidR="00C37247">
        <w:rPr>
          <w:rFonts w:ascii="Georgia" w:hAnsi="Georgia"/>
          <w:sz w:val="24"/>
          <w:szCs w:val="24"/>
        </w:rPr>
        <w:t xml:space="preserve">d capacity of </w:t>
      </w:r>
      <w:proofErr w:type="gramStart"/>
      <w:r w:rsidR="00C37247">
        <w:rPr>
          <w:rFonts w:ascii="Georgia" w:hAnsi="Georgia"/>
          <w:sz w:val="24"/>
          <w:szCs w:val="24"/>
        </w:rPr>
        <w:t>nearly</w:t>
      </w:r>
      <w:r w:rsidR="009F6BB8">
        <w:rPr>
          <w:rFonts w:ascii="Georgia" w:hAnsi="Georgia"/>
          <w:sz w:val="24"/>
          <w:szCs w:val="24"/>
        </w:rPr>
        <w:t xml:space="preserve"> 1,500</w:t>
      </w:r>
      <w:proofErr w:type="gramEnd"/>
      <w:r w:rsidR="009F6BB8">
        <w:rPr>
          <w:rFonts w:ascii="Georgia" w:hAnsi="Georgia"/>
          <w:sz w:val="24"/>
          <w:szCs w:val="24"/>
        </w:rPr>
        <w:t xml:space="preserve"> MW</w:t>
      </w:r>
      <w:r w:rsidR="00C37247">
        <w:rPr>
          <w:rFonts w:ascii="Georgia" w:hAnsi="Georgia"/>
          <w:sz w:val="24"/>
          <w:szCs w:val="24"/>
        </w:rPr>
        <w:t xml:space="preserve"> (the Canal facilities)</w:t>
      </w:r>
      <w:r w:rsidR="007D2F2D">
        <w:rPr>
          <w:rFonts w:ascii="Georgia" w:hAnsi="Georgia"/>
          <w:sz w:val="24"/>
          <w:szCs w:val="24"/>
        </w:rPr>
        <w:t xml:space="preserve"> located in the Southeast New England (SENE) sub-market of ISO-NE.</w:t>
      </w:r>
      <w:r w:rsidR="00D37190">
        <w:rPr>
          <w:rFonts w:ascii="Georgia" w:hAnsi="Georgia"/>
          <w:sz w:val="24"/>
          <w:szCs w:val="24"/>
        </w:rPr>
        <w:t xml:space="preserve"> </w:t>
      </w:r>
      <w:r w:rsidR="00700AB2">
        <w:rPr>
          <w:rFonts w:ascii="Georgia" w:hAnsi="Georgia"/>
          <w:sz w:val="24"/>
          <w:szCs w:val="24"/>
        </w:rPr>
        <w:t>JERA already owns two gas/oil power plants within the SENE market</w:t>
      </w:r>
      <w:r w:rsidR="00FB2744">
        <w:rPr>
          <w:rFonts w:ascii="Georgia" w:hAnsi="Georgia"/>
          <w:sz w:val="24"/>
          <w:szCs w:val="24"/>
        </w:rPr>
        <w:t>―</w:t>
      </w:r>
      <w:r w:rsidR="00000C05" w:rsidRPr="00000C05">
        <w:rPr>
          <w:rFonts w:ascii="Georgia" w:hAnsi="Georgia"/>
          <w:sz w:val="24"/>
          <w:szCs w:val="24"/>
        </w:rPr>
        <w:t>Dighton Power, a 200 MW natural gas fueled power plant, and Milford Power, a 231 MW gas-fired unit.</w:t>
      </w:r>
      <w:r w:rsidR="007E3783">
        <w:rPr>
          <w:rFonts w:ascii="Georgia" w:hAnsi="Georgia"/>
          <w:sz w:val="24"/>
          <w:szCs w:val="24"/>
        </w:rPr>
        <w:t xml:space="preserve"> The sale </w:t>
      </w:r>
      <w:r w:rsidR="00B274C6">
        <w:rPr>
          <w:rFonts w:ascii="Georgia" w:hAnsi="Georgia"/>
          <w:sz w:val="24"/>
          <w:szCs w:val="24"/>
        </w:rPr>
        <w:t xml:space="preserve">also </w:t>
      </w:r>
      <w:r w:rsidR="007E3783">
        <w:rPr>
          <w:rFonts w:ascii="Georgia" w:hAnsi="Georgia"/>
          <w:sz w:val="24"/>
          <w:szCs w:val="24"/>
        </w:rPr>
        <w:t xml:space="preserve">involves </w:t>
      </w:r>
      <w:r w:rsidR="00B274C6">
        <w:rPr>
          <w:rFonts w:ascii="Georgia" w:hAnsi="Georgia"/>
          <w:sz w:val="24"/>
          <w:szCs w:val="24"/>
        </w:rPr>
        <w:t xml:space="preserve">JERA acquiring Bucksport, a </w:t>
      </w:r>
      <w:r w:rsidR="007E3783">
        <w:rPr>
          <w:rFonts w:ascii="Georgia" w:hAnsi="Georgia"/>
          <w:sz w:val="24"/>
          <w:szCs w:val="24"/>
        </w:rPr>
        <w:t>160 MW gas/oil</w:t>
      </w:r>
      <w:r w:rsidR="00BB7604">
        <w:rPr>
          <w:rFonts w:ascii="Georgia" w:hAnsi="Georgia"/>
          <w:sz w:val="24"/>
          <w:szCs w:val="24"/>
        </w:rPr>
        <w:t xml:space="preserve"> fired power plant </w:t>
      </w:r>
      <w:r w:rsidR="00786336">
        <w:rPr>
          <w:rFonts w:ascii="Georgia" w:hAnsi="Georgia"/>
          <w:sz w:val="24"/>
          <w:szCs w:val="24"/>
        </w:rPr>
        <w:t>in Maine within ISO-NE.</w:t>
      </w:r>
    </w:p>
    <w:p w14:paraId="7CE3F07A" w14:textId="5B8855AD" w:rsidR="002B609C" w:rsidRDefault="0094633F" w:rsidP="00AC1DF1">
      <w:pPr>
        <w:spacing w:line="360" w:lineRule="auto"/>
        <w:ind w:firstLine="720"/>
        <w:rPr>
          <w:rFonts w:ascii="Georgia" w:hAnsi="Georgia"/>
          <w:sz w:val="24"/>
          <w:szCs w:val="24"/>
        </w:rPr>
      </w:pPr>
      <w:r>
        <w:rPr>
          <w:rFonts w:ascii="Georgia" w:hAnsi="Georgia"/>
          <w:sz w:val="24"/>
          <w:szCs w:val="24"/>
        </w:rPr>
        <w:lastRenderedPageBreak/>
        <w:t xml:space="preserve">The national government of </w:t>
      </w:r>
      <w:r w:rsidR="00715DE8">
        <w:rPr>
          <w:rFonts w:ascii="Georgia" w:hAnsi="Georgia"/>
          <w:sz w:val="24"/>
          <w:szCs w:val="24"/>
        </w:rPr>
        <w:t xml:space="preserve">Japan </w:t>
      </w:r>
      <w:r w:rsidR="00B82C79">
        <w:rPr>
          <w:rFonts w:ascii="Georgia" w:hAnsi="Georgia"/>
          <w:sz w:val="24"/>
          <w:szCs w:val="24"/>
        </w:rPr>
        <w:t>controls 13.7% of</w:t>
      </w:r>
      <w:r w:rsidR="00715DE8">
        <w:rPr>
          <w:rFonts w:ascii="Georgia" w:hAnsi="Georgia"/>
          <w:sz w:val="24"/>
          <w:szCs w:val="24"/>
        </w:rPr>
        <w:t xml:space="preserve"> JER</w:t>
      </w:r>
      <w:r w:rsidR="00676B23">
        <w:rPr>
          <w:rFonts w:ascii="Georgia" w:hAnsi="Georgia"/>
          <w:sz w:val="24"/>
          <w:szCs w:val="24"/>
        </w:rPr>
        <w:t>A, along with a collection of Japanese-based utilities</w:t>
      </w:r>
      <w:r w:rsidR="005C598B">
        <w:rPr>
          <w:rFonts w:ascii="Georgia" w:hAnsi="Georgia"/>
          <w:sz w:val="24"/>
          <w:szCs w:val="24"/>
        </w:rPr>
        <w:t>.</w:t>
      </w:r>
    </w:p>
    <w:p w14:paraId="043DA262" w14:textId="2BB45246" w:rsidR="00E64088" w:rsidRDefault="00AD670B" w:rsidP="00AC1DF1">
      <w:pPr>
        <w:spacing w:line="360" w:lineRule="auto"/>
        <w:ind w:firstLine="720"/>
        <w:rPr>
          <w:rFonts w:ascii="Georgia" w:hAnsi="Georgia"/>
          <w:sz w:val="24"/>
          <w:szCs w:val="24"/>
        </w:rPr>
      </w:pPr>
      <w:r>
        <w:rPr>
          <w:rFonts w:ascii="Georgia" w:hAnsi="Georgia"/>
          <w:sz w:val="24"/>
          <w:szCs w:val="24"/>
        </w:rPr>
        <w:t>T</w:t>
      </w:r>
      <w:r w:rsidR="004365FC">
        <w:rPr>
          <w:rFonts w:ascii="Georgia" w:hAnsi="Georgia"/>
          <w:sz w:val="24"/>
          <w:szCs w:val="24"/>
        </w:rPr>
        <w:t>he proposed transaction results in an increase in ownership concentration within the SENE market</w:t>
      </w:r>
      <w:r w:rsidR="008C27EB">
        <w:rPr>
          <w:rFonts w:ascii="Georgia" w:hAnsi="Georgia"/>
          <w:sz w:val="24"/>
          <w:szCs w:val="24"/>
        </w:rPr>
        <w:t xml:space="preserve"> relative to the status quo</w:t>
      </w:r>
      <w:r w:rsidR="004365FC">
        <w:rPr>
          <w:rFonts w:ascii="Georgia" w:hAnsi="Georgia"/>
          <w:sz w:val="24"/>
          <w:szCs w:val="24"/>
        </w:rPr>
        <w:t xml:space="preserve">. </w:t>
      </w:r>
      <w:r w:rsidR="00786336">
        <w:rPr>
          <w:rFonts w:ascii="Georgia" w:hAnsi="Georgia"/>
          <w:sz w:val="24"/>
          <w:szCs w:val="24"/>
        </w:rPr>
        <w:t>The application acknowledges that</w:t>
      </w:r>
      <w:r w:rsidR="006001A6">
        <w:rPr>
          <w:rFonts w:ascii="Georgia" w:hAnsi="Georgia"/>
          <w:sz w:val="24"/>
          <w:szCs w:val="24"/>
        </w:rPr>
        <w:t xml:space="preserve"> JERA’s </w:t>
      </w:r>
      <w:r w:rsidR="00DC2C3E">
        <w:rPr>
          <w:rFonts w:ascii="Georgia" w:hAnsi="Georgia"/>
          <w:sz w:val="24"/>
          <w:szCs w:val="24"/>
        </w:rPr>
        <w:t>acquisition</w:t>
      </w:r>
      <w:r w:rsidR="006001A6">
        <w:rPr>
          <w:rFonts w:ascii="Georgia" w:hAnsi="Georgia"/>
          <w:sz w:val="24"/>
          <w:szCs w:val="24"/>
        </w:rPr>
        <w:t xml:space="preserve"> of the very large Canal power plants, when combined with </w:t>
      </w:r>
      <w:r w:rsidR="00A40004">
        <w:rPr>
          <w:rFonts w:ascii="Georgia" w:hAnsi="Georgia"/>
          <w:sz w:val="24"/>
          <w:szCs w:val="24"/>
        </w:rPr>
        <w:t>its</w:t>
      </w:r>
      <w:r w:rsidR="006001A6">
        <w:rPr>
          <w:rFonts w:ascii="Georgia" w:hAnsi="Georgia"/>
          <w:sz w:val="24"/>
          <w:szCs w:val="24"/>
        </w:rPr>
        <w:t xml:space="preserve"> existin</w:t>
      </w:r>
      <w:r w:rsidR="00C93571">
        <w:rPr>
          <w:rFonts w:ascii="Georgia" w:hAnsi="Georgia"/>
          <w:sz w:val="24"/>
          <w:szCs w:val="24"/>
        </w:rPr>
        <w:t>g Dighton and Milford units, will result in JERA controlling 18</w:t>
      </w:r>
      <w:r w:rsidR="00045EFA">
        <w:rPr>
          <w:rFonts w:ascii="Georgia" w:hAnsi="Georgia"/>
          <w:sz w:val="24"/>
          <w:szCs w:val="24"/>
        </w:rPr>
        <w:t>.</w:t>
      </w:r>
      <w:r w:rsidR="000A6ABF">
        <w:rPr>
          <w:rFonts w:ascii="Georgia" w:hAnsi="Georgia"/>
          <w:sz w:val="24"/>
          <w:szCs w:val="24"/>
        </w:rPr>
        <w:t>5</w:t>
      </w:r>
      <w:r w:rsidR="00C93571">
        <w:rPr>
          <w:rFonts w:ascii="Georgia" w:hAnsi="Georgia"/>
          <w:sz w:val="24"/>
          <w:szCs w:val="24"/>
        </w:rPr>
        <w:t>% of the capacity within ISO-NE’s SENE submarket</w:t>
      </w:r>
      <w:r w:rsidR="0018276C">
        <w:rPr>
          <w:rFonts w:ascii="Georgia" w:hAnsi="Georgia"/>
          <w:sz w:val="24"/>
          <w:szCs w:val="24"/>
        </w:rPr>
        <w:t>―</w:t>
      </w:r>
      <w:r w:rsidR="001A00AA">
        <w:rPr>
          <w:rFonts w:ascii="Georgia" w:hAnsi="Georgia"/>
          <w:sz w:val="24"/>
          <w:szCs w:val="24"/>
        </w:rPr>
        <w:t>an increase from 3.7% pre-transaction.</w:t>
      </w:r>
      <w:r w:rsidR="001A00AA">
        <w:rPr>
          <w:rStyle w:val="FootnoteReference"/>
          <w:rFonts w:ascii="Georgia" w:hAnsi="Georgia"/>
          <w:sz w:val="24"/>
          <w:szCs w:val="24"/>
        </w:rPr>
        <w:footnoteReference w:id="1"/>
      </w:r>
      <w:r w:rsidR="00DA6121">
        <w:rPr>
          <w:rFonts w:ascii="Georgia" w:hAnsi="Georgia"/>
          <w:sz w:val="24"/>
          <w:szCs w:val="24"/>
        </w:rPr>
        <w:t xml:space="preserve"> Public Citizen is concerned that </w:t>
      </w:r>
      <w:r w:rsidR="00595573">
        <w:rPr>
          <w:rFonts w:ascii="Georgia" w:hAnsi="Georgia"/>
          <w:sz w:val="24"/>
          <w:szCs w:val="24"/>
        </w:rPr>
        <w:t xml:space="preserve">the </w:t>
      </w:r>
      <w:r w:rsidR="00DC2C3E">
        <w:rPr>
          <w:rFonts w:ascii="Georgia" w:hAnsi="Georgia"/>
          <w:sz w:val="24"/>
          <w:szCs w:val="24"/>
        </w:rPr>
        <w:t>acquisition</w:t>
      </w:r>
      <w:r w:rsidR="00595573">
        <w:rPr>
          <w:rFonts w:ascii="Georgia" w:hAnsi="Georgia"/>
          <w:sz w:val="24"/>
          <w:szCs w:val="24"/>
        </w:rPr>
        <w:t xml:space="preserve"> will result in JERA serving as a pivotal supplier </w:t>
      </w:r>
      <w:r w:rsidR="008059A7">
        <w:rPr>
          <w:rFonts w:ascii="Georgia" w:hAnsi="Georgia"/>
          <w:sz w:val="24"/>
          <w:szCs w:val="24"/>
        </w:rPr>
        <w:t xml:space="preserve">in future </w:t>
      </w:r>
      <w:r w:rsidR="00B8468E">
        <w:rPr>
          <w:rFonts w:ascii="Georgia" w:hAnsi="Georgia"/>
          <w:sz w:val="24"/>
          <w:szCs w:val="24"/>
        </w:rPr>
        <w:t>capacity auctions within SENE</w:t>
      </w:r>
      <w:r w:rsidR="00D11CF0">
        <w:rPr>
          <w:rFonts w:ascii="Georgia" w:hAnsi="Georgia"/>
          <w:sz w:val="24"/>
          <w:szCs w:val="24"/>
        </w:rPr>
        <w:t xml:space="preserve"> (and the energy market as well)</w:t>
      </w:r>
      <w:r w:rsidR="00B8468E">
        <w:rPr>
          <w:rFonts w:ascii="Georgia" w:hAnsi="Georgia"/>
          <w:sz w:val="24"/>
          <w:szCs w:val="24"/>
        </w:rPr>
        <w:t>, potentially threatening competition and rates.</w:t>
      </w:r>
      <w:r w:rsidR="00BE098C">
        <w:rPr>
          <w:rFonts w:ascii="Georgia" w:hAnsi="Georgia"/>
          <w:sz w:val="24"/>
          <w:szCs w:val="24"/>
        </w:rPr>
        <w:t xml:space="preserve"> Requiring JERA to divest</w:t>
      </w:r>
      <w:r w:rsidR="00280429">
        <w:rPr>
          <w:rFonts w:ascii="Georgia" w:hAnsi="Georgia"/>
          <w:sz w:val="24"/>
          <w:szCs w:val="24"/>
        </w:rPr>
        <w:t xml:space="preserve"> both its Dighton and Milford power plants </w:t>
      </w:r>
      <w:r w:rsidR="00824C29">
        <w:rPr>
          <w:rFonts w:ascii="Georgia" w:hAnsi="Georgia"/>
          <w:sz w:val="24"/>
          <w:szCs w:val="24"/>
        </w:rPr>
        <w:t xml:space="preserve">will </w:t>
      </w:r>
      <w:r w:rsidR="00AB7781">
        <w:rPr>
          <w:rFonts w:ascii="Georgia" w:hAnsi="Georgia"/>
          <w:sz w:val="24"/>
          <w:szCs w:val="24"/>
        </w:rPr>
        <w:t xml:space="preserve">help ensure that consumers are protected from potential threats to competition and </w:t>
      </w:r>
      <w:proofErr w:type="gramStart"/>
      <w:r w:rsidR="00AB7781">
        <w:rPr>
          <w:rFonts w:ascii="Georgia" w:hAnsi="Georgia"/>
          <w:sz w:val="24"/>
          <w:szCs w:val="24"/>
        </w:rPr>
        <w:t>rates</w:t>
      </w:r>
      <w:r w:rsidR="006024BA">
        <w:rPr>
          <w:rFonts w:ascii="Georgia" w:hAnsi="Georgia"/>
          <w:sz w:val="24"/>
          <w:szCs w:val="24"/>
        </w:rPr>
        <w:t>, and</w:t>
      </w:r>
      <w:proofErr w:type="gramEnd"/>
      <w:r w:rsidR="006024BA">
        <w:rPr>
          <w:rFonts w:ascii="Georgia" w:hAnsi="Georgia"/>
          <w:sz w:val="24"/>
          <w:szCs w:val="24"/>
        </w:rPr>
        <w:t xml:space="preserve"> will reduce</w:t>
      </w:r>
      <w:r w:rsidR="00D603C6">
        <w:rPr>
          <w:rFonts w:ascii="Georgia" w:hAnsi="Georgia"/>
          <w:sz w:val="24"/>
          <w:szCs w:val="24"/>
        </w:rPr>
        <w:t xml:space="preserve"> the level of market concentration within SENE that existed prior to the transaction with Stonepeak.</w:t>
      </w:r>
      <w:r w:rsidR="00B8468E">
        <w:rPr>
          <w:rFonts w:ascii="Georgia" w:hAnsi="Georgia"/>
          <w:sz w:val="24"/>
          <w:szCs w:val="24"/>
        </w:rPr>
        <w:t xml:space="preserve"> </w:t>
      </w:r>
    </w:p>
    <w:p w14:paraId="3D8F83D1" w14:textId="05966F6D" w:rsidR="00557A37" w:rsidRDefault="00D603C6" w:rsidP="00AC1DF1">
      <w:pPr>
        <w:spacing w:line="360" w:lineRule="auto"/>
        <w:ind w:firstLine="720"/>
        <w:rPr>
          <w:rFonts w:ascii="Georgia" w:hAnsi="Georgia"/>
          <w:sz w:val="24"/>
          <w:szCs w:val="24"/>
        </w:rPr>
      </w:pPr>
      <w:r>
        <w:rPr>
          <w:rFonts w:ascii="Georgia" w:hAnsi="Georgia"/>
          <w:sz w:val="24"/>
          <w:szCs w:val="24"/>
        </w:rPr>
        <w:t>In addition, t</w:t>
      </w:r>
      <w:r w:rsidR="000E68C0">
        <w:rPr>
          <w:rFonts w:ascii="Georgia" w:hAnsi="Georgia"/>
          <w:sz w:val="24"/>
          <w:szCs w:val="24"/>
        </w:rPr>
        <w:t xml:space="preserve">he application lacks necessary detail </w:t>
      </w:r>
      <w:r w:rsidR="00557A37">
        <w:rPr>
          <w:rFonts w:ascii="Georgia" w:hAnsi="Georgia"/>
          <w:sz w:val="24"/>
          <w:szCs w:val="24"/>
        </w:rPr>
        <w:t>to determine the capacity</w:t>
      </w:r>
      <w:r w:rsidR="009E0F8A">
        <w:rPr>
          <w:rFonts w:ascii="Georgia" w:hAnsi="Georgia"/>
          <w:sz w:val="24"/>
          <w:szCs w:val="24"/>
        </w:rPr>
        <w:t xml:space="preserve"> and energy</w:t>
      </w:r>
      <w:r w:rsidR="00557A37">
        <w:rPr>
          <w:rFonts w:ascii="Georgia" w:hAnsi="Georgia"/>
          <w:sz w:val="24"/>
          <w:szCs w:val="24"/>
        </w:rPr>
        <w:t xml:space="preserve"> market bidding of JERA’s </w:t>
      </w:r>
      <w:r w:rsidR="00B00F95">
        <w:rPr>
          <w:rFonts w:ascii="Georgia" w:hAnsi="Georgia"/>
          <w:sz w:val="24"/>
          <w:szCs w:val="24"/>
        </w:rPr>
        <w:t xml:space="preserve">generation assets in NYISO </w:t>
      </w:r>
      <w:r w:rsidR="009E0F8A">
        <w:rPr>
          <w:rFonts w:ascii="Georgia" w:hAnsi="Georgia"/>
          <w:sz w:val="24"/>
          <w:szCs w:val="24"/>
        </w:rPr>
        <w:t>that could be sold into ISO-NE</w:t>
      </w:r>
      <w:r w:rsidR="00CF673E">
        <w:rPr>
          <w:rFonts w:ascii="Georgia" w:hAnsi="Georgia"/>
          <w:sz w:val="24"/>
          <w:szCs w:val="24"/>
        </w:rPr>
        <w:t xml:space="preserve">, particularly the </w:t>
      </w:r>
      <w:r w:rsidR="00CF673E" w:rsidRPr="00CF673E">
        <w:rPr>
          <w:rFonts w:ascii="Georgia" w:hAnsi="Georgia"/>
          <w:sz w:val="24"/>
          <w:szCs w:val="24"/>
        </w:rPr>
        <w:t xml:space="preserve">nearly 1,200 MW Cricket Valley gas-fired power plant that is </w:t>
      </w:r>
      <w:r w:rsidR="00CF673E">
        <w:rPr>
          <w:rFonts w:ascii="Georgia" w:hAnsi="Georgia"/>
          <w:sz w:val="24"/>
          <w:szCs w:val="24"/>
        </w:rPr>
        <w:t xml:space="preserve">located </w:t>
      </w:r>
      <w:r w:rsidR="00E0517C">
        <w:rPr>
          <w:rFonts w:ascii="Georgia" w:hAnsi="Georgia"/>
          <w:sz w:val="24"/>
          <w:szCs w:val="24"/>
        </w:rPr>
        <w:t>less than</w:t>
      </w:r>
      <w:r w:rsidR="00CF673E" w:rsidRPr="00CF673E">
        <w:rPr>
          <w:rFonts w:ascii="Georgia" w:hAnsi="Georgia"/>
          <w:sz w:val="24"/>
          <w:szCs w:val="24"/>
        </w:rPr>
        <w:t xml:space="preserve"> 2 miles from the ISO-NE border</w:t>
      </w:r>
      <w:r w:rsidR="00E173FB">
        <w:rPr>
          <w:rFonts w:ascii="Georgia" w:hAnsi="Georgia"/>
          <w:sz w:val="24"/>
          <w:szCs w:val="24"/>
        </w:rPr>
        <w:t xml:space="preserve"> at the </w:t>
      </w:r>
      <w:r w:rsidR="00E173FB" w:rsidRPr="00E173FB">
        <w:rPr>
          <w:rFonts w:ascii="Georgia" w:hAnsi="Georgia"/>
          <w:sz w:val="24"/>
          <w:szCs w:val="24"/>
        </w:rPr>
        <w:t>398 Intertie</w:t>
      </w:r>
      <w:r w:rsidR="00E173FB">
        <w:rPr>
          <w:rFonts w:ascii="Georgia" w:hAnsi="Georgia"/>
          <w:sz w:val="24"/>
          <w:szCs w:val="24"/>
        </w:rPr>
        <w:t xml:space="preserve"> that directly connects</w:t>
      </w:r>
      <w:r w:rsidR="00241FB3">
        <w:rPr>
          <w:rFonts w:ascii="Georgia" w:hAnsi="Georgia"/>
          <w:sz w:val="24"/>
          <w:szCs w:val="24"/>
        </w:rPr>
        <w:t xml:space="preserve"> NYISO and ISO-NE</w:t>
      </w:r>
      <w:r w:rsidR="00CF673E">
        <w:rPr>
          <w:rFonts w:ascii="Georgia" w:hAnsi="Georgia"/>
          <w:sz w:val="24"/>
          <w:szCs w:val="24"/>
        </w:rPr>
        <w:t>.</w:t>
      </w:r>
      <w:r w:rsidR="00A86025">
        <w:rPr>
          <w:rFonts w:ascii="Georgia" w:hAnsi="Georgia"/>
          <w:sz w:val="24"/>
          <w:szCs w:val="24"/>
        </w:rPr>
        <w:t xml:space="preserve"> </w:t>
      </w:r>
      <w:r w:rsidR="00241FB3">
        <w:rPr>
          <w:rFonts w:ascii="Georgia" w:hAnsi="Georgia"/>
          <w:sz w:val="24"/>
          <w:szCs w:val="24"/>
        </w:rPr>
        <w:t>Cricket Valley was designed for its ability to access both the NYISO and ISO-NE markets, yet n</w:t>
      </w:r>
      <w:r w:rsidR="00A86025">
        <w:rPr>
          <w:rFonts w:ascii="Georgia" w:hAnsi="Georgia"/>
          <w:sz w:val="24"/>
          <w:szCs w:val="24"/>
        </w:rPr>
        <w:t xml:space="preserve">either the application nor </w:t>
      </w:r>
      <w:r w:rsidR="006E0BFB">
        <w:rPr>
          <w:rFonts w:ascii="Georgia" w:hAnsi="Georgia"/>
          <w:sz w:val="24"/>
          <w:szCs w:val="24"/>
        </w:rPr>
        <w:t xml:space="preserve">the affidavit in Attachment 3 provide any detail on Cricket Valley’s </w:t>
      </w:r>
      <w:r w:rsidR="00190594">
        <w:rPr>
          <w:rFonts w:ascii="Georgia" w:hAnsi="Georgia"/>
          <w:sz w:val="24"/>
          <w:szCs w:val="24"/>
        </w:rPr>
        <w:t>potential to threaten competition and rates in ISO-NE</w:t>
      </w:r>
      <w:r w:rsidR="00AA78B9">
        <w:rPr>
          <w:rFonts w:ascii="Georgia" w:hAnsi="Georgia"/>
          <w:sz w:val="24"/>
          <w:szCs w:val="24"/>
        </w:rPr>
        <w:t xml:space="preserve"> in light of JERA’s proposed acquisition of significant</w:t>
      </w:r>
      <w:r w:rsidR="00D02181">
        <w:rPr>
          <w:rFonts w:ascii="Georgia" w:hAnsi="Georgia"/>
          <w:sz w:val="24"/>
          <w:szCs w:val="24"/>
        </w:rPr>
        <w:t xml:space="preserve"> additional</w:t>
      </w:r>
      <w:r w:rsidR="00E57288">
        <w:rPr>
          <w:rFonts w:ascii="Georgia" w:hAnsi="Georgia"/>
          <w:sz w:val="24"/>
          <w:szCs w:val="24"/>
        </w:rPr>
        <w:t xml:space="preserve"> generation capacity in ISO-NE.</w:t>
      </w:r>
      <w:r w:rsidR="00E117A1">
        <w:rPr>
          <w:rFonts w:ascii="Georgia" w:hAnsi="Georgia"/>
          <w:sz w:val="24"/>
          <w:szCs w:val="24"/>
        </w:rPr>
        <w:t xml:space="preserve"> Indeed, JERA’s Cricket Valley </w:t>
      </w:r>
      <w:r w:rsidR="00D739D0">
        <w:rPr>
          <w:rFonts w:ascii="Georgia" w:hAnsi="Georgia"/>
          <w:sz w:val="24"/>
          <w:szCs w:val="24"/>
        </w:rPr>
        <w:t xml:space="preserve">filed a </w:t>
      </w:r>
      <w:r w:rsidR="00022C4D">
        <w:rPr>
          <w:rFonts w:ascii="Georgia" w:hAnsi="Georgia"/>
          <w:sz w:val="24"/>
          <w:szCs w:val="24"/>
        </w:rPr>
        <w:t xml:space="preserve">206 complaint in October 2020 complaining that NYISO’s capacity market </w:t>
      </w:r>
      <w:r w:rsidR="00805960">
        <w:rPr>
          <w:rFonts w:ascii="Georgia" w:hAnsi="Georgia"/>
          <w:sz w:val="24"/>
          <w:szCs w:val="24"/>
        </w:rPr>
        <w:t>provides inadequate compensation</w:t>
      </w:r>
      <w:r w:rsidR="00022C4D">
        <w:rPr>
          <w:rFonts w:ascii="Georgia" w:hAnsi="Georgia"/>
          <w:sz w:val="24"/>
          <w:szCs w:val="24"/>
        </w:rPr>
        <w:t xml:space="preserve"> and asked FERC to significantly boost payments </w:t>
      </w:r>
      <w:r w:rsidR="00710F07">
        <w:rPr>
          <w:rFonts w:ascii="Georgia" w:hAnsi="Georgia"/>
          <w:sz w:val="24"/>
          <w:szCs w:val="24"/>
        </w:rPr>
        <w:t xml:space="preserve">for </w:t>
      </w:r>
      <w:r w:rsidR="00525588">
        <w:rPr>
          <w:rFonts w:ascii="Georgia" w:hAnsi="Georgia"/>
          <w:sz w:val="24"/>
          <w:szCs w:val="24"/>
        </w:rPr>
        <w:t>its</w:t>
      </w:r>
      <w:r w:rsidR="00710F07">
        <w:rPr>
          <w:rFonts w:ascii="Georgia" w:hAnsi="Georgia"/>
          <w:sz w:val="24"/>
          <w:szCs w:val="24"/>
        </w:rPr>
        <w:t xml:space="preserve"> </w:t>
      </w:r>
      <w:r w:rsidR="00525588">
        <w:rPr>
          <w:rFonts w:ascii="Georgia" w:hAnsi="Georgia"/>
          <w:sz w:val="24"/>
          <w:szCs w:val="24"/>
        </w:rPr>
        <w:t xml:space="preserve">natural gas </w:t>
      </w:r>
      <w:r w:rsidR="00710F07">
        <w:rPr>
          <w:rFonts w:ascii="Georgia" w:hAnsi="Georgia"/>
          <w:sz w:val="24"/>
          <w:szCs w:val="24"/>
        </w:rPr>
        <w:t>facilit</w:t>
      </w:r>
      <w:r w:rsidR="00525588">
        <w:rPr>
          <w:rFonts w:ascii="Georgia" w:hAnsi="Georgia"/>
          <w:sz w:val="24"/>
          <w:szCs w:val="24"/>
        </w:rPr>
        <w:t>y</w:t>
      </w:r>
      <w:r w:rsidR="00710F07">
        <w:rPr>
          <w:rFonts w:ascii="Georgia" w:hAnsi="Georgia"/>
          <w:sz w:val="24"/>
          <w:szCs w:val="24"/>
        </w:rPr>
        <w:t>.</w:t>
      </w:r>
      <w:r w:rsidR="00710F07">
        <w:rPr>
          <w:rStyle w:val="FootnoteReference"/>
          <w:rFonts w:ascii="Georgia" w:hAnsi="Georgia"/>
          <w:sz w:val="24"/>
          <w:szCs w:val="24"/>
        </w:rPr>
        <w:footnoteReference w:id="2"/>
      </w:r>
      <w:r w:rsidR="0057409D">
        <w:rPr>
          <w:rFonts w:ascii="Georgia" w:hAnsi="Georgia"/>
          <w:sz w:val="24"/>
          <w:szCs w:val="24"/>
        </w:rPr>
        <w:t xml:space="preserve"> JERA’s dissatisfaction with financial returns in NYISO could be a motivating factor to </w:t>
      </w:r>
      <w:r w:rsidR="00012F18">
        <w:rPr>
          <w:rFonts w:ascii="Georgia" w:hAnsi="Georgia"/>
          <w:sz w:val="24"/>
          <w:szCs w:val="24"/>
        </w:rPr>
        <w:t>invest in expanding its concentration of generation ownership in ISO-NE</w:t>
      </w:r>
      <w:r w:rsidR="00430E13">
        <w:rPr>
          <w:rFonts w:ascii="Georgia" w:hAnsi="Georgia"/>
          <w:sz w:val="24"/>
          <w:szCs w:val="24"/>
        </w:rPr>
        <w:t xml:space="preserve"> in order to maximize revenues, potentially at the expense of just and reasonable rates in ISO-NE.</w:t>
      </w:r>
    </w:p>
    <w:p w14:paraId="7BDA4197" w14:textId="604EB299" w:rsidR="00F1079E" w:rsidRDefault="00432836" w:rsidP="00AC1DF1">
      <w:pPr>
        <w:spacing w:line="360" w:lineRule="auto"/>
        <w:rPr>
          <w:rFonts w:ascii="Georgia" w:hAnsi="Georgia"/>
          <w:sz w:val="24"/>
          <w:szCs w:val="24"/>
        </w:rPr>
      </w:pPr>
      <w:r>
        <w:rPr>
          <w:rFonts w:ascii="Georgia" w:hAnsi="Georgia"/>
          <w:sz w:val="24"/>
          <w:szCs w:val="24"/>
        </w:rPr>
        <w:lastRenderedPageBreak/>
        <w:tab/>
      </w:r>
      <w:r w:rsidR="00D904B3">
        <w:rPr>
          <w:rFonts w:ascii="Georgia" w:hAnsi="Georgia"/>
          <w:sz w:val="24"/>
          <w:szCs w:val="24"/>
        </w:rPr>
        <w:t>Second</w:t>
      </w:r>
      <w:r>
        <w:rPr>
          <w:rFonts w:ascii="Georgia" w:hAnsi="Georgia"/>
          <w:sz w:val="24"/>
          <w:szCs w:val="24"/>
        </w:rPr>
        <w:t xml:space="preserve">, </w:t>
      </w:r>
      <w:r w:rsidR="00A13D5D">
        <w:rPr>
          <w:rFonts w:ascii="Georgia" w:hAnsi="Georgia"/>
          <w:sz w:val="24"/>
          <w:szCs w:val="24"/>
        </w:rPr>
        <w:t xml:space="preserve">the joint application fails to address </w:t>
      </w:r>
      <w:r w:rsidR="002B0964">
        <w:rPr>
          <w:rFonts w:ascii="Georgia" w:hAnsi="Georgia"/>
          <w:sz w:val="24"/>
          <w:szCs w:val="24"/>
        </w:rPr>
        <w:t xml:space="preserve">the potential for JERA to utilize the </w:t>
      </w:r>
      <w:proofErr w:type="gramStart"/>
      <w:r w:rsidR="002B0964">
        <w:rPr>
          <w:rFonts w:ascii="Georgia" w:hAnsi="Georgia"/>
          <w:sz w:val="24"/>
          <w:szCs w:val="24"/>
        </w:rPr>
        <w:t>newly-</w:t>
      </w:r>
      <w:r w:rsidR="00543CA8">
        <w:rPr>
          <w:rFonts w:ascii="Georgia" w:hAnsi="Georgia"/>
          <w:sz w:val="24"/>
          <w:szCs w:val="24"/>
        </w:rPr>
        <w:t>acquired</w:t>
      </w:r>
      <w:proofErr w:type="gramEnd"/>
      <w:r w:rsidR="002B0964">
        <w:rPr>
          <w:rFonts w:ascii="Georgia" w:hAnsi="Georgia"/>
          <w:sz w:val="24"/>
          <w:szCs w:val="24"/>
        </w:rPr>
        <w:t xml:space="preserve"> duel-fuel generation units</w:t>
      </w:r>
      <w:r w:rsidR="0076087D">
        <w:rPr>
          <w:rFonts w:ascii="Georgia" w:hAnsi="Georgia"/>
          <w:sz w:val="24"/>
          <w:szCs w:val="24"/>
        </w:rPr>
        <w:t xml:space="preserve"> (both Canal and Bucksport)</w:t>
      </w:r>
      <w:r w:rsidR="002B0964">
        <w:rPr>
          <w:rFonts w:ascii="Georgia" w:hAnsi="Georgia"/>
          <w:sz w:val="24"/>
          <w:szCs w:val="24"/>
        </w:rPr>
        <w:t xml:space="preserve"> to uncompetitively exploit certain ISO-NE out-of-market payments, such as pay-for-performance</w:t>
      </w:r>
      <w:r w:rsidR="000E5CAE">
        <w:rPr>
          <w:rFonts w:ascii="Georgia" w:hAnsi="Georgia"/>
          <w:sz w:val="24"/>
          <w:szCs w:val="24"/>
        </w:rPr>
        <w:t xml:space="preserve"> incentives</w:t>
      </w:r>
      <w:r w:rsidR="00DC6C9C">
        <w:rPr>
          <w:rFonts w:ascii="Georgia" w:hAnsi="Georgia"/>
          <w:sz w:val="24"/>
          <w:szCs w:val="24"/>
        </w:rPr>
        <w:t>.</w:t>
      </w:r>
      <w:r w:rsidR="0008507D">
        <w:rPr>
          <w:rFonts w:ascii="Georgia" w:hAnsi="Georgia"/>
          <w:sz w:val="24"/>
          <w:szCs w:val="24"/>
        </w:rPr>
        <w:t xml:space="preserve"> Additional detail on the current and expected out-of-market payments for the proposed acquired generation resources </w:t>
      </w:r>
      <w:proofErr w:type="gramStart"/>
      <w:r w:rsidR="0008507D">
        <w:rPr>
          <w:rFonts w:ascii="Georgia" w:hAnsi="Georgia"/>
          <w:sz w:val="24"/>
          <w:szCs w:val="24"/>
        </w:rPr>
        <w:t>is required</w:t>
      </w:r>
      <w:proofErr w:type="gramEnd"/>
      <w:r w:rsidR="0008507D">
        <w:rPr>
          <w:rFonts w:ascii="Georgia" w:hAnsi="Georgia"/>
          <w:sz w:val="24"/>
          <w:szCs w:val="24"/>
        </w:rPr>
        <w:t xml:space="preserve"> to assess </w:t>
      </w:r>
      <w:r w:rsidR="00786117">
        <w:rPr>
          <w:rFonts w:ascii="Georgia" w:hAnsi="Georgia"/>
          <w:sz w:val="24"/>
          <w:szCs w:val="24"/>
        </w:rPr>
        <w:t>the transaction’s impact on competition and rates.</w:t>
      </w:r>
    </w:p>
    <w:p w14:paraId="1C375E79" w14:textId="26466FF5" w:rsidR="00972F05" w:rsidRDefault="00DC6C9C" w:rsidP="00AC1DF1">
      <w:pPr>
        <w:spacing w:line="360" w:lineRule="auto"/>
        <w:rPr>
          <w:rFonts w:ascii="Georgia" w:hAnsi="Georgia"/>
          <w:sz w:val="24"/>
          <w:szCs w:val="24"/>
        </w:rPr>
      </w:pPr>
      <w:r>
        <w:rPr>
          <w:rFonts w:ascii="Georgia" w:hAnsi="Georgia"/>
          <w:sz w:val="24"/>
          <w:szCs w:val="24"/>
        </w:rPr>
        <w:tab/>
      </w:r>
      <w:r w:rsidR="008B4FA6">
        <w:rPr>
          <w:rFonts w:ascii="Georgia" w:hAnsi="Georgia"/>
          <w:sz w:val="24"/>
          <w:szCs w:val="24"/>
        </w:rPr>
        <w:t>Third</w:t>
      </w:r>
      <w:r>
        <w:rPr>
          <w:rFonts w:ascii="Georgia" w:hAnsi="Georgia"/>
          <w:sz w:val="24"/>
          <w:szCs w:val="24"/>
        </w:rPr>
        <w:t xml:space="preserve">, </w:t>
      </w:r>
      <w:r w:rsidR="00605794">
        <w:rPr>
          <w:rFonts w:ascii="Georgia" w:hAnsi="Georgia"/>
          <w:sz w:val="24"/>
          <w:szCs w:val="24"/>
        </w:rPr>
        <w:t>we object to the</w:t>
      </w:r>
      <w:r w:rsidR="00142776">
        <w:rPr>
          <w:rFonts w:ascii="Georgia" w:hAnsi="Georgia"/>
          <w:sz w:val="24"/>
          <w:szCs w:val="24"/>
        </w:rPr>
        <w:t xml:space="preserve"> confidential treatment</w:t>
      </w:r>
      <w:r w:rsidR="00605794">
        <w:rPr>
          <w:rFonts w:ascii="Georgia" w:hAnsi="Georgia"/>
          <w:sz w:val="24"/>
          <w:szCs w:val="24"/>
        </w:rPr>
        <w:t xml:space="preserve"> of the sales price of the </w:t>
      </w:r>
      <w:proofErr w:type="gramStart"/>
      <w:r w:rsidR="00605794">
        <w:rPr>
          <w:rFonts w:ascii="Georgia" w:hAnsi="Georgia"/>
          <w:sz w:val="24"/>
          <w:szCs w:val="24"/>
        </w:rPr>
        <w:t>transaction</w:t>
      </w:r>
      <w:r w:rsidR="006121F6">
        <w:rPr>
          <w:rFonts w:ascii="Georgia" w:hAnsi="Georgia"/>
          <w:sz w:val="24"/>
          <w:szCs w:val="24"/>
        </w:rPr>
        <w:t>, and</w:t>
      </w:r>
      <w:proofErr w:type="gramEnd"/>
      <w:r w:rsidR="006121F6">
        <w:rPr>
          <w:rFonts w:ascii="Georgia" w:hAnsi="Georgia"/>
          <w:sz w:val="24"/>
          <w:szCs w:val="24"/>
        </w:rPr>
        <w:t xml:space="preserve"> ask the Commission to release it</w:t>
      </w:r>
      <w:r w:rsidR="00F61775">
        <w:rPr>
          <w:rFonts w:ascii="Georgia" w:hAnsi="Georgia"/>
          <w:sz w:val="24"/>
          <w:szCs w:val="24"/>
        </w:rPr>
        <w:t xml:space="preserve"> </w:t>
      </w:r>
      <w:r w:rsidR="00786117">
        <w:rPr>
          <w:rFonts w:ascii="Georgia" w:hAnsi="Georgia"/>
          <w:sz w:val="24"/>
          <w:szCs w:val="24"/>
        </w:rPr>
        <w:t xml:space="preserve">per </w:t>
      </w:r>
      <w:r w:rsidR="00F61775" w:rsidRPr="00472BDE">
        <w:rPr>
          <w:rFonts w:ascii="Georgia" w:hAnsi="Georgia"/>
          <w:sz w:val="24"/>
          <w:szCs w:val="24"/>
        </w:rPr>
        <w:t>18 CFR § 388.112(e)</w:t>
      </w:r>
      <w:r w:rsidR="00605794">
        <w:rPr>
          <w:rFonts w:ascii="Georgia" w:hAnsi="Georgia"/>
          <w:sz w:val="24"/>
          <w:szCs w:val="24"/>
        </w:rPr>
        <w:t>.</w:t>
      </w:r>
      <w:r w:rsidR="0071791F">
        <w:rPr>
          <w:rFonts w:ascii="Georgia" w:hAnsi="Georgia"/>
          <w:sz w:val="24"/>
          <w:szCs w:val="24"/>
        </w:rPr>
        <w:t xml:space="preserve"> The purchase/sales price of power generation transactions reveal information</w:t>
      </w:r>
      <w:r w:rsidR="00F61775">
        <w:rPr>
          <w:rFonts w:ascii="Georgia" w:hAnsi="Georgia"/>
          <w:sz w:val="24"/>
          <w:szCs w:val="24"/>
        </w:rPr>
        <w:t xml:space="preserve"> essential to the public interest</w:t>
      </w:r>
      <w:r w:rsidR="0071791F">
        <w:rPr>
          <w:rFonts w:ascii="Georgia" w:hAnsi="Georgia"/>
          <w:sz w:val="24"/>
          <w:szCs w:val="24"/>
        </w:rPr>
        <w:t xml:space="preserve"> about the buyer’s </w:t>
      </w:r>
      <w:r w:rsidR="00F43496">
        <w:rPr>
          <w:rFonts w:ascii="Georgia" w:hAnsi="Georgia"/>
          <w:sz w:val="24"/>
          <w:szCs w:val="24"/>
        </w:rPr>
        <w:t xml:space="preserve">expectation of economic return of the asset. </w:t>
      </w:r>
      <w:r w:rsidR="000021B2">
        <w:rPr>
          <w:rFonts w:ascii="Georgia" w:hAnsi="Georgia"/>
          <w:sz w:val="24"/>
          <w:szCs w:val="24"/>
        </w:rPr>
        <w:t>H</w:t>
      </w:r>
      <w:r w:rsidR="0009146F">
        <w:rPr>
          <w:rFonts w:ascii="Georgia" w:hAnsi="Georgia"/>
          <w:sz w:val="24"/>
          <w:szCs w:val="24"/>
        </w:rPr>
        <w:t xml:space="preserve">istorically nearly all power generation sale transactions involved </w:t>
      </w:r>
      <w:proofErr w:type="gramStart"/>
      <w:r w:rsidR="0009146F">
        <w:rPr>
          <w:rFonts w:ascii="Georgia" w:hAnsi="Georgia"/>
          <w:sz w:val="24"/>
          <w:szCs w:val="24"/>
        </w:rPr>
        <w:t>publicly-traded</w:t>
      </w:r>
      <w:proofErr w:type="gramEnd"/>
      <w:r w:rsidR="0009146F">
        <w:rPr>
          <w:rFonts w:ascii="Georgia" w:hAnsi="Georgia"/>
          <w:sz w:val="24"/>
          <w:szCs w:val="24"/>
        </w:rPr>
        <w:t xml:space="preserve"> companies, </w:t>
      </w:r>
      <w:r w:rsidR="0037690F">
        <w:rPr>
          <w:rFonts w:ascii="Georgia" w:hAnsi="Georgia"/>
          <w:sz w:val="24"/>
          <w:szCs w:val="24"/>
        </w:rPr>
        <w:t xml:space="preserve">and as </w:t>
      </w:r>
      <w:r w:rsidR="007D2089">
        <w:rPr>
          <w:rFonts w:ascii="Georgia" w:hAnsi="Georgia"/>
          <w:sz w:val="24"/>
          <w:szCs w:val="24"/>
        </w:rPr>
        <w:t>a result such</w:t>
      </w:r>
      <w:r w:rsidR="0009146F">
        <w:rPr>
          <w:rFonts w:ascii="Georgia" w:hAnsi="Georgia"/>
          <w:sz w:val="24"/>
          <w:szCs w:val="24"/>
        </w:rPr>
        <w:t xml:space="preserve"> information has been routinely public. </w:t>
      </w:r>
      <w:r w:rsidR="00896AFA" w:rsidRPr="00B961B9">
        <w:rPr>
          <w:rFonts w:ascii="Georgia" w:hAnsi="Georgia"/>
          <w:sz w:val="24"/>
          <w:szCs w:val="24"/>
        </w:rPr>
        <w:t>Section 201 of the Federal Power Act states “that the business of transmitting and selling electric energy for ultimate distribution to the public is affected with a public interest</w:t>
      </w:r>
      <w:r w:rsidR="007D2089">
        <w:rPr>
          <w:rFonts w:ascii="Georgia" w:hAnsi="Georgia"/>
          <w:sz w:val="24"/>
          <w:szCs w:val="24"/>
        </w:rPr>
        <w:t>.</w:t>
      </w:r>
      <w:r w:rsidR="00896AFA" w:rsidRPr="00B961B9">
        <w:rPr>
          <w:rFonts w:ascii="Georgia" w:hAnsi="Georgia"/>
          <w:sz w:val="24"/>
          <w:szCs w:val="24"/>
        </w:rPr>
        <w:t>”</w:t>
      </w:r>
      <w:r w:rsidR="00896AFA">
        <w:rPr>
          <w:rStyle w:val="FootnoteReference"/>
          <w:rFonts w:ascii="Georgia" w:hAnsi="Georgia"/>
          <w:sz w:val="24"/>
          <w:szCs w:val="24"/>
        </w:rPr>
        <w:footnoteReference w:id="3"/>
      </w:r>
      <w:r w:rsidR="007D2089">
        <w:rPr>
          <w:rFonts w:ascii="Georgia" w:hAnsi="Georgia"/>
          <w:sz w:val="24"/>
          <w:szCs w:val="24"/>
        </w:rPr>
        <w:t xml:space="preserve"> </w:t>
      </w:r>
      <w:r w:rsidR="00DD3E50">
        <w:rPr>
          <w:rFonts w:ascii="Georgia" w:hAnsi="Georgia"/>
          <w:sz w:val="24"/>
          <w:szCs w:val="24"/>
        </w:rPr>
        <w:t xml:space="preserve">It is necessary for the public interest for the </w:t>
      </w:r>
      <w:r w:rsidR="00E732AD">
        <w:rPr>
          <w:rFonts w:ascii="Georgia" w:hAnsi="Georgia"/>
          <w:sz w:val="24"/>
          <w:szCs w:val="24"/>
        </w:rPr>
        <w:t xml:space="preserve">purchase price of the power plants to </w:t>
      </w:r>
      <w:proofErr w:type="gramStart"/>
      <w:r w:rsidR="00E732AD">
        <w:rPr>
          <w:rFonts w:ascii="Georgia" w:hAnsi="Georgia"/>
          <w:sz w:val="24"/>
          <w:szCs w:val="24"/>
        </w:rPr>
        <w:t>be made</w:t>
      </w:r>
      <w:proofErr w:type="gramEnd"/>
      <w:r w:rsidR="00E732AD">
        <w:rPr>
          <w:rFonts w:ascii="Georgia" w:hAnsi="Georgia"/>
          <w:sz w:val="24"/>
          <w:szCs w:val="24"/>
        </w:rPr>
        <w:t xml:space="preserve"> public.</w:t>
      </w:r>
    </w:p>
    <w:p w14:paraId="42BB8363" w14:textId="58111984" w:rsidR="00543CA8" w:rsidRDefault="006F6332" w:rsidP="00786117">
      <w:pPr>
        <w:spacing w:line="360" w:lineRule="auto"/>
        <w:rPr>
          <w:rFonts w:ascii="Georgia" w:hAnsi="Georgia"/>
          <w:sz w:val="24"/>
          <w:szCs w:val="24"/>
        </w:rPr>
      </w:pPr>
      <w:r>
        <w:rPr>
          <w:rFonts w:ascii="Georgia" w:hAnsi="Georgia"/>
          <w:sz w:val="24"/>
          <w:szCs w:val="24"/>
        </w:rPr>
        <w:tab/>
      </w:r>
      <w:r w:rsidR="00935577">
        <w:rPr>
          <w:rFonts w:ascii="Georgia" w:hAnsi="Georgia"/>
          <w:sz w:val="24"/>
          <w:szCs w:val="24"/>
        </w:rPr>
        <w:t xml:space="preserve">Finally, </w:t>
      </w:r>
      <w:r w:rsidR="00C77703">
        <w:rPr>
          <w:rFonts w:ascii="Georgia" w:hAnsi="Georgia"/>
          <w:sz w:val="24"/>
          <w:szCs w:val="24"/>
        </w:rPr>
        <w:t xml:space="preserve">the application is silent on the </w:t>
      </w:r>
      <w:r w:rsidR="005079AA">
        <w:rPr>
          <w:rFonts w:ascii="Georgia" w:hAnsi="Georgia"/>
          <w:sz w:val="24"/>
          <w:szCs w:val="24"/>
        </w:rPr>
        <w:t xml:space="preserve">roles that JERA will have as a voting member of the </w:t>
      </w:r>
      <w:r w:rsidR="00935577">
        <w:rPr>
          <w:rFonts w:ascii="Georgia" w:hAnsi="Georgia"/>
          <w:sz w:val="24"/>
          <w:szCs w:val="24"/>
        </w:rPr>
        <w:t>ISO-NE stakeholder process administered by NEPOOL</w:t>
      </w:r>
      <w:r w:rsidR="00871913">
        <w:rPr>
          <w:rFonts w:ascii="Georgia" w:hAnsi="Georgia"/>
          <w:sz w:val="24"/>
          <w:szCs w:val="24"/>
        </w:rPr>
        <w:t>. The Commission has determined that voting rights within an ISO stakeholder process directly affects just and reasonable rates.</w:t>
      </w:r>
      <w:r w:rsidR="00BB78D0">
        <w:rPr>
          <w:rStyle w:val="FootnoteReference"/>
          <w:rFonts w:ascii="Georgia" w:hAnsi="Georgia"/>
          <w:sz w:val="24"/>
          <w:szCs w:val="24"/>
        </w:rPr>
        <w:footnoteReference w:id="4"/>
      </w:r>
      <w:r w:rsidR="00F57E24">
        <w:rPr>
          <w:rFonts w:ascii="Georgia" w:hAnsi="Georgia"/>
          <w:sz w:val="24"/>
          <w:szCs w:val="24"/>
        </w:rPr>
        <w:t xml:space="preserve"> </w:t>
      </w:r>
      <w:r w:rsidR="00935577">
        <w:rPr>
          <w:rFonts w:ascii="Georgia" w:hAnsi="Georgia"/>
          <w:sz w:val="24"/>
          <w:szCs w:val="24"/>
        </w:rPr>
        <w:t>NEPOOL, which currently bans the general public from being able to witness (let alone participate)</w:t>
      </w:r>
      <w:r w:rsidR="00A524C4">
        <w:rPr>
          <w:rFonts w:ascii="Georgia" w:hAnsi="Georgia"/>
          <w:sz w:val="24"/>
          <w:szCs w:val="24"/>
        </w:rPr>
        <w:t xml:space="preserve"> in matters pertaining to electric rates, </w:t>
      </w:r>
      <w:r w:rsidR="00B730DB">
        <w:rPr>
          <w:rFonts w:ascii="Georgia" w:hAnsi="Georgia"/>
          <w:sz w:val="24"/>
          <w:szCs w:val="24"/>
        </w:rPr>
        <w:t xml:space="preserve">allows </w:t>
      </w:r>
      <w:r w:rsidR="0024119D">
        <w:rPr>
          <w:rFonts w:ascii="Georgia" w:hAnsi="Georgia"/>
          <w:sz w:val="24"/>
          <w:szCs w:val="24"/>
        </w:rPr>
        <w:t>corporations with vested interest</w:t>
      </w:r>
      <w:r w:rsidR="00312C14">
        <w:rPr>
          <w:rFonts w:ascii="Georgia" w:hAnsi="Georgia"/>
          <w:sz w:val="24"/>
          <w:szCs w:val="24"/>
        </w:rPr>
        <w:t>s</w:t>
      </w:r>
      <w:r w:rsidR="0024119D">
        <w:rPr>
          <w:rFonts w:ascii="Georgia" w:hAnsi="Georgia"/>
          <w:sz w:val="24"/>
          <w:szCs w:val="24"/>
        </w:rPr>
        <w:t xml:space="preserve"> in the outcome of its deliberations to freely participate and vote upon market rule changes</w:t>
      </w:r>
      <w:r w:rsidR="009E028D">
        <w:rPr>
          <w:rFonts w:ascii="Georgia" w:hAnsi="Georgia"/>
          <w:sz w:val="24"/>
          <w:szCs w:val="24"/>
        </w:rPr>
        <w:t xml:space="preserve"> that directly impact their financial operations</w:t>
      </w:r>
      <w:r w:rsidR="0024119D">
        <w:rPr>
          <w:rFonts w:ascii="Georgia" w:hAnsi="Georgia"/>
          <w:sz w:val="24"/>
          <w:szCs w:val="24"/>
        </w:rPr>
        <w:t xml:space="preserve">. </w:t>
      </w:r>
      <w:r w:rsidR="00BE23FD" w:rsidRPr="00BE23FD">
        <w:rPr>
          <w:rFonts w:ascii="Georgia" w:hAnsi="Georgia"/>
          <w:sz w:val="24"/>
          <w:szCs w:val="24"/>
        </w:rPr>
        <w:t xml:space="preserve">JERA currently </w:t>
      </w:r>
      <w:r w:rsidR="0024119D" w:rsidRPr="00BE23FD">
        <w:rPr>
          <w:rFonts w:ascii="Georgia" w:hAnsi="Georgia"/>
          <w:sz w:val="24"/>
          <w:szCs w:val="24"/>
        </w:rPr>
        <w:t>wields</w:t>
      </w:r>
      <w:r w:rsidR="00BE23FD" w:rsidRPr="00BE23FD">
        <w:rPr>
          <w:rFonts w:ascii="Georgia" w:hAnsi="Georgia"/>
          <w:sz w:val="24"/>
          <w:szCs w:val="24"/>
        </w:rPr>
        <w:t xml:space="preserve"> voting power in NEPOOL through </w:t>
      </w:r>
      <w:r w:rsidR="00183BC0">
        <w:rPr>
          <w:rFonts w:ascii="Georgia" w:hAnsi="Georgia"/>
          <w:sz w:val="24"/>
          <w:szCs w:val="24"/>
        </w:rPr>
        <w:t xml:space="preserve">the </w:t>
      </w:r>
      <w:r w:rsidR="00BE23FD" w:rsidRPr="00183BC0">
        <w:rPr>
          <w:rFonts w:ascii="Georgia" w:hAnsi="Georgia"/>
          <w:i/>
          <w:iCs/>
          <w:sz w:val="24"/>
          <w:szCs w:val="24"/>
        </w:rPr>
        <w:t>Provisional Member Group</w:t>
      </w:r>
      <w:r w:rsidR="00BE23FD" w:rsidRPr="00BE23FD">
        <w:rPr>
          <w:rFonts w:ascii="Georgia" w:hAnsi="Georgia"/>
          <w:sz w:val="24"/>
          <w:szCs w:val="24"/>
        </w:rPr>
        <w:t>, of which its Cricket Valley Energy Center is a member.</w:t>
      </w:r>
      <w:r w:rsidR="00183BC0">
        <w:rPr>
          <w:rFonts w:ascii="Georgia" w:hAnsi="Georgia"/>
          <w:sz w:val="24"/>
          <w:szCs w:val="24"/>
        </w:rPr>
        <w:t xml:space="preserve"> </w:t>
      </w:r>
      <w:r w:rsidR="00BE23FD" w:rsidRPr="00BE23FD">
        <w:rPr>
          <w:rFonts w:ascii="Georgia" w:hAnsi="Georgia"/>
          <w:sz w:val="24"/>
          <w:szCs w:val="24"/>
        </w:rPr>
        <w:t xml:space="preserve">Stonepeak Kestrel Energy Marketing, LLC (along with its Bucksport Generation LLC subsidiary) are currently NEPOOL voting members under the </w:t>
      </w:r>
      <w:r w:rsidR="00BE23FD" w:rsidRPr="00183BC0">
        <w:rPr>
          <w:rFonts w:ascii="Georgia" w:hAnsi="Georgia"/>
          <w:i/>
          <w:iCs/>
          <w:sz w:val="24"/>
          <w:szCs w:val="24"/>
        </w:rPr>
        <w:t>Supplier</w:t>
      </w:r>
      <w:r w:rsidR="00BE23FD" w:rsidRPr="00BE23FD">
        <w:rPr>
          <w:rFonts w:ascii="Georgia" w:hAnsi="Georgia"/>
          <w:sz w:val="24"/>
          <w:szCs w:val="24"/>
        </w:rPr>
        <w:t xml:space="preserve"> section, rather than the </w:t>
      </w:r>
      <w:r w:rsidR="00032986" w:rsidRPr="00032986">
        <w:rPr>
          <w:rFonts w:ascii="Georgia" w:hAnsi="Georgia"/>
          <w:i/>
          <w:iCs/>
          <w:sz w:val="24"/>
          <w:szCs w:val="24"/>
        </w:rPr>
        <w:t>G</w:t>
      </w:r>
      <w:r w:rsidR="00BE23FD" w:rsidRPr="00032986">
        <w:rPr>
          <w:rFonts w:ascii="Georgia" w:hAnsi="Georgia"/>
          <w:i/>
          <w:iCs/>
          <w:sz w:val="24"/>
          <w:szCs w:val="24"/>
        </w:rPr>
        <w:t>eneration</w:t>
      </w:r>
      <w:r w:rsidR="00BE23FD" w:rsidRPr="00BE23FD">
        <w:rPr>
          <w:rFonts w:ascii="Georgia" w:hAnsi="Georgia"/>
          <w:sz w:val="24"/>
          <w:szCs w:val="24"/>
        </w:rPr>
        <w:t xml:space="preserve"> sector.</w:t>
      </w:r>
      <w:r w:rsidR="00032986">
        <w:rPr>
          <w:rFonts w:ascii="Georgia" w:hAnsi="Georgia"/>
          <w:sz w:val="24"/>
          <w:szCs w:val="24"/>
        </w:rPr>
        <w:t xml:space="preserve"> Since NEPOOL membership conveys the ability to influence market design in ISO-NE</w:t>
      </w:r>
      <w:r w:rsidR="00C46945">
        <w:rPr>
          <w:rFonts w:ascii="Georgia" w:hAnsi="Georgia"/>
          <w:sz w:val="24"/>
          <w:szCs w:val="24"/>
        </w:rPr>
        <w:t xml:space="preserve"> (and therefore directly i</w:t>
      </w:r>
      <w:r w:rsidR="003F3F7D">
        <w:rPr>
          <w:rFonts w:ascii="Georgia" w:hAnsi="Georgia"/>
          <w:sz w:val="24"/>
          <w:szCs w:val="24"/>
        </w:rPr>
        <w:t>mpact</w:t>
      </w:r>
      <w:r w:rsidR="005251A7">
        <w:rPr>
          <w:rFonts w:ascii="Georgia" w:hAnsi="Georgia"/>
          <w:sz w:val="24"/>
          <w:szCs w:val="24"/>
        </w:rPr>
        <w:t>s</w:t>
      </w:r>
      <w:r w:rsidR="00C46945">
        <w:rPr>
          <w:rFonts w:ascii="Georgia" w:hAnsi="Georgia"/>
          <w:sz w:val="24"/>
          <w:szCs w:val="24"/>
        </w:rPr>
        <w:t xml:space="preserve"> rates)</w:t>
      </w:r>
      <w:r w:rsidR="00032986">
        <w:rPr>
          <w:rFonts w:ascii="Georgia" w:hAnsi="Georgia"/>
          <w:sz w:val="24"/>
          <w:szCs w:val="24"/>
        </w:rPr>
        <w:t xml:space="preserve">, </w:t>
      </w:r>
      <w:r w:rsidR="00C46945">
        <w:rPr>
          <w:rFonts w:ascii="Georgia" w:hAnsi="Georgia"/>
          <w:sz w:val="24"/>
          <w:szCs w:val="24"/>
        </w:rPr>
        <w:t xml:space="preserve">details on how exactly JERA plans to </w:t>
      </w:r>
      <w:r w:rsidR="00090F98">
        <w:rPr>
          <w:rFonts w:ascii="Georgia" w:hAnsi="Georgia"/>
          <w:sz w:val="24"/>
          <w:szCs w:val="24"/>
        </w:rPr>
        <w:t xml:space="preserve">participate as a voting member in NEPOOL post-transaction </w:t>
      </w:r>
      <w:proofErr w:type="gramStart"/>
      <w:r w:rsidR="00090F98">
        <w:rPr>
          <w:rFonts w:ascii="Georgia" w:hAnsi="Georgia"/>
          <w:sz w:val="24"/>
          <w:szCs w:val="24"/>
        </w:rPr>
        <w:t>is needed</w:t>
      </w:r>
      <w:proofErr w:type="gramEnd"/>
      <w:r w:rsidR="00090F98">
        <w:rPr>
          <w:rFonts w:ascii="Georgia" w:hAnsi="Georgia"/>
          <w:sz w:val="24"/>
          <w:szCs w:val="24"/>
        </w:rPr>
        <w:t xml:space="preserve"> to </w:t>
      </w:r>
      <w:r w:rsidR="00090F98">
        <w:rPr>
          <w:rFonts w:ascii="Georgia" w:hAnsi="Georgia"/>
          <w:sz w:val="24"/>
          <w:szCs w:val="24"/>
        </w:rPr>
        <w:lastRenderedPageBreak/>
        <w:t>determine whether the transaction is in the public interest.</w:t>
      </w:r>
      <w:r w:rsidR="00714F7C">
        <w:rPr>
          <w:rFonts w:ascii="Georgia" w:hAnsi="Georgia"/>
          <w:sz w:val="24"/>
          <w:szCs w:val="24"/>
        </w:rPr>
        <w:t xml:space="preserve"> For example, will JERA </w:t>
      </w:r>
      <w:r w:rsidR="001A50E5">
        <w:rPr>
          <w:rFonts w:ascii="Georgia" w:hAnsi="Georgia"/>
          <w:sz w:val="24"/>
          <w:szCs w:val="24"/>
        </w:rPr>
        <w:t>affiliates</w:t>
      </w:r>
      <w:r w:rsidR="00EA2145">
        <w:rPr>
          <w:rFonts w:ascii="Georgia" w:hAnsi="Georgia"/>
          <w:sz w:val="24"/>
          <w:szCs w:val="24"/>
        </w:rPr>
        <w:t xml:space="preserve"> have voting </w:t>
      </w:r>
      <w:r w:rsidR="00C25261">
        <w:rPr>
          <w:rFonts w:ascii="Georgia" w:hAnsi="Georgia"/>
          <w:sz w:val="24"/>
          <w:szCs w:val="24"/>
        </w:rPr>
        <w:t>representation</w:t>
      </w:r>
      <w:r w:rsidR="00EA2145">
        <w:rPr>
          <w:rFonts w:ascii="Georgia" w:hAnsi="Georgia"/>
          <w:sz w:val="24"/>
          <w:szCs w:val="24"/>
        </w:rPr>
        <w:t xml:space="preserve"> in the </w:t>
      </w:r>
      <w:r w:rsidR="00EA2145" w:rsidRPr="00C25261">
        <w:rPr>
          <w:rFonts w:ascii="Georgia" w:hAnsi="Georgia"/>
          <w:i/>
          <w:iCs/>
          <w:sz w:val="24"/>
          <w:szCs w:val="24"/>
        </w:rPr>
        <w:t>Provisional Member</w:t>
      </w:r>
      <w:r w:rsidR="00EA2145">
        <w:rPr>
          <w:rFonts w:ascii="Georgia" w:hAnsi="Georgia"/>
          <w:sz w:val="24"/>
          <w:szCs w:val="24"/>
        </w:rPr>
        <w:t xml:space="preserve">, </w:t>
      </w:r>
      <w:r w:rsidR="00EA2145" w:rsidRPr="00C25261">
        <w:rPr>
          <w:rFonts w:ascii="Georgia" w:hAnsi="Georgia"/>
          <w:i/>
          <w:iCs/>
          <w:sz w:val="24"/>
          <w:szCs w:val="24"/>
        </w:rPr>
        <w:t>Supplier</w:t>
      </w:r>
      <w:r w:rsidR="00EA2145">
        <w:rPr>
          <w:rFonts w:ascii="Georgia" w:hAnsi="Georgia"/>
          <w:sz w:val="24"/>
          <w:szCs w:val="24"/>
        </w:rPr>
        <w:t xml:space="preserve"> </w:t>
      </w:r>
      <w:r w:rsidR="00EA2145" w:rsidRPr="006D2947">
        <w:rPr>
          <w:rFonts w:ascii="Georgia" w:hAnsi="Georgia"/>
          <w:sz w:val="24"/>
          <w:szCs w:val="24"/>
          <w:u w:val="single"/>
        </w:rPr>
        <w:t>and</w:t>
      </w:r>
      <w:r w:rsidR="00EA2145">
        <w:rPr>
          <w:rFonts w:ascii="Georgia" w:hAnsi="Georgia"/>
          <w:sz w:val="24"/>
          <w:szCs w:val="24"/>
        </w:rPr>
        <w:t xml:space="preserve"> </w:t>
      </w:r>
      <w:r w:rsidR="00EA2145" w:rsidRPr="00C25261">
        <w:rPr>
          <w:rFonts w:ascii="Georgia" w:hAnsi="Georgia"/>
          <w:i/>
          <w:iCs/>
          <w:sz w:val="24"/>
          <w:szCs w:val="24"/>
        </w:rPr>
        <w:t>Generation</w:t>
      </w:r>
      <w:r w:rsidR="00EA2145">
        <w:rPr>
          <w:rFonts w:ascii="Georgia" w:hAnsi="Georgia"/>
          <w:sz w:val="24"/>
          <w:szCs w:val="24"/>
        </w:rPr>
        <w:t xml:space="preserve"> sectors post-transaction?</w:t>
      </w:r>
      <w:r w:rsidR="003924C3">
        <w:rPr>
          <w:rFonts w:ascii="Georgia" w:hAnsi="Georgia"/>
          <w:sz w:val="24"/>
          <w:szCs w:val="24"/>
        </w:rPr>
        <w:t xml:space="preserve"> </w:t>
      </w:r>
      <w:r w:rsidR="00A25A5E">
        <w:rPr>
          <w:rFonts w:ascii="Georgia" w:hAnsi="Georgia"/>
          <w:sz w:val="24"/>
          <w:szCs w:val="24"/>
        </w:rPr>
        <w:t xml:space="preserve">Applicants must disclose details of how the transaction will impact the concentration of voting rights in NEPOOL </w:t>
      </w:r>
      <w:proofErr w:type="gramStart"/>
      <w:r w:rsidR="00A25A5E">
        <w:rPr>
          <w:rFonts w:ascii="Georgia" w:hAnsi="Georgia"/>
          <w:sz w:val="24"/>
          <w:szCs w:val="24"/>
        </w:rPr>
        <w:t>in order to</w:t>
      </w:r>
      <w:proofErr w:type="gramEnd"/>
      <w:r w:rsidR="00A25A5E">
        <w:rPr>
          <w:rFonts w:ascii="Georgia" w:hAnsi="Georgia"/>
          <w:sz w:val="24"/>
          <w:szCs w:val="24"/>
        </w:rPr>
        <w:t xml:space="preserve"> determine its impact on rates.</w:t>
      </w:r>
    </w:p>
    <w:p w14:paraId="20B52F10" w14:textId="77777777" w:rsidR="00543CA8" w:rsidRDefault="00543CA8" w:rsidP="00432836">
      <w:pPr>
        <w:rPr>
          <w:rFonts w:ascii="Georgia" w:hAnsi="Georgia"/>
          <w:sz w:val="24"/>
          <w:szCs w:val="24"/>
        </w:rPr>
      </w:pPr>
    </w:p>
    <w:p w14:paraId="27D3D26C" w14:textId="77777777" w:rsidR="00230D27" w:rsidRDefault="00230D27" w:rsidP="00432836">
      <w:pPr>
        <w:rPr>
          <w:rFonts w:ascii="Georgia" w:hAnsi="Georgia"/>
          <w:sz w:val="24"/>
          <w:szCs w:val="24"/>
        </w:rPr>
      </w:pPr>
    </w:p>
    <w:p w14:paraId="347D73AC" w14:textId="379FC4C0" w:rsidR="00543CA8" w:rsidRDefault="00543CA8" w:rsidP="00432836">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Respectfully submitted,</w:t>
      </w:r>
    </w:p>
    <w:p w14:paraId="0112AFC7" w14:textId="77777777" w:rsidR="00543CA8" w:rsidRDefault="00543CA8" w:rsidP="00432836">
      <w:pPr>
        <w:rPr>
          <w:rFonts w:ascii="Georgia" w:hAnsi="Georgia"/>
          <w:sz w:val="24"/>
          <w:szCs w:val="24"/>
        </w:rPr>
      </w:pPr>
    </w:p>
    <w:p w14:paraId="7A2572AC" w14:textId="24FCE5F5" w:rsidR="00543CA8" w:rsidRDefault="00543CA8" w:rsidP="00432836">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Tyson Slocum, Energy Program Director</w:t>
      </w:r>
    </w:p>
    <w:p w14:paraId="70A57EDB" w14:textId="650F24F4" w:rsidR="00543CA8" w:rsidRDefault="00543CA8" w:rsidP="00432836">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Public Citizen, Inc.</w:t>
      </w:r>
    </w:p>
    <w:p w14:paraId="362610C2" w14:textId="31B31A9B" w:rsidR="00543CA8" w:rsidRDefault="00543CA8" w:rsidP="00432836">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215 Pennsylvania Ave SE</w:t>
      </w:r>
    </w:p>
    <w:p w14:paraId="76C67F2F" w14:textId="7E7960D6" w:rsidR="00543CA8" w:rsidRDefault="00543CA8" w:rsidP="00432836">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Washington, DC  20003</w:t>
      </w:r>
    </w:p>
    <w:p w14:paraId="346800E8" w14:textId="010ECFAA" w:rsidR="00543CA8" w:rsidRDefault="00543CA8" w:rsidP="00432836">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(202) 454-5191</w:t>
      </w:r>
    </w:p>
    <w:p w14:paraId="3CDB765B" w14:textId="303163E3" w:rsidR="00BB0543" w:rsidRPr="009C4AF1" w:rsidRDefault="00D86E4E" w:rsidP="00432836">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hyperlink r:id="rId7" w:history="1">
        <w:r w:rsidR="00BB0543" w:rsidRPr="001D3EF9">
          <w:rPr>
            <w:rStyle w:val="Hyperlink"/>
            <w:rFonts w:ascii="Georgia" w:hAnsi="Georgia"/>
            <w:color w:val="auto"/>
            <w:sz w:val="24"/>
            <w:szCs w:val="24"/>
            <w:u w:val="none"/>
          </w:rPr>
          <w:t>tslocum@citizen.org</w:t>
        </w:r>
      </w:hyperlink>
    </w:p>
    <w:sectPr w:rsidR="00BB0543" w:rsidRPr="009C4AF1" w:rsidSect="00BB1BB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FEF1" w14:textId="77777777" w:rsidR="00FC1356" w:rsidRDefault="00FC1356" w:rsidP="001A00AA">
      <w:r>
        <w:separator/>
      </w:r>
    </w:p>
  </w:endnote>
  <w:endnote w:type="continuationSeparator" w:id="0">
    <w:p w14:paraId="43B625BF" w14:textId="77777777" w:rsidR="00FC1356" w:rsidRDefault="00FC1356" w:rsidP="001A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424722"/>
      <w:docPartObj>
        <w:docPartGallery w:val="Page Numbers (Bottom of Page)"/>
        <w:docPartUnique/>
      </w:docPartObj>
    </w:sdtPr>
    <w:sdtEndPr>
      <w:rPr>
        <w:color w:val="7F7F7F" w:themeColor="background1" w:themeShade="7F"/>
        <w:spacing w:val="60"/>
      </w:rPr>
    </w:sdtEndPr>
    <w:sdtContent>
      <w:p w14:paraId="441C0F35" w14:textId="6B845D3F" w:rsidR="00BB1BB9" w:rsidRDefault="00BB1BB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F7642D" w14:textId="77777777" w:rsidR="00CA6BA2" w:rsidRDefault="00CA6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694B" w14:textId="77777777" w:rsidR="00FC1356" w:rsidRDefault="00FC1356" w:rsidP="001A00AA">
      <w:r>
        <w:separator/>
      </w:r>
    </w:p>
  </w:footnote>
  <w:footnote w:type="continuationSeparator" w:id="0">
    <w:p w14:paraId="60BABB0C" w14:textId="77777777" w:rsidR="00FC1356" w:rsidRDefault="00FC1356" w:rsidP="001A00AA">
      <w:r>
        <w:continuationSeparator/>
      </w:r>
    </w:p>
  </w:footnote>
  <w:footnote w:id="1">
    <w:p w14:paraId="6ED91DBD" w14:textId="30AE7273" w:rsidR="001A00AA" w:rsidRDefault="001A00AA">
      <w:pPr>
        <w:pStyle w:val="FootnoteText"/>
      </w:pPr>
      <w:r>
        <w:rPr>
          <w:rStyle w:val="FootnoteReference"/>
        </w:rPr>
        <w:footnoteRef/>
      </w:r>
      <w:r>
        <w:t xml:space="preserve"> </w:t>
      </w:r>
      <w:r w:rsidR="009C0B67" w:rsidRPr="00C93577">
        <w:rPr>
          <w:rFonts w:ascii="Georgia" w:hAnsi="Georgia"/>
        </w:rPr>
        <w:t>Joint Application, Attachment 3: Affidavit of Julie R. Solomon and Michael A. Kline, Table 6, at page 16.</w:t>
      </w:r>
    </w:p>
  </w:footnote>
  <w:footnote w:id="2">
    <w:p w14:paraId="7469D735" w14:textId="0708A350" w:rsidR="00710F07" w:rsidRDefault="00710F07">
      <w:pPr>
        <w:pStyle w:val="FootnoteText"/>
      </w:pPr>
      <w:r>
        <w:rPr>
          <w:rStyle w:val="FootnoteReference"/>
        </w:rPr>
        <w:footnoteRef/>
      </w:r>
      <w:r>
        <w:t xml:space="preserve"> </w:t>
      </w:r>
      <w:r w:rsidR="009D33B4" w:rsidRPr="009D33B4">
        <w:rPr>
          <w:rFonts w:ascii="Georgia" w:hAnsi="Georgia"/>
        </w:rPr>
        <w:t>FERC Docket No. EL21-7,</w:t>
      </w:r>
      <w:r w:rsidR="009D33B4">
        <w:t xml:space="preserve"> </w:t>
      </w:r>
      <w:r w:rsidRPr="00710F07">
        <w:rPr>
          <w:rFonts w:ascii="Georgia" w:hAnsi="Georgia"/>
        </w:rPr>
        <w:t>www.citizen.org/article/our-protest-of-2-natural-gas-power-plants-seeking-market-rule-changes-to-disadvantage-renewables-in-ny/</w:t>
      </w:r>
    </w:p>
  </w:footnote>
  <w:footnote w:id="3">
    <w:p w14:paraId="58D0865A" w14:textId="77777777" w:rsidR="00896AFA" w:rsidRDefault="00896AFA" w:rsidP="00896AFA">
      <w:pPr>
        <w:pStyle w:val="FootnoteText"/>
      </w:pPr>
      <w:r>
        <w:rPr>
          <w:rStyle w:val="FootnoteReference"/>
        </w:rPr>
        <w:footnoteRef/>
      </w:r>
      <w:r>
        <w:t xml:space="preserve"> </w:t>
      </w:r>
      <w:r w:rsidRPr="008957E3">
        <w:rPr>
          <w:rFonts w:ascii="Georgia" w:hAnsi="Georgia"/>
        </w:rPr>
        <w:t>16 U.S.C. §</w:t>
      </w:r>
      <w:r w:rsidRPr="008957E3">
        <w:rPr>
          <w:rFonts w:ascii="Times New Roman" w:hAnsi="Times New Roman" w:cs="Times New Roman"/>
        </w:rPr>
        <w:t> </w:t>
      </w:r>
      <w:r w:rsidRPr="008957E3">
        <w:rPr>
          <w:rFonts w:ascii="Georgia" w:hAnsi="Georgia"/>
        </w:rPr>
        <w:t>824(a).</w:t>
      </w:r>
    </w:p>
  </w:footnote>
  <w:footnote w:id="4">
    <w:p w14:paraId="0163AF5D" w14:textId="05F8FEC2" w:rsidR="00BB78D0" w:rsidRDefault="00BB78D0">
      <w:pPr>
        <w:pStyle w:val="FootnoteText"/>
      </w:pPr>
      <w:r>
        <w:rPr>
          <w:rStyle w:val="FootnoteReference"/>
        </w:rPr>
        <w:footnoteRef/>
      </w:r>
      <w:r>
        <w:t xml:space="preserve"> </w:t>
      </w:r>
      <w:r w:rsidRPr="0038718D">
        <w:rPr>
          <w:rFonts w:ascii="Georgia" w:hAnsi="Georgia"/>
        </w:rPr>
        <w:t>New England Power Pool Participants Committee, 166 FERC ¶ 61,062 at P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1A6D" w14:textId="32D58ABA" w:rsidR="00C75342" w:rsidRPr="00C75342" w:rsidRDefault="00C75342" w:rsidP="00C75342">
    <w:pPr>
      <w:pStyle w:val="Header"/>
      <w:jc w:val="center"/>
      <w:rPr>
        <w:rFonts w:ascii="Georgia" w:hAnsi="Georgia"/>
        <w:i/>
        <w:iCs/>
      </w:rPr>
    </w:pPr>
    <w:r w:rsidRPr="00C75342">
      <w:rPr>
        <w:rFonts w:ascii="Georgia" w:hAnsi="Georgia"/>
        <w:i/>
        <w:iCs/>
      </w:rPr>
      <w:t>Public Citizen Protest • Docket No. EC22-71 • June 22, 2022</w:t>
    </w:r>
  </w:p>
  <w:p w14:paraId="539EA512" w14:textId="77777777" w:rsidR="00C75342" w:rsidRDefault="00C75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56"/>
    <w:rsid w:val="00000C05"/>
    <w:rsid w:val="000021B2"/>
    <w:rsid w:val="00012F18"/>
    <w:rsid w:val="00022C4D"/>
    <w:rsid w:val="00032986"/>
    <w:rsid w:val="00045EFA"/>
    <w:rsid w:val="000560EE"/>
    <w:rsid w:val="0008507D"/>
    <w:rsid w:val="00090F98"/>
    <w:rsid w:val="0009146F"/>
    <w:rsid w:val="000A2247"/>
    <w:rsid w:val="000A6ABF"/>
    <w:rsid w:val="000B5464"/>
    <w:rsid w:val="000E5CAE"/>
    <w:rsid w:val="000E68C0"/>
    <w:rsid w:val="000F4965"/>
    <w:rsid w:val="000F61DC"/>
    <w:rsid w:val="00105BEA"/>
    <w:rsid w:val="00121C98"/>
    <w:rsid w:val="00124C6E"/>
    <w:rsid w:val="00142776"/>
    <w:rsid w:val="0014353C"/>
    <w:rsid w:val="001446D5"/>
    <w:rsid w:val="00151B64"/>
    <w:rsid w:val="0015725B"/>
    <w:rsid w:val="0018276C"/>
    <w:rsid w:val="00183BC0"/>
    <w:rsid w:val="00190594"/>
    <w:rsid w:val="001A00AA"/>
    <w:rsid w:val="001A50E5"/>
    <w:rsid w:val="001C47B3"/>
    <w:rsid w:val="001D3EF9"/>
    <w:rsid w:val="001F21A8"/>
    <w:rsid w:val="001F4886"/>
    <w:rsid w:val="00203705"/>
    <w:rsid w:val="00212CA9"/>
    <w:rsid w:val="00230D27"/>
    <w:rsid w:val="0024119D"/>
    <w:rsid w:val="00241FB3"/>
    <w:rsid w:val="00260092"/>
    <w:rsid w:val="00261C03"/>
    <w:rsid w:val="00280429"/>
    <w:rsid w:val="002B0964"/>
    <w:rsid w:val="002B609C"/>
    <w:rsid w:val="002F6640"/>
    <w:rsid w:val="00312C14"/>
    <w:rsid w:val="00315AFD"/>
    <w:rsid w:val="00324E83"/>
    <w:rsid w:val="00327965"/>
    <w:rsid w:val="00327CF1"/>
    <w:rsid w:val="0037690F"/>
    <w:rsid w:val="00376986"/>
    <w:rsid w:val="0038718D"/>
    <w:rsid w:val="003924C3"/>
    <w:rsid w:val="003F3F7D"/>
    <w:rsid w:val="00402CE2"/>
    <w:rsid w:val="00430E13"/>
    <w:rsid w:val="00432836"/>
    <w:rsid w:val="004365FC"/>
    <w:rsid w:val="004B2256"/>
    <w:rsid w:val="004B7D5C"/>
    <w:rsid w:val="004D5ACB"/>
    <w:rsid w:val="005079AA"/>
    <w:rsid w:val="005251A7"/>
    <w:rsid w:val="00525588"/>
    <w:rsid w:val="00543CA8"/>
    <w:rsid w:val="00557A37"/>
    <w:rsid w:val="0057409D"/>
    <w:rsid w:val="00595573"/>
    <w:rsid w:val="005C598B"/>
    <w:rsid w:val="005D211E"/>
    <w:rsid w:val="005E295B"/>
    <w:rsid w:val="005F5313"/>
    <w:rsid w:val="006001A6"/>
    <w:rsid w:val="006024BA"/>
    <w:rsid w:val="00605794"/>
    <w:rsid w:val="006121F6"/>
    <w:rsid w:val="0062281B"/>
    <w:rsid w:val="006443BB"/>
    <w:rsid w:val="00676B23"/>
    <w:rsid w:val="006B499B"/>
    <w:rsid w:val="006C11A3"/>
    <w:rsid w:val="006D2947"/>
    <w:rsid w:val="006E0BFB"/>
    <w:rsid w:val="006F3B8A"/>
    <w:rsid w:val="006F6332"/>
    <w:rsid w:val="00700AB2"/>
    <w:rsid w:val="00710F07"/>
    <w:rsid w:val="00714F7C"/>
    <w:rsid w:val="00715DE8"/>
    <w:rsid w:val="0071791F"/>
    <w:rsid w:val="00746AC2"/>
    <w:rsid w:val="0076087D"/>
    <w:rsid w:val="00760C0B"/>
    <w:rsid w:val="00777C37"/>
    <w:rsid w:val="00781442"/>
    <w:rsid w:val="00786117"/>
    <w:rsid w:val="00786336"/>
    <w:rsid w:val="007D2089"/>
    <w:rsid w:val="007D2F2D"/>
    <w:rsid w:val="007E3783"/>
    <w:rsid w:val="00805960"/>
    <w:rsid w:val="008059A7"/>
    <w:rsid w:val="00807F8E"/>
    <w:rsid w:val="00815776"/>
    <w:rsid w:val="00822195"/>
    <w:rsid w:val="00824C29"/>
    <w:rsid w:val="00871913"/>
    <w:rsid w:val="0087493E"/>
    <w:rsid w:val="00896AFA"/>
    <w:rsid w:val="008B1556"/>
    <w:rsid w:val="008B4FA6"/>
    <w:rsid w:val="008C27EB"/>
    <w:rsid w:val="008D2A4C"/>
    <w:rsid w:val="00910FF1"/>
    <w:rsid w:val="00935577"/>
    <w:rsid w:val="00942EBF"/>
    <w:rsid w:val="0094633F"/>
    <w:rsid w:val="00951418"/>
    <w:rsid w:val="00960897"/>
    <w:rsid w:val="00972F05"/>
    <w:rsid w:val="009C0B67"/>
    <w:rsid w:val="009C4AF1"/>
    <w:rsid w:val="009D33B4"/>
    <w:rsid w:val="009E028D"/>
    <w:rsid w:val="009E0F8A"/>
    <w:rsid w:val="009E3BFA"/>
    <w:rsid w:val="009E5000"/>
    <w:rsid w:val="009F6BB8"/>
    <w:rsid w:val="00A02F39"/>
    <w:rsid w:val="00A13D5D"/>
    <w:rsid w:val="00A25A5E"/>
    <w:rsid w:val="00A31813"/>
    <w:rsid w:val="00A33074"/>
    <w:rsid w:val="00A40004"/>
    <w:rsid w:val="00A524C4"/>
    <w:rsid w:val="00A56608"/>
    <w:rsid w:val="00A86025"/>
    <w:rsid w:val="00A922B3"/>
    <w:rsid w:val="00AA78B9"/>
    <w:rsid w:val="00AB7781"/>
    <w:rsid w:val="00AC1DF1"/>
    <w:rsid w:val="00AD40D4"/>
    <w:rsid w:val="00AD670B"/>
    <w:rsid w:val="00AE3D12"/>
    <w:rsid w:val="00B00F95"/>
    <w:rsid w:val="00B274C6"/>
    <w:rsid w:val="00B278EB"/>
    <w:rsid w:val="00B57F51"/>
    <w:rsid w:val="00B70554"/>
    <w:rsid w:val="00B730DB"/>
    <w:rsid w:val="00B80008"/>
    <w:rsid w:val="00B82C79"/>
    <w:rsid w:val="00B8468E"/>
    <w:rsid w:val="00B91420"/>
    <w:rsid w:val="00BA7336"/>
    <w:rsid w:val="00BB0543"/>
    <w:rsid w:val="00BB1BB9"/>
    <w:rsid w:val="00BB7604"/>
    <w:rsid w:val="00BB78D0"/>
    <w:rsid w:val="00BD5BD4"/>
    <w:rsid w:val="00BE098C"/>
    <w:rsid w:val="00BE23FD"/>
    <w:rsid w:val="00C25261"/>
    <w:rsid w:val="00C37247"/>
    <w:rsid w:val="00C46945"/>
    <w:rsid w:val="00C6559B"/>
    <w:rsid w:val="00C75342"/>
    <w:rsid w:val="00C77703"/>
    <w:rsid w:val="00C93571"/>
    <w:rsid w:val="00C93577"/>
    <w:rsid w:val="00C958B0"/>
    <w:rsid w:val="00CA6BA2"/>
    <w:rsid w:val="00CB1E4A"/>
    <w:rsid w:val="00CB61B1"/>
    <w:rsid w:val="00CC5BC6"/>
    <w:rsid w:val="00CF673E"/>
    <w:rsid w:val="00D02181"/>
    <w:rsid w:val="00D11CF0"/>
    <w:rsid w:val="00D1576F"/>
    <w:rsid w:val="00D20422"/>
    <w:rsid w:val="00D37190"/>
    <w:rsid w:val="00D603C6"/>
    <w:rsid w:val="00D732C4"/>
    <w:rsid w:val="00D739D0"/>
    <w:rsid w:val="00D86E4E"/>
    <w:rsid w:val="00D904B3"/>
    <w:rsid w:val="00DA6121"/>
    <w:rsid w:val="00DC2C3E"/>
    <w:rsid w:val="00DC6C9C"/>
    <w:rsid w:val="00DD3E50"/>
    <w:rsid w:val="00DE5995"/>
    <w:rsid w:val="00DE5C31"/>
    <w:rsid w:val="00E0517C"/>
    <w:rsid w:val="00E117A1"/>
    <w:rsid w:val="00E173FB"/>
    <w:rsid w:val="00E3648F"/>
    <w:rsid w:val="00E37639"/>
    <w:rsid w:val="00E40463"/>
    <w:rsid w:val="00E57288"/>
    <w:rsid w:val="00E64088"/>
    <w:rsid w:val="00E732AD"/>
    <w:rsid w:val="00EA2145"/>
    <w:rsid w:val="00EF0A5B"/>
    <w:rsid w:val="00EF17E0"/>
    <w:rsid w:val="00F1079E"/>
    <w:rsid w:val="00F14718"/>
    <w:rsid w:val="00F21B5C"/>
    <w:rsid w:val="00F43496"/>
    <w:rsid w:val="00F477E8"/>
    <w:rsid w:val="00F57E24"/>
    <w:rsid w:val="00F61775"/>
    <w:rsid w:val="00F84FFC"/>
    <w:rsid w:val="00FB0F43"/>
    <w:rsid w:val="00FB2744"/>
    <w:rsid w:val="00FB32C5"/>
    <w:rsid w:val="00FB7C90"/>
    <w:rsid w:val="00FC1356"/>
    <w:rsid w:val="00FC5307"/>
    <w:rsid w:val="00FF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07FF"/>
  <w15:chartTrackingRefBased/>
  <w15:docId w15:val="{638C7C56-6C97-4C4F-93B6-407CAED2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00AA"/>
    <w:rPr>
      <w:sz w:val="20"/>
      <w:szCs w:val="20"/>
    </w:rPr>
  </w:style>
  <w:style w:type="character" w:customStyle="1" w:styleId="FootnoteTextChar">
    <w:name w:val="Footnote Text Char"/>
    <w:basedOn w:val="DefaultParagraphFont"/>
    <w:link w:val="FootnoteText"/>
    <w:uiPriority w:val="99"/>
    <w:semiHidden/>
    <w:rsid w:val="001A00AA"/>
    <w:rPr>
      <w:sz w:val="20"/>
      <w:szCs w:val="20"/>
    </w:rPr>
  </w:style>
  <w:style w:type="character" w:styleId="FootnoteReference">
    <w:name w:val="footnote reference"/>
    <w:basedOn w:val="DefaultParagraphFont"/>
    <w:uiPriority w:val="99"/>
    <w:semiHidden/>
    <w:unhideWhenUsed/>
    <w:rsid w:val="001A00AA"/>
    <w:rPr>
      <w:vertAlign w:val="superscript"/>
    </w:rPr>
  </w:style>
  <w:style w:type="paragraph" w:styleId="Header">
    <w:name w:val="header"/>
    <w:basedOn w:val="Normal"/>
    <w:link w:val="HeaderChar"/>
    <w:uiPriority w:val="99"/>
    <w:unhideWhenUsed/>
    <w:rsid w:val="00CA6BA2"/>
    <w:pPr>
      <w:tabs>
        <w:tab w:val="center" w:pos="4680"/>
        <w:tab w:val="right" w:pos="9360"/>
      </w:tabs>
    </w:pPr>
  </w:style>
  <w:style w:type="character" w:customStyle="1" w:styleId="HeaderChar">
    <w:name w:val="Header Char"/>
    <w:basedOn w:val="DefaultParagraphFont"/>
    <w:link w:val="Header"/>
    <w:uiPriority w:val="99"/>
    <w:rsid w:val="00CA6BA2"/>
  </w:style>
  <w:style w:type="paragraph" w:styleId="Footer">
    <w:name w:val="footer"/>
    <w:basedOn w:val="Normal"/>
    <w:link w:val="FooterChar"/>
    <w:uiPriority w:val="99"/>
    <w:unhideWhenUsed/>
    <w:rsid w:val="00CA6BA2"/>
    <w:pPr>
      <w:tabs>
        <w:tab w:val="center" w:pos="4680"/>
        <w:tab w:val="right" w:pos="9360"/>
      </w:tabs>
    </w:pPr>
  </w:style>
  <w:style w:type="character" w:customStyle="1" w:styleId="FooterChar">
    <w:name w:val="Footer Char"/>
    <w:basedOn w:val="DefaultParagraphFont"/>
    <w:link w:val="Footer"/>
    <w:uiPriority w:val="99"/>
    <w:rsid w:val="00CA6BA2"/>
  </w:style>
  <w:style w:type="character" w:styleId="Hyperlink">
    <w:name w:val="Hyperlink"/>
    <w:basedOn w:val="DefaultParagraphFont"/>
    <w:uiPriority w:val="99"/>
    <w:unhideWhenUsed/>
    <w:rsid w:val="00BB0543"/>
    <w:rPr>
      <w:color w:val="0563C1" w:themeColor="hyperlink"/>
      <w:u w:val="single"/>
    </w:rPr>
  </w:style>
  <w:style w:type="character" w:styleId="UnresolvedMention">
    <w:name w:val="Unresolved Mention"/>
    <w:basedOn w:val="DefaultParagraphFont"/>
    <w:uiPriority w:val="99"/>
    <w:semiHidden/>
    <w:unhideWhenUsed/>
    <w:rsid w:val="00BB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locum@citiz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0E79-303F-40EB-A4BD-D50FE386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T. Slocum</dc:creator>
  <cp:keywords/>
  <dc:description/>
  <cp:lastModifiedBy>Tyson T. Slocum</cp:lastModifiedBy>
  <cp:revision>213</cp:revision>
  <dcterms:created xsi:type="dcterms:W3CDTF">2022-06-14T15:30:00Z</dcterms:created>
  <dcterms:modified xsi:type="dcterms:W3CDTF">2022-06-22T12:25:00Z</dcterms:modified>
</cp:coreProperties>
</file>