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4FC9" w14:textId="476F84B9" w:rsidR="00B13B50" w:rsidRPr="00B13B50" w:rsidRDefault="00B13B50" w:rsidP="00DD67E4">
      <w:pPr>
        <w:jc w:val="center"/>
        <w:rPr>
          <w:rFonts w:ascii="Georgia" w:hAnsi="Georgia"/>
          <w:sz w:val="24"/>
          <w:szCs w:val="24"/>
        </w:rPr>
      </w:pPr>
      <w:bookmarkStart w:id="0" w:name="_GoBack"/>
      <w:bookmarkEnd w:id="0"/>
      <w:r w:rsidRPr="00B13B50">
        <w:rPr>
          <w:rFonts w:ascii="Georgia" w:hAnsi="Georgia"/>
          <w:sz w:val="24"/>
          <w:szCs w:val="24"/>
        </w:rPr>
        <w:t>UNITED STATES OF AMERICA</w:t>
      </w:r>
    </w:p>
    <w:p w14:paraId="1C437747" w14:textId="0F8152E1" w:rsidR="00B13B50" w:rsidRPr="00B13B50" w:rsidRDefault="00B13B50" w:rsidP="00DD67E4">
      <w:pPr>
        <w:jc w:val="center"/>
        <w:rPr>
          <w:rFonts w:ascii="Georgia" w:hAnsi="Georgia"/>
          <w:sz w:val="24"/>
          <w:szCs w:val="24"/>
        </w:rPr>
      </w:pPr>
      <w:r w:rsidRPr="00B13B50">
        <w:rPr>
          <w:rFonts w:ascii="Georgia" w:hAnsi="Georgia"/>
          <w:sz w:val="24"/>
          <w:szCs w:val="24"/>
        </w:rPr>
        <w:t>BEFORE THE</w:t>
      </w:r>
    </w:p>
    <w:p w14:paraId="6F55342A" w14:textId="714C1A05" w:rsidR="00B13B50" w:rsidRDefault="00B13B50" w:rsidP="00DD67E4">
      <w:pPr>
        <w:jc w:val="center"/>
        <w:rPr>
          <w:rFonts w:ascii="Georgia" w:hAnsi="Georgia"/>
          <w:sz w:val="24"/>
          <w:szCs w:val="24"/>
        </w:rPr>
      </w:pPr>
      <w:r w:rsidRPr="00B13B50">
        <w:rPr>
          <w:rFonts w:ascii="Georgia" w:hAnsi="Georgia"/>
          <w:sz w:val="24"/>
          <w:szCs w:val="24"/>
        </w:rPr>
        <w:t>FEDERAL ENERGY REGULATORY COMMISSION</w:t>
      </w:r>
    </w:p>
    <w:p w14:paraId="0F8F32B3" w14:textId="77777777" w:rsidR="00BF5E99" w:rsidRPr="00B13B50" w:rsidRDefault="00BF5E99" w:rsidP="00DD67E4">
      <w:pPr>
        <w:jc w:val="center"/>
        <w:rPr>
          <w:rFonts w:ascii="Georgia" w:hAnsi="Georgia"/>
          <w:sz w:val="24"/>
          <w:szCs w:val="24"/>
        </w:rPr>
      </w:pPr>
    </w:p>
    <w:p w14:paraId="4F13D0AB" w14:textId="463916FF" w:rsidR="00B13B50" w:rsidRPr="00B13B50" w:rsidRDefault="00B13B50">
      <w:pPr>
        <w:rPr>
          <w:rFonts w:ascii="Georgia" w:hAnsi="Georgia"/>
          <w:sz w:val="24"/>
          <w:szCs w:val="24"/>
        </w:rPr>
      </w:pPr>
    </w:p>
    <w:p w14:paraId="7357BE06" w14:textId="307C5716" w:rsidR="003A6CA5" w:rsidRPr="00CD2E00" w:rsidRDefault="003A6CA5" w:rsidP="003A6CA5">
      <w:pPr>
        <w:rPr>
          <w:rFonts w:ascii="Georgia" w:hAnsi="Georgia"/>
          <w:sz w:val="24"/>
          <w:szCs w:val="24"/>
        </w:rPr>
      </w:pPr>
      <w:r w:rsidRPr="00CD2E00">
        <w:rPr>
          <w:rFonts w:ascii="Georgia" w:hAnsi="Georgia"/>
          <w:sz w:val="24"/>
          <w:szCs w:val="24"/>
        </w:rPr>
        <w:t>Blue Sky West, LLC</w:t>
      </w:r>
      <w:r w:rsidRPr="00CD2E00">
        <w:rPr>
          <w:rFonts w:ascii="Georgia" w:hAnsi="Georgia"/>
          <w:sz w:val="24"/>
          <w:szCs w:val="24"/>
        </w:rPr>
        <w:tab/>
      </w:r>
      <w:r w:rsidRPr="00CD2E00">
        <w:rPr>
          <w:rFonts w:ascii="Georgia" w:hAnsi="Georgia"/>
          <w:sz w:val="24"/>
          <w:szCs w:val="24"/>
        </w:rPr>
        <w:tab/>
      </w:r>
      <w:r w:rsidRPr="00CD2E00">
        <w:rPr>
          <w:rFonts w:ascii="Georgia" w:hAnsi="Georgia"/>
          <w:sz w:val="24"/>
          <w:szCs w:val="24"/>
        </w:rPr>
        <w:tab/>
      </w:r>
      <w:r w:rsidRPr="00CD2E00">
        <w:rPr>
          <w:rFonts w:ascii="Georgia" w:hAnsi="Georgia"/>
          <w:sz w:val="24"/>
          <w:szCs w:val="24"/>
        </w:rPr>
        <w:tab/>
      </w:r>
      <w:r w:rsidRPr="00CD2E00">
        <w:rPr>
          <w:rFonts w:ascii="Georgia" w:hAnsi="Georgia"/>
          <w:sz w:val="24"/>
          <w:szCs w:val="24"/>
        </w:rPr>
        <w:tab/>
      </w:r>
      <w:r w:rsidRPr="00CD2E00">
        <w:rPr>
          <w:rFonts w:ascii="Georgia" w:hAnsi="Georgia"/>
          <w:sz w:val="24"/>
          <w:szCs w:val="24"/>
        </w:rPr>
        <w:tab/>
        <w:t>Docket No. ER15-1471-</w:t>
      </w:r>
    </w:p>
    <w:p w14:paraId="0821F18E" w14:textId="2D25B405" w:rsidR="003A6CA5" w:rsidRPr="00CD2E00" w:rsidRDefault="003A6CA5" w:rsidP="003A6CA5">
      <w:pPr>
        <w:rPr>
          <w:rFonts w:ascii="Georgia" w:hAnsi="Georgia"/>
          <w:sz w:val="24"/>
          <w:szCs w:val="24"/>
        </w:rPr>
      </w:pPr>
      <w:r w:rsidRPr="00CD2E00">
        <w:rPr>
          <w:rFonts w:ascii="Georgia" w:hAnsi="Georgia"/>
          <w:sz w:val="24"/>
          <w:szCs w:val="24"/>
        </w:rPr>
        <w:t xml:space="preserve">CID Solar, LLC </w:t>
      </w:r>
      <w:r w:rsidRPr="00CD2E00">
        <w:rPr>
          <w:rFonts w:ascii="Georgia" w:hAnsi="Georgia"/>
          <w:sz w:val="24"/>
          <w:szCs w:val="24"/>
        </w:rPr>
        <w:tab/>
      </w:r>
      <w:r w:rsidRPr="00CD2E00">
        <w:rPr>
          <w:rFonts w:ascii="Georgia" w:hAnsi="Georgia"/>
          <w:sz w:val="24"/>
          <w:szCs w:val="24"/>
        </w:rPr>
        <w:tab/>
      </w:r>
      <w:r w:rsidRPr="00CD2E00">
        <w:rPr>
          <w:rFonts w:ascii="Georgia" w:hAnsi="Georgia"/>
          <w:sz w:val="24"/>
          <w:szCs w:val="24"/>
        </w:rPr>
        <w:tab/>
      </w:r>
      <w:r w:rsidRPr="00CD2E00">
        <w:rPr>
          <w:rFonts w:ascii="Georgia" w:hAnsi="Georgia"/>
          <w:sz w:val="24"/>
          <w:szCs w:val="24"/>
        </w:rPr>
        <w:tab/>
      </w:r>
      <w:r w:rsidRPr="00CD2E00">
        <w:rPr>
          <w:rFonts w:ascii="Georgia" w:hAnsi="Georgia"/>
          <w:sz w:val="24"/>
          <w:szCs w:val="24"/>
        </w:rPr>
        <w:tab/>
      </w:r>
      <w:r w:rsidRPr="00CD2E00">
        <w:rPr>
          <w:rFonts w:ascii="Georgia" w:hAnsi="Georgia"/>
          <w:sz w:val="24"/>
          <w:szCs w:val="24"/>
        </w:rPr>
        <w:tab/>
        <w:t>Docket No. ER15-632-</w:t>
      </w:r>
    </w:p>
    <w:p w14:paraId="193C945A" w14:textId="1A77F32B" w:rsidR="003A6CA5" w:rsidRPr="00CD2E00" w:rsidRDefault="003A6CA5" w:rsidP="003A6CA5">
      <w:pPr>
        <w:rPr>
          <w:rFonts w:ascii="Georgia" w:hAnsi="Georgia"/>
          <w:sz w:val="24"/>
          <w:szCs w:val="24"/>
        </w:rPr>
      </w:pPr>
      <w:r w:rsidRPr="00CD2E00">
        <w:rPr>
          <w:rFonts w:ascii="Georgia" w:hAnsi="Georgia"/>
          <w:sz w:val="24"/>
          <w:szCs w:val="24"/>
        </w:rPr>
        <w:t>Comanche Solar PV, LLC</w:t>
      </w:r>
      <w:r w:rsidRPr="00CD2E00">
        <w:rPr>
          <w:rFonts w:ascii="Georgia" w:hAnsi="Georgia"/>
          <w:sz w:val="24"/>
          <w:szCs w:val="24"/>
        </w:rPr>
        <w:tab/>
      </w:r>
      <w:r w:rsidRPr="00CD2E00">
        <w:rPr>
          <w:rFonts w:ascii="Georgia" w:hAnsi="Georgia"/>
          <w:sz w:val="24"/>
          <w:szCs w:val="24"/>
        </w:rPr>
        <w:tab/>
      </w:r>
      <w:r w:rsidRPr="00CD2E00">
        <w:rPr>
          <w:rFonts w:ascii="Georgia" w:hAnsi="Georgia"/>
          <w:sz w:val="24"/>
          <w:szCs w:val="24"/>
        </w:rPr>
        <w:tab/>
      </w:r>
      <w:r w:rsidRPr="00CD2E00">
        <w:rPr>
          <w:rFonts w:ascii="Georgia" w:hAnsi="Georgia"/>
          <w:sz w:val="24"/>
          <w:szCs w:val="24"/>
        </w:rPr>
        <w:tab/>
      </w:r>
      <w:r w:rsidRPr="00CD2E00">
        <w:rPr>
          <w:rFonts w:ascii="Georgia" w:hAnsi="Georgia"/>
          <w:sz w:val="24"/>
          <w:szCs w:val="24"/>
        </w:rPr>
        <w:tab/>
        <w:t>Docket No. ER16-915-</w:t>
      </w:r>
    </w:p>
    <w:p w14:paraId="44140A46" w14:textId="06B879D0" w:rsidR="003A6CA5" w:rsidRPr="00CD2E00" w:rsidRDefault="003A6CA5" w:rsidP="003A6CA5">
      <w:pPr>
        <w:rPr>
          <w:rFonts w:ascii="Georgia" w:hAnsi="Georgia"/>
          <w:sz w:val="24"/>
          <w:szCs w:val="24"/>
        </w:rPr>
      </w:pPr>
      <w:r w:rsidRPr="00CD2E00">
        <w:rPr>
          <w:rFonts w:ascii="Georgia" w:hAnsi="Georgia"/>
          <w:sz w:val="24"/>
          <w:szCs w:val="24"/>
        </w:rPr>
        <w:t xml:space="preserve">Cottonwood Solar LLC </w:t>
      </w:r>
      <w:r w:rsidRPr="00CD2E00">
        <w:rPr>
          <w:rFonts w:ascii="Georgia" w:hAnsi="Georgia"/>
          <w:sz w:val="24"/>
          <w:szCs w:val="24"/>
        </w:rPr>
        <w:tab/>
      </w:r>
      <w:r w:rsidRPr="00CD2E00">
        <w:rPr>
          <w:rFonts w:ascii="Georgia" w:hAnsi="Georgia"/>
          <w:sz w:val="24"/>
          <w:szCs w:val="24"/>
        </w:rPr>
        <w:tab/>
      </w:r>
      <w:r w:rsidRPr="00CD2E00">
        <w:rPr>
          <w:rFonts w:ascii="Georgia" w:hAnsi="Georgia"/>
          <w:sz w:val="24"/>
          <w:szCs w:val="24"/>
        </w:rPr>
        <w:tab/>
      </w:r>
      <w:r w:rsidRPr="00CD2E00">
        <w:rPr>
          <w:rFonts w:ascii="Georgia" w:hAnsi="Georgia"/>
          <w:sz w:val="24"/>
          <w:szCs w:val="24"/>
        </w:rPr>
        <w:tab/>
      </w:r>
      <w:r w:rsidRPr="00CD2E00">
        <w:rPr>
          <w:rFonts w:ascii="Georgia" w:hAnsi="Georgia"/>
          <w:sz w:val="24"/>
          <w:szCs w:val="24"/>
        </w:rPr>
        <w:tab/>
        <w:t>Docket No. ER15-634-</w:t>
      </w:r>
    </w:p>
    <w:p w14:paraId="4FDB0781" w14:textId="6E25D516" w:rsidR="003A6CA5" w:rsidRPr="00CD2E00" w:rsidRDefault="003A6CA5" w:rsidP="003A6CA5">
      <w:pPr>
        <w:rPr>
          <w:rFonts w:ascii="Georgia" w:hAnsi="Georgia"/>
          <w:sz w:val="24"/>
          <w:szCs w:val="24"/>
        </w:rPr>
      </w:pPr>
      <w:r w:rsidRPr="00CD2E00">
        <w:rPr>
          <w:rFonts w:ascii="Georgia" w:hAnsi="Georgia"/>
          <w:sz w:val="24"/>
          <w:szCs w:val="24"/>
        </w:rPr>
        <w:t>El Paso Electric Company</w:t>
      </w:r>
      <w:r w:rsidRPr="00CD2E00">
        <w:rPr>
          <w:rFonts w:ascii="Georgia" w:hAnsi="Georgia"/>
          <w:sz w:val="24"/>
          <w:szCs w:val="24"/>
        </w:rPr>
        <w:tab/>
      </w:r>
      <w:r w:rsidRPr="00CD2E00">
        <w:rPr>
          <w:rFonts w:ascii="Georgia" w:hAnsi="Georgia"/>
          <w:sz w:val="24"/>
          <w:szCs w:val="24"/>
        </w:rPr>
        <w:tab/>
      </w:r>
      <w:r w:rsidRPr="00CD2E00">
        <w:rPr>
          <w:rFonts w:ascii="Georgia" w:hAnsi="Georgia"/>
          <w:sz w:val="24"/>
          <w:szCs w:val="24"/>
        </w:rPr>
        <w:tab/>
      </w:r>
      <w:r w:rsidRPr="00CD2E00">
        <w:rPr>
          <w:rFonts w:ascii="Georgia" w:hAnsi="Georgia"/>
          <w:sz w:val="24"/>
          <w:szCs w:val="24"/>
        </w:rPr>
        <w:tab/>
      </w:r>
      <w:r w:rsidRPr="00CD2E00">
        <w:rPr>
          <w:rFonts w:ascii="Georgia" w:hAnsi="Georgia"/>
          <w:sz w:val="24"/>
          <w:szCs w:val="24"/>
        </w:rPr>
        <w:tab/>
      </w:r>
      <w:bookmarkStart w:id="1" w:name="_Hlk48897059"/>
      <w:r w:rsidRPr="00CD2E00">
        <w:rPr>
          <w:rFonts w:ascii="Georgia" w:hAnsi="Georgia"/>
          <w:sz w:val="24"/>
          <w:szCs w:val="24"/>
        </w:rPr>
        <w:t>Docket No. ER10-2721</w:t>
      </w:r>
      <w:bookmarkEnd w:id="1"/>
      <w:r w:rsidRPr="00CD2E00">
        <w:rPr>
          <w:rFonts w:ascii="Georgia" w:hAnsi="Georgia"/>
          <w:sz w:val="24"/>
          <w:szCs w:val="24"/>
        </w:rPr>
        <w:t>-</w:t>
      </w:r>
    </w:p>
    <w:p w14:paraId="20BBC52B" w14:textId="3C6C937F" w:rsidR="003A6CA5" w:rsidRPr="00CD2E00" w:rsidRDefault="003A6CA5" w:rsidP="003A6CA5">
      <w:pPr>
        <w:rPr>
          <w:rFonts w:ascii="Georgia" w:hAnsi="Georgia"/>
          <w:sz w:val="24"/>
          <w:szCs w:val="24"/>
        </w:rPr>
      </w:pPr>
      <w:r w:rsidRPr="00CD2E00">
        <w:rPr>
          <w:rFonts w:ascii="Georgia" w:hAnsi="Georgia"/>
          <w:sz w:val="24"/>
          <w:szCs w:val="24"/>
        </w:rPr>
        <w:t>Evergreen Wind Power II, LLC</w:t>
      </w:r>
      <w:r w:rsidRPr="00CD2E00">
        <w:rPr>
          <w:rFonts w:ascii="Georgia" w:hAnsi="Georgia"/>
          <w:sz w:val="24"/>
          <w:szCs w:val="24"/>
        </w:rPr>
        <w:tab/>
      </w:r>
      <w:r w:rsidRPr="00CD2E00">
        <w:rPr>
          <w:rFonts w:ascii="Georgia" w:hAnsi="Georgia"/>
          <w:sz w:val="24"/>
          <w:szCs w:val="24"/>
        </w:rPr>
        <w:tab/>
      </w:r>
      <w:r w:rsidRPr="00CD2E00">
        <w:rPr>
          <w:rFonts w:ascii="Georgia" w:hAnsi="Georgia"/>
          <w:sz w:val="24"/>
          <w:szCs w:val="24"/>
        </w:rPr>
        <w:tab/>
      </w:r>
      <w:r w:rsidRPr="00CD2E00">
        <w:rPr>
          <w:rFonts w:ascii="Georgia" w:hAnsi="Georgia"/>
          <w:sz w:val="24"/>
          <w:szCs w:val="24"/>
        </w:rPr>
        <w:tab/>
        <w:t>Docket No. ER15-1672-</w:t>
      </w:r>
    </w:p>
    <w:p w14:paraId="5E87CC46" w14:textId="4008E66A" w:rsidR="003A6CA5" w:rsidRPr="00CD2E00" w:rsidRDefault="003A6CA5" w:rsidP="003A6CA5">
      <w:pPr>
        <w:rPr>
          <w:rFonts w:ascii="Georgia" w:hAnsi="Georgia"/>
          <w:sz w:val="24"/>
          <w:szCs w:val="24"/>
        </w:rPr>
      </w:pPr>
      <w:r w:rsidRPr="00CD2E00">
        <w:rPr>
          <w:rFonts w:ascii="Georgia" w:hAnsi="Georgia"/>
          <w:sz w:val="24"/>
          <w:szCs w:val="24"/>
        </w:rPr>
        <w:t>Fountain Valley Power, LLC</w:t>
      </w:r>
      <w:r w:rsidRPr="00CD2E00">
        <w:rPr>
          <w:rFonts w:ascii="Georgia" w:hAnsi="Georgia"/>
          <w:sz w:val="24"/>
          <w:szCs w:val="24"/>
        </w:rPr>
        <w:tab/>
      </w:r>
      <w:r w:rsidRPr="00CD2E00">
        <w:rPr>
          <w:rFonts w:ascii="Georgia" w:hAnsi="Georgia"/>
          <w:sz w:val="24"/>
          <w:szCs w:val="24"/>
        </w:rPr>
        <w:tab/>
      </w:r>
      <w:r w:rsidRPr="00CD2E00">
        <w:rPr>
          <w:rFonts w:ascii="Georgia" w:hAnsi="Georgia"/>
          <w:sz w:val="24"/>
          <w:szCs w:val="24"/>
        </w:rPr>
        <w:tab/>
      </w:r>
      <w:r w:rsidRPr="00CD2E00">
        <w:rPr>
          <w:rFonts w:ascii="Georgia" w:hAnsi="Georgia"/>
          <w:sz w:val="24"/>
          <w:szCs w:val="24"/>
        </w:rPr>
        <w:tab/>
        <w:t>Docket No. ER10-2861-007</w:t>
      </w:r>
    </w:p>
    <w:p w14:paraId="1AB4887A" w14:textId="06243F42" w:rsidR="003A6CA5" w:rsidRPr="00CD2E00" w:rsidRDefault="003A6CA5" w:rsidP="003A6CA5">
      <w:pPr>
        <w:rPr>
          <w:rFonts w:ascii="Georgia" w:hAnsi="Georgia"/>
          <w:sz w:val="24"/>
          <w:szCs w:val="24"/>
        </w:rPr>
      </w:pPr>
      <w:r w:rsidRPr="00CD2E00">
        <w:rPr>
          <w:rFonts w:ascii="Georgia" w:hAnsi="Georgia"/>
          <w:sz w:val="24"/>
          <w:szCs w:val="24"/>
        </w:rPr>
        <w:t xml:space="preserve">Goal Line L.P. </w:t>
      </w:r>
      <w:r w:rsidRPr="00CD2E00">
        <w:rPr>
          <w:rFonts w:ascii="Georgia" w:hAnsi="Georgia"/>
          <w:sz w:val="24"/>
          <w:szCs w:val="24"/>
        </w:rPr>
        <w:tab/>
      </w:r>
      <w:r w:rsidRPr="00CD2E00">
        <w:rPr>
          <w:rFonts w:ascii="Georgia" w:hAnsi="Georgia"/>
          <w:sz w:val="24"/>
          <w:szCs w:val="24"/>
        </w:rPr>
        <w:tab/>
      </w:r>
      <w:r w:rsidRPr="00CD2E00">
        <w:rPr>
          <w:rFonts w:ascii="Georgia" w:hAnsi="Georgia"/>
          <w:sz w:val="24"/>
          <w:szCs w:val="24"/>
        </w:rPr>
        <w:tab/>
      </w:r>
      <w:r w:rsidRPr="00CD2E00">
        <w:rPr>
          <w:rFonts w:ascii="Georgia" w:hAnsi="Georgia"/>
          <w:sz w:val="24"/>
          <w:szCs w:val="24"/>
        </w:rPr>
        <w:tab/>
      </w:r>
      <w:r w:rsidRPr="00CD2E00">
        <w:rPr>
          <w:rFonts w:ascii="Georgia" w:hAnsi="Georgia"/>
          <w:sz w:val="24"/>
          <w:szCs w:val="24"/>
        </w:rPr>
        <w:tab/>
      </w:r>
      <w:r w:rsidRPr="00CD2E00">
        <w:rPr>
          <w:rFonts w:ascii="Georgia" w:hAnsi="Georgia"/>
          <w:sz w:val="24"/>
          <w:szCs w:val="24"/>
        </w:rPr>
        <w:tab/>
        <w:t>Docket No. ER13-2169</w:t>
      </w:r>
    </w:p>
    <w:p w14:paraId="1AE46B24" w14:textId="56954964" w:rsidR="003A6CA5" w:rsidRPr="00CD2E00" w:rsidRDefault="003A6CA5" w:rsidP="003A6CA5">
      <w:pPr>
        <w:rPr>
          <w:rFonts w:ascii="Georgia" w:hAnsi="Georgia"/>
          <w:sz w:val="24"/>
          <w:szCs w:val="24"/>
        </w:rPr>
      </w:pPr>
      <w:r w:rsidRPr="00CD2E00">
        <w:rPr>
          <w:rFonts w:ascii="Georgia" w:hAnsi="Georgia"/>
          <w:sz w:val="24"/>
          <w:szCs w:val="24"/>
        </w:rPr>
        <w:t>Hancock Wind, LLC</w:t>
      </w:r>
      <w:r w:rsidRPr="00CD2E00">
        <w:rPr>
          <w:rFonts w:ascii="Georgia" w:hAnsi="Georgia"/>
          <w:sz w:val="24"/>
          <w:szCs w:val="24"/>
        </w:rPr>
        <w:tab/>
      </w:r>
      <w:r w:rsidRPr="00CD2E00">
        <w:rPr>
          <w:rFonts w:ascii="Georgia" w:hAnsi="Georgia"/>
          <w:sz w:val="24"/>
          <w:szCs w:val="24"/>
        </w:rPr>
        <w:tab/>
      </w:r>
      <w:r w:rsidRPr="00CD2E00">
        <w:rPr>
          <w:rFonts w:ascii="Georgia" w:hAnsi="Georgia"/>
          <w:sz w:val="24"/>
          <w:szCs w:val="24"/>
        </w:rPr>
        <w:tab/>
      </w:r>
      <w:r w:rsidRPr="00CD2E00">
        <w:rPr>
          <w:rFonts w:ascii="Georgia" w:hAnsi="Georgia"/>
          <w:sz w:val="24"/>
          <w:szCs w:val="24"/>
        </w:rPr>
        <w:tab/>
      </w:r>
      <w:r w:rsidRPr="00CD2E00">
        <w:rPr>
          <w:rFonts w:ascii="Georgia" w:hAnsi="Georgia"/>
          <w:sz w:val="24"/>
          <w:szCs w:val="24"/>
        </w:rPr>
        <w:tab/>
      </w:r>
      <w:r w:rsidRPr="00CD2E00">
        <w:rPr>
          <w:rFonts w:ascii="Georgia" w:hAnsi="Georgia"/>
          <w:sz w:val="24"/>
          <w:szCs w:val="24"/>
        </w:rPr>
        <w:tab/>
        <w:t>Docket No. ER16-2010</w:t>
      </w:r>
    </w:p>
    <w:p w14:paraId="47EF0E1B" w14:textId="382D6AC1" w:rsidR="003A6CA5" w:rsidRPr="00CD2E00" w:rsidRDefault="003A6CA5" w:rsidP="003A6CA5">
      <w:pPr>
        <w:rPr>
          <w:rFonts w:ascii="Georgia" w:hAnsi="Georgia"/>
          <w:sz w:val="24"/>
          <w:szCs w:val="24"/>
        </w:rPr>
      </w:pPr>
      <w:r w:rsidRPr="00CD2E00">
        <w:rPr>
          <w:rFonts w:ascii="Georgia" w:hAnsi="Georgia"/>
          <w:sz w:val="24"/>
          <w:szCs w:val="24"/>
        </w:rPr>
        <w:t xml:space="preserve">Imperial Valley Solar Company (IVSC) 2, LLC </w:t>
      </w:r>
      <w:r w:rsidRPr="00CD2E00">
        <w:rPr>
          <w:rFonts w:ascii="Georgia" w:hAnsi="Georgia"/>
          <w:sz w:val="24"/>
          <w:szCs w:val="24"/>
        </w:rPr>
        <w:tab/>
      </w:r>
      <w:r w:rsidRPr="00CD2E00">
        <w:rPr>
          <w:rFonts w:ascii="Georgia" w:hAnsi="Georgia"/>
          <w:sz w:val="24"/>
          <w:szCs w:val="24"/>
        </w:rPr>
        <w:tab/>
        <w:t>Docket No. ER14-2939</w:t>
      </w:r>
    </w:p>
    <w:p w14:paraId="38FD0D55" w14:textId="630AE9E4" w:rsidR="003A6CA5" w:rsidRPr="00CD2E00" w:rsidRDefault="003A6CA5" w:rsidP="003A6CA5">
      <w:pPr>
        <w:rPr>
          <w:rFonts w:ascii="Georgia" w:hAnsi="Georgia"/>
          <w:sz w:val="24"/>
          <w:szCs w:val="24"/>
        </w:rPr>
      </w:pPr>
      <w:r w:rsidRPr="00CD2E00">
        <w:rPr>
          <w:rFonts w:ascii="Georgia" w:hAnsi="Georgia"/>
          <w:sz w:val="24"/>
          <w:szCs w:val="24"/>
        </w:rPr>
        <w:t>J.P. Morgan Ventures Energy Corp</w:t>
      </w:r>
      <w:r w:rsidRPr="00CD2E00">
        <w:rPr>
          <w:rFonts w:ascii="Georgia" w:hAnsi="Georgia"/>
          <w:sz w:val="24"/>
          <w:szCs w:val="24"/>
        </w:rPr>
        <w:tab/>
      </w:r>
      <w:r w:rsidRPr="00CD2E00">
        <w:rPr>
          <w:rFonts w:ascii="Georgia" w:hAnsi="Georgia"/>
          <w:sz w:val="24"/>
          <w:szCs w:val="24"/>
        </w:rPr>
        <w:tab/>
      </w:r>
      <w:r w:rsidRPr="00CD2E00">
        <w:rPr>
          <w:rFonts w:ascii="Georgia" w:hAnsi="Georgia"/>
          <w:sz w:val="24"/>
          <w:szCs w:val="24"/>
        </w:rPr>
        <w:tab/>
        <w:t>Docket No. ER10-2331-073</w:t>
      </w:r>
    </w:p>
    <w:p w14:paraId="5EF54274" w14:textId="2486FF93" w:rsidR="003A6CA5" w:rsidRPr="00CD2E00" w:rsidRDefault="003A6CA5" w:rsidP="003A6CA5">
      <w:pPr>
        <w:rPr>
          <w:rFonts w:ascii="Georgia" w:hAnsi="Georgia"/>
          <w:sz w:val="24"/>
          <w:szCs w:val="24"/>
        </w:rPr>
      </w:pPr>
      <w:r w:rsidRPr="00CD2E00">
        <w:rPr>
          <w:rFonts w:ascii="Georgia" w:hAnsi="Georgia"/>
          <w:sz w:val="24"/>
          <w:szCs w:val="24"/>
        </w:rPr>
        <w:t xml:space="preserve">KES Kingsburg, L.P. </w:t>
      </w:r>
      <w:r w:rsidRPr="00CD2E00">
        <w:rPr>
          <w:rFonts w:ascii="Georgia" w:hAnsi="Georgia"/>
          <w:sz w:val="24"/>
          <w:szCs w:val="24"/>
        </w:rPr>
        <w:tab/>
      </w:r>
      <w:r w:rsidRPr="00CD2E00">
        <w:rPr>
          <w:rFonts w:ascii="Georgia" w:hAnsi="Georgia"/>
          <w:sz w:val="24"/>
          <w:szCs w:val="24"/>
        </w:rPr>
        <w:tab/>
      </w:r>
      <w:r w:rsidRPr="00CD2E00">
        <w:rPr>
          <w:rFonts w:ascii="Georgia" w:hAnsi="Georgia"/>
          <w:sz w:val="24"/>
          <w:szCs w:val="24"/>
        </w:rPr>
        <w:tab/>
      </w:r>
      <w:r w:rsidRPr="00CD2E00">
        <w:rPr>
          <w:rFonts w:ascii="Georgia" w:hAnsi="Georgia"/>
          <w:sz w:val="24"/>
          <w:szCs w:val="24"/>
        </w:rPr>
        <w:tab/>
      </w:r>
      <w:r w:rsidRPr="00CD2E00">
        <w:rPr>
          <w:rFonts w:ascii="Georgia" w:hAnsi="Georgia"/>
          <w:sz w:val="24"/>
          <w:szCs w:val="24"/>
        </w:rPr>
        <w:tab/>
        <w:t>Docket No. ER11-3634</w:t>
      </w:r>
    </w:p>
    <w:p w14:paraId="0F380B9D" w14:textId="681DA37D" w:rsidR="004810BA" w:rsidRPr="00CD2E00" w:rsidRDefault="004810BA" w:rsidP="003A6CA5">
      <w:pPr>
        <w:rPr>
          <w:rFonts w:ascii="Georgia" w:hAnsi="Georgia"/>
          <w:sz w:val="24"/>
          <w:szCs w:val="24"/>
        </w:rPr>
      </w:pPr>
      <w:r w:rsidRPr="00CD2E00">
        <w:rPr>
          <w:rFonts w:ascii="Georgia" w:hAnsi="Georgia"/>
          <w:sz w:val="24"/>
          <w:szCs w:val="24"/>
        </w:rPr>
        <w:t>Mankato Energy Center, LLC</w:t>
      </w:r>
      <w:r w:rsidRPr="00CD2E00">
        <w:rPr>
          <w:rFonts w:ascii="Georgia" w:hAnsi="Georgia"/>
          <w:sz w:val="24"/>
          <w:szCs w:val="24"/>
        </w:rPr>
        <w:tab/>
      </w:r>
      <w:r w:rsidRPr="00CD2E00">
        <w:rPr>
          <w:rFonts w:ascii="Georgia" w:hAnsi="Georgia"/>
          <w:sz w:val="24"/>
          <w:szCs w:val="24"/>
        </w:rPr>
        <w:tab/>
      </w:r>
      <w:r w:rsidRPr="00CD2E00">
        <w:rPr>
          <w:rFonts w:ascii="Georgia" w:hAnsi="Georgia"/>
          <w:sz w:val="24"/>
          <w:szCs w:val="24"/>
        </w:rPr>
        <w:tab/>
      </w:r>
      <w:r w:rsidRPr="00CD2E00">
        <w:rPr>
          <w:rFonts w:ascii="Georgia" w:hAnsi="Georgia"/>
          <w:sz w:val="24"/>
          <w:szCs w:val="24"/>
        </w:rPr>
        <w:tab/>
        <w:t>Docket No. ER10-1874</w:t>
      </w:r>
    </w:p>
    <w:p w14:paraId="02034E69" w14:textId="79B0D067" w:rsidR="003A6CA5" w:rsidRPr="00CD2E00" w:rsidRDefault="003A6CA5" w:rsidP="003A6CA5">
      <w:pPr>
        <w:rPr>
          <w:rFonts w:ascii="Georgia" w:hAnsi="Georgia"/>
          <w:sz w:val="24"/>
          <w:szCs w:val="24"/>
        </w:rPr>
      </w:pPr>
      <w:r w:rsidRPr="00CD2E00">
        <w:rPr>
          <w:rFonts w:ascii="Georgia" w:hAnsi="Georgia"/>
          <w:sz w:val="24"/>
          <w:szCs w:val="24"/>
        </w:rPr>
        <w:t>Mankato Energy Center II, LLC</w:t>
      </w:r>
      <w:r w:rsidRPr="00CD2E00">
        <w:rPr>
          <w:rFonts w:ascii="Georgia" w:hAnsi="Georgia"/>
          <w:sz w:val="24"/>
          <w:szCs w:val="24"/>
        </w:rPr>
        <w:tab/>
      </w:r>
      <w:r w:rsidRPr="00CD2E00">
        <w:rPr>
          <w:rFonts w:ascii="Georgia" w:hAnsi="Georgia"/>
          <w:sz w:val="24"/>
          <w:szCs w:val="24"/>
        </w:rPr>
        <w:tab/>
      </w:r>
      <w:r w:rsidRPr="00CD2E00">
        <w:rPr>
          <w:rFonts w:ascii="Georgia" w:hAnsi="Georgia"/>
          <w:sz w:val="24"/>
          <w:szCs w:val="24"/>
        </w:rPr>
        <w:tab/>
      </w:r>
      <w:r w:rsidRPr="00CD2E00">
        <w:rPr>
          <w:rFonts w:ascii="Georgia" w:hAnsi="Georgia"/>
          <w:sz w:val="24"/>
          <w:szCs w:val="24"/>
        </w:rPr>
        <w:tab/>
        <w:t>Docket No. ER19-9</w:t>
      </w:r>
    </w:p>
    <w:p w14:paraId="6424164E" w14:textId="570C144A" w:rsidR="003A6CA5" w:rsidRPr="00CD2E00" w:rsidRDefault="003A6CA5" w:rsidP="003A6CA5">
      <w:pPr>
        <w:rPr>
          <w:rFonts w:ascii="Georgia" w:hAnsi="Georgia"/>
          <w:sz w:val="24"/>
          <w:szCs w:val="24"/>
        </w:rPr>
      </w:pPr>
      <w:r w:rsidRPr="00CD2E00">
        <w:rPr>
          <w:rFonts w:ascii="Georgia" w:hAnsi="Georgia"/>
          <w:sz w:val="24"/>
          <w:szCs w:val="24"/>
        </w:rPr>
        <w:t>Maricopa West Solar PV, LLC</w:t>
      </w:r>
      <w:r w:rsidRPr="00CD2E00">
        <w:rPr>
          <w:rFonts w:ascii="Georgia" w:hAnsi="Georgia"/>
          <w:sz w:val="24"/>
          <w:szCs w:val="24"/>
        </w:rPr>
        <w:tab/>
      </w:r>
      <w:r w:rsidRPr="00CD2E00">
        <w:rPr>
          <w:rFonts w:ascii="Georgia" w:hAnsi="Georgia"/>
          <w:sz w:val="24"/>
          <w:szCs w:val="24"/>
        </w:rPr>
        <w:tab/>
      </w:r>
      <w:r w:rsidRPr="00CD2E00">
        <w:rPr>
          <w:rFonts w:ascii="Georgia" w:hAnsi="Georgia"/>
          <w:sz w:val="24"/>
          <w:szCs w:val="24"/>
        </w:rPr>
        <w:tab/>
      </w:r>
      <w:r w:rsidRPr="00CD2E00">
        <w:rPr>
          <w:rFonts w:ascii="Georgia" w:hAnsi="Georgia"/>
          <w:sz w:val="24"/>
          <w:szCs w:val="24"/>
        </w:rPr>
        <w:tab/>
        <w:t>Docket No. ER15-2728</w:t>
      </w:r>
    </w:p>
    <w:p w14:paraId="57789A9B" w14:textId="1C071297" w:rsidR="003A6CA5" w:rsidRPr="00CD2E00" w:rsidRDefault="003A6CA5" w:rsidP="003A6CA5">
      <w:pPr>
        <w:rPr>
          <w:rFonts w:ascii="Georgia" w:hAnsi="Georgia"/>
          <w:sz w:val="24"/>
          <w:szCs w:val="24"/>
        </w:rPr>
      </w:pPr>
      <w:r w:rsidRPr="00CD2E00">
        <w:rPr>
          <w:rFonts w:ascii="Georgia" w:hAnsi="Georgia"/>
          <w:sz w:val="24"/>
          <w:szCs w:val="24"/>
        </w:rPr>
        <w:t xml:space="preserve">Mesquite Power, LLC </w:t>
      </w:r>
      <w:r w:rsidRPr="00CD2E00">
        <w:rPr>
          <w:rFonts w:ascii="Georgia" w:hAnsi="Georgia"/>
          <w:sz w:val="24"/>
          <w:szCs w:val="24"/>
        </w:rPr>
        <w:tab/>
      </w:r>
      <w:r w:rsidRPr="00CD2E00">
        <w:rPr>
          <w:rFonts w:ascii="Georgia" w:hAnsi="Georgia"/>
          <w:sz w:val="24"/>
          <w:szCs w:val="24"/>
        </w:rPr>
        <w:tab/>
      </w:r>
      <w:r w:rsidRPr="00CD2E00">
        <w:rPr>
          <w:rFonts w:ascii="Georgia" w:hAnsi="Georgia"/>
          <w:sz w:val="24"/>
          <w:szCs w:val="24"/>
        </w:rPr>
        <w:tab/>
      </w:r>
      <w:r w:rsidRPr="00CD2E00">
        <w:rPr>
          <w:rFonts w:ascii="Georgia" w:hAnsi="Georgia"/>
          <w:sz w:val="24"/>
          <w:szCs w:val="24"/>
        </w:rPr>
        <w:tab/>
      </w:r>
      <w:r w:rsidRPr="00CD2E00">
        <w:rPr>
          <w:rFonts w:ascii="Georgia" w:hAnsi="Georgia"/>
          <w:sz w:val="24"/>
          <w:szCs w:val="24"/>
        </w:rPr>
        <w:tab/>
        <w:t>Docket No. ER10-2977</w:t>
      </w:r>
    </w:p>
    <w:p w14:paraId="48D01835" w14:textId="0CB65C84" w:rsidR="003A6CA5" w:rsidRPr="00CD2E00" w:rsidRDefault="003A6CA5" w:rsidP="003A6CA5">
      <w:pPr>
        <w:rPr>
          <w:rFonts w:ascii="Georgia" w:hAnsi="Georgia"/>
          <w:sz w:val="24"/>
          <w:szCs w:val="24"/>
        </w:rPr>
      </w:pPr>
      <w:r w:rsidRPr="00CD2E00">
        <w:rPr>
          <w:rFonts w:ascii="Georgia" w:hAnsi="Georgia"/>
          <w:sz w:val="24"/>
          <w:szCs w:val="24"/>
        </w:rPr>
        <w:t>Mulberry Farm, LLC</w:t>
      </w:r>
      <w:r w:rsidRPr="00CD2E00">
        <w:rPr>
          <w:rFonts w:ascii="Georgia" w:hAnsi="Georgia"/>
          <w:sz w:val="24"/>
          <w:szCs w:val="24"/>
        </w:rPr>
        <w:tab/>
      </w:r>
      <w:r w:rsidRPr="00CD2E00">
        <w:rPr>
          <w:rFonts w:ascii="Georgia" w:hAnsi="Georgia"/>
          <w:sz w:val="24"/>
          <w:szCs w:val="24"/>
        </w:rPr>
        <w:tab/>
      </w:r>
      <w:r w:rsidRPr="00CD2E00">
        <w:rPr>
          <w:rFonts w:ascii="Georgia" w:hAnsi="Georgia"/>
          <w:sz w:val="24"/>
          <w:szCs w:val="24"/>
        </w:rPr>
        <w:tab/>
      </w:r>
      <w:r w:rsidRPr="00CD2E00">
        <w:rPr>
          <w:rFonts w:ascii="Georgia" w:hAnsi="Georgia"/>
          <w:sz w:val="24"/>
          <w:szCs w:val="24"/>
        </w:rPr>
        <w:tab/>
      </w:r>
      <w:r w:rsidRPr="00CD2E00">
        <w:rPr>
          <w:rFonts w:ascii="Georgia" w:hAnsi="Georgia"/>
          <w:sz w:val="24"/>
          <w:szCs w:val="24"/>
        </w:rPr>
        <w:tab/>
        <w:t>Docket No. ER14-2140</w:t>
      </w:r>
    </w:p>
    <w:p w14:paraId="723D724E" w14:textId="2E9E86BA" w:rsidR="003A6CA5" w:rsidRPr="00CD2E00" w:rsidRDefault="003A6CA5" w:rsidP="003A6CA5">
      <w:pPr>
        <w:rPr>
          <w:rFonts w:ascii="Georgia" w:hAnsi="Georgia"/>
          <w:sz w:val="24"/>
          <w:szCs w:val="24"/>
        </w:rPr>
      </w:pPr>
      <w:r w:rsidRPr="00CD2E00">
        <w:rPr>
          <w:rFonts w:ascii="Georgia" w:hAnsi="Georgia"/>
          <w:sz w:val="24"/>
          <w:szCs w:val="24"/>
        </w:rPr>
        <w:t>Palouse Wind, LLC</w:t>
      </w:r>
      <w:r w:rsidRPr="00CD2E00">
        <w:rPr>
          <w:rFonts w:ascii="Georgia" w:hAnsi="Georgia"/>
          <w:sz w:val="24"/>
          <w:szCs w:val="24"/>
        </w:rPr>
        <w:tab/>
      </w:r>
      <w:r w:rsidRPr="00CD2E00">
        <w:rPr>
          <w:rFonts w:ascii="Georgia" w:hAnsi="Georgia"/>
          <w:sz w:val="24"/>
          <w:szCs w:val="24"/>
        </w:rPr>
        <w:tab/>
      </w:r>
      <w:r w:rsidRPr="00CD2E00">
        <w:rPr>
          <w:rFonts w:ascii="Georgia" w:hAnsi="Georgia"/>
          <w:sz w:val="24"/>
          <w:szCs w:val="24"/>
        </w:rPr>
        <w:tab/>
      </w:r>
      <w:r w:rsidRPr="00CD2E00">
        <w:rPr>
          <w:rFonts w:ascii="Georgia" w:hAnsi="Georgia"/>
          <w:sz w:val="24"/>
          <w:szCs w:val="24"/>
        </w:rPr>
        <w:tab/>
      </w:r>
      <w:r w:rsidRPr="00CD2E00">
        <w:rPr>
          <w:rFonts w:ascii="Georgia" w:hAnsi="Georgia"/>
          <w:sz w:val="24"/>
          <w:szCs w:val="24"/>
        </w:rPr>
        <w:tab/>
      </w:r>
      <w:r w:rsidRPr="00CD2E00">
        <w:rPr>
          <w:rFonts w:ascii="Georgia" w:hAnsi="Georgia"/>
          <w:sz w:val="24"/>
          <w:szCs w:val="24"/>
        </w:rPr>
        <w:tab/>
        <w:t>Docket No. ER12-1308</w:t>
      </w:r>
    </w:p>
    <w:p w14:paraId="3A571E5C" w14:textId="7AC2121B" w:rsidR="003A6CA5" w:rsidRPr="00CD2E00" w:rsidRDefault="003A6CA5" w:rsidP="003A6CA5">
      <w:pPr>
        <w:rPr>
          <w:rFonts w:ascii="Georgia" w:hAnsi="Georgia"/>
          <w:sz w:val="24"/>
          <w:szCs w:val="24"/>
        </w:rPr>
      </w:pPr>
      <w:r w:rsidRPr="00CD2E00">
        <w:rPr>
          <w:rFonts w:ascii="Georgia" w:hAnsi="Georgia"/>
          <w:sz w:val="24"/>
          <w:szCs w:val="24"/>
        </w:rPr>
        <w:t>Pavant Solar LLC</w:t>
      </w:r>
      <w:r w:rsidRPr="00CD2E00">
        <w:rPr>
          <w:rFonts w:ascii="Georgia" w:hAnsi="Georgia"/>
          <w:sz w:val="24"/>
          <w:szCs w:val="24"/>
        </w:rPr>
        <w:tab/>
      </w:r>
      <w:r w:rsidRPr="00CD2E00">
        <w:rPr>
          <w:rFonts w:ascii="Georgia" w:hAnsi="Georgia"/>
          <w:sz w:val="24"/>
          <w:szCs w:val="24"/>
        </w:rPr>
        <w:tab/>
      </w:r>
      <w:r w:rsidRPr="00CD2E00">
        <w:rPr>
          <w:rFonts w:ascii="Georgia" w:hAnsi="Georgia"/>
          <w:sz w:val="24"/>
          <w:szCs w:val="24"/>
        </w:rPr>
        <w:tab/>
      </w:r>
      <w:r w:rsidRPr="00CD2E00">
        <w:rPr>
          <w:rFonts w:ascii="Georgia" w:hAnsi="Georgia"/>
          <w:sz w:val="24"/>
          <w:szCs w:val="24"/>
        </w:rPr>
        <w:tab/>
      </w:r>
      <w:r w:rsidRPr="00CD2E00">
        <w:rPr>
          <w:rFonts w:ascii="Georgia" w:hAnsi="Georgia"/>
          <w:sz w:val="24"/>
          <w:szCs w:val="24"/>
        </w:rPr>
        <w:tab/>
      </w:r>
      <w:r w:rsidRPr="00CD2E00">
        <w:rPr>
          <w:rFonts w:ascii="Georgia" w:hAnsi="Georgia"/>
          <w:sz w:val="24"/>
          <w:szCs w:val="24"/>
        </w:rPr>
        <w:tab/>
        <w:t>Docket No. ER15-1952</w:t>
      </w:r>
    </w:p>
    <w:p w14:paraId="3B348B5C" w14:textId="4576EBBB" w:rsidR="003A6CA5" w:rsidRPr="00CD2E00" w:rsidRDefault="003A6CA5" w:rsidP="003A6CA5">
      <w:pPr>
        <w:rPr>
          <w:rFonts w:ascii="Georgia" w:hAnsi="Georgia"/>
          <w:sz w:val="24"/>
          <w:szCs w:val="24"/>
        </w:rPr>
      </w:pPr>
      <w:r w:rsidRPr="00CD2E00">
        <w:rPr>
          <w:rFonts w:ascii="Georgia" w:hAnsi="Georgia"/>
          <w:sz w:val="24"/>
          <w:szCs w:val="24"/>
        </w:rPr>
        <w:t xml:space="preserve">Pio Pico Energy Center, LLC </w:t>
      </w:r>
      <w:r w:rsidRPr="00CD2E00">
        <w:rPr>
          <w:rFonts w:ascii="Georgia" w:hAnsi="Georgia"/>
          <w:sz w:val="24"/>
          <w:szCs w:val="24"/>
        </w:rPr>
        <w:tab/>
      </w:r>
      <w:r w:rsidR="001773E1" w:rsidRPr="00CD2E00">
        <w:rPr>
          <w:rFonts w:ascii="Georgia" w:hAnsi="Georgia"/>
          <w:sz w:val="24"/>
          <w:szCs w:val="24"/>
        </w:rPr>
        <w:tab/>
      </w:r>
      <w:r w:rsidR="001773E1" w:rsidRPr="00CD2E00">
        <w:rPr>
          <w:rFonts w:ascii="Georgia" w:hAnsi="Georgia"/>
          <w:sz w:val="24"/>
          <w:szCs w:val="24"/>
        </w:rPr>
        <w:tab/>
      </w:r>
      <w:r w:rsidR="001773E1" w:rsidRPr="00CD2E00">
        <w:rPr>
          <w:rFonts w:ascii="Georgia" w:hAnsi="Georgia"/>
          <w:sz w:val="24"/>
          <w:szCs w:val="24"/>
        </w:rPr>
        <w:tab/>
      </w:r>
      <w:r w:rsidRPr="00CD2E00">
        <w:rPr>
          <w:rFonts w:ascii="Georgia" w:hAnsi="Georgia"/>
          <w:sz w:val="24"/>
          <w:szCs w:val="24"/>
        </w:rPr>
        <w:t>Docket No. ER16-0711-001</w:t>
      </w:r>
    </w:p>
    <w:p w14:paraId="69D31D63" w14:textId="4D3D47CF" w:rsidR="003A6CA5" w:rsidRPr="00CD2E00" w:rsidRDefault="003A6CA5" w:rsidP="003A6CA5">
      <w:pPr>
        <w:rPr>
          <w:rFonts w:ascii="Georgia" w:hAnsi="Georgia"/>
          <w:sz w:val="24"/>
          <w:szCs w:val="24"/>
        </w:rPr>
      </w:pPr>
      <w:r w:rsidRPr="00CD2E00">
        <w:rPr>
          <w:rFonts w:ascii="Georgia" w:hAnsi="Georgia"/>
          <w:sz w:val="24"/>
          <w:szCs w:val="24"/>
        </w:rPr>
        <w:t xml:space="preserve">RE Camelot, LLC </w:t>
      </w:r>
      <w:r w:rsidRPr="00CD2E00">
        <w:rPr>
          <w:rFonts w:ascii="Georgia" w:hAnsi="Georgia"/>
          <w:sz w:val="24"/>
          <w:szCs w:val="24"/>
        </w:rPr>
        <w:tab/>
      </w:r>
      <w:r w:rsidR="001773E1" w:rsidRPr="00CD2E00">
        <w:rPr>
          <w:rFonts w:ascii="Georgia" w:hAnsi="Georgia"/>
          <w:sz w:val="24"/>
          <w:szCs w:val="24"/>
        </w:rPr>
        <w:tab/>
      </w:r>
      <w:r w:rsidR="001773E1" w:rsidRPr="00CD2E00">
        <w:rPr>
          <w:rFonts w:ascii="Georgia" w:hAnsi="Georgia"/>
          <w:sz w:val="24"/>
          <w:szCs w:val="24"/>
        </w:rPr>
        <w:tab/>
      </w:r>
      <w:r w:rsidR="001773E1" w:rsidRPr="00CD2E00">
        <w:rPr>
          <w:rFonts w:ascii="Georgia" w:hAnsi="Georgia"/>
          <w:sz w:val="24"/>
          <w:szCs w:val="24"/>
        </w:rPr>
        <w:tab/>
      </w:r>
      <w:r w:rsidR="001773E1" w:rsidRPr="00CD2E00">
        <w:rPr>
          <w:rFonts w:ascii="Georgia" w:hAnsi="Georgia"/>
          <w:sz w:val="24"/>
          <w:szCs w:val="24"/>
        </w:rPr>
        <w:tab/>
      </w:r>
      <w:r w:rsidR="001773E1" w:rsidRPr="00CD2E00">
        <w:rPr>
          <w:rFonts w:ascii="Georgia" w:hAnsi="Georgia"/>
          <w:sz w:val="24"/>
          <w:szCs w:val="24"/>
        </w:rPr>
        <w:tab/>
      </w:r>
      <w:r w:rsidRPr="00CD2E00">
        <w:rPr>
          <w:rFonts w:ascii="Georgia" w:hAnsi="Georgia"/>
          <w:sz w:val="24"/>
          <w:szCs w:val="24"/>
        </w:rPr>
        <w:t>Docket No. ER14-2466</w:t>
      </w:r>
    </w:p>
    <w:p w14:paraId="631B5E6B" w14:textId="6BAFFBC9" w:rsidR="003A6CA5" w:rsidRPr="00CD2E00" w:rsidRDefault="003A6CA5" w:rsidP="003A6CA5">
      <w:pPr>
        <w:rPr>
          <w:rFonts w:ascii="Georgia" w:hAnsi="Georgia"/>
          <w:sz w:val="24"/>
          <w:szCs w:val="24"/>
        </w:rPr>
      </w:pPr>
      <w:r w:rsidRPr="00CD2E00">
        <w:rPr>
          <w:rFonts w:ascii="Georgia" w:hAnsi="Georgia"/>
          <w:sz w:val="24"/>
          <w:szCs w:val="24"/>
        </w:rPr>
        <w:t xml:space="preserve">RE Columbia Two LLC </w:t>
      </w:r>
      <w:r w:rsidRPr="00CD2E00">
        <w:rPr>
          <w:rFonts w:ascii="Georgia" w:hAnsi="Georgia"/>
          <w:sz w:val="24"/>
          <w:szCs w:val="24"/>
        </w:rPr>
        <w:tab/>
      </w:r>
      <w:r w:rsidR="001773E1" w:rsidRPr="00CD2E00">
        <w:rPr>
          <w:rFonts w:ascii="Georgia" w:hAnsi="Georgia"/>
          <w:sz w:val="24"/>
          <w:szCs w:val="24"/>
        </w:rPr>
        <w:tab/>
      </w:r>
      <w:r w:rsidR="001773E1" w:rsidRPr="00CD2E00">
        <w:rPr>
          <w:rFonts w:ascii="Georgia" w:hAnsi="Georgia"/>
          <w:sz w:val="24"/>
          <w:szCs w:val="24"/>
        </w:rPr>
        <w:tab/>
      </w:r>
      <w:r w:rsidR="001773E1" w:rsidRPr="00CD2E00">
        <w:rPr>
          <w:rFonts w:ascii="Georgia" w:hAnsi="Georgia"/>
          <w:sz w:val="24"/>
          <w:szCs w:val="24"/>
        </w:rPr>
        <w:tab/>
      </w:r>
      <w:r w:rsidR="001773E1" w:rsidRPr="00CD2E00">
        <w:rPr>
          <w:rFonts w:ascii="Georgia" w:hAnsi="Georgia"/>
          <w:sz w:val="24"/>
          <w:szCs w:val="24"/>
        </w:rPr>
        <w:tab/>
      </w:r>
      <w:r w:rsidRPr="00CD2E00">
        <w:rPr>
          <w:rFonts w:ascii="Georgia" w:hAnsi="Georgia"/>
          <w:sz w:val="24"/>
          <w:szCs w:val="24"/>
        </w:rPr>
        <w:t>Docket No. ER14-2465</w:t>
      </w:r>
    </w:p>
    <w:p w14:paraId="2C020796" w14:textId="406A14C4" w:rsidR="003A6CA5" w:rsidRPr="00CD2E00" w:rsidRDefault="003A6CA5" w:rsidP="003A6CA5">
      <w:pPr>
        <w:rPr>
          <w:rFonts w:ascii="Georgia" w:hAnsi="Georgia"/>
          <w:sz w:val="24"/>
          <w:szCs w:val="24"/>
        </w:rPr>
      </w:pPr>
      <w:r w:rsidRPr="00CD2E00">
        <w:rPr>
          <w:rFonts w:ascii="Georgia" w:hAnsi="Georgia"/>
          <w:sz w:val="24"/>
          <w:szCs w:val="24"/>
        </w:rPr>
        <w:t>Selmer Farm, LLC</w:t>
      </w:r>
      <w:r w:rsidRPr="00CD2E00">
        <w:rPr>
          <w:rFonts w:ascii="Georgia" w:hAnsi="Georgia"/>
          <w:sz w:val="24"/>
          <w:szCs w:val="24"/>
        </w:rPr>
        <w:tab/>
      </w:r>
      <w:r w:rsidR="001773E1" w:rsidRPr="00CD2E00">
        <w:rPr>
          <w:rFonts w:ascii="Georgia" w:hAnsi="Georgia"/>
          <w:sz w:val="24"/>
          <w:szCs w:val="24"/>
        </w:rPr>
        <w:tab/>
      </w:r>
      <w:r w:rsidR="001773E1" w:rsidRPr="00CD2E00">
        <w:rPr>
          <w:rFonts w:ascii="Georgia" w:hAnsi="Georgia"/>
          <w:sz w:val="24"/>
          <w:szCs w:val="24"/>
        </w:rPr>
        <w:tab/>
      </w:r>
      <w:r w:rsidR="001773E1" w:rsidRPr="00CD2E00">
        <w:rPr>
          <w:rFonts w:ascii="Georgia" w:hAnsi="Georgia"/>
          <w:sz w:val="24"/>
          <w:szCs w:val="24"/>
        </w:rPr>
        <w:tab/>
      </w:r>
      <w:r w:rsidR="001773E1" w:rsidRPr="00CD2E00">
        <w:rPr>
          <w:rFonts w:ascii="Georgia" w:hAnsi="Georgia"/>
          <w:sz w:val="24"/>
          <w:szCs w:val="24"/>
        </w:rPr>
        <w:tab/>
      </w:r>
      <w:r w:rsidR="001773E1" w:rsidRPr="00CD2E00">
        <w:rPr>
          <w:rFonts w:ascii="Georgia" w:hAnsi="Georgia"/>
          <w:sz w:val="24"/>
          <w:szCs w:val="24"/>
        </w:rPr>
        <w:tab/>
      </w:r>
      <w:r w:rsidRPr="00CD2E00">
        <w:rPr>
          <w:rFonts w:ascii="Georgia" w:hAnsi="Georgia"/>
          <w:sz w:val="24"/>
          <w:szCs w:val="24"/>
        </w:rPr>
        <w:t>Docket No. ER14-2141</w:t>
      </w:r>
    </w:p>
    <w:p w14:paraId="64E9E1BA" w14:textId="5615AFB0" w:rsidR="003A6CA5" w:rsidRPr="00CD2E00" w:rsidRDefault="003A6CA5" w:rsidP="003A6CA5">
      <w:pPr>
        <w:rPr>
          <w:rFonts w:ascii="Georgia" w:hAnsi="Georgia"/>
          <w:sz w:val="24"/>
          <w:szCs w:val="24"/>
        </w:rPr>
      </w:pPr>
      <w:r w:rsidRPr="00CD2E00">
        <w:rPr>
          <w:rFonts w:ascii="Georgia" w:hAnsi="Georgia"/>
          <w:sz w:val="24"/>
          <w:szCs w:val="24"/>
        </w:rPr>
        <w:t xml:space="preserve">Sunflower Wind Project LLC </w:t>
      </w:r>
      <w:r w:rsidRPr="00CD2E00">
        <w:rPr>
          <w:rFonts w:ascii="Georgia" w:hAnsi="Georgia"/>
          <w:sz w:val="24"/>
          <w:szCs w:val="24"/>
        </w:rPr>
        <w:tab/>
      </w:r>
      <w:r w:rsidR="001773E1" w:rsidRPr="00CD2E00">
        <w:rPr>
          <w:rFonts w:ascii="Georgia" w:hAnsi="Georgia"/>
          <w:sz w:val="24"/>
          <w:szCs w:val="24"/>
        </w:rPr>
        <w:tab/>
      </w:r>
      <w:r w:rsidR="001773E1" w:rsidRPr="00CD2E00">
        <w:rPr>
          <w:rFonts w:ascii="Georgia" w:hAnsi="Georgia"/>
          <w:sz w:val="24"/>
          <w:szCs w:val="24"/>
        </w:rPr>
        <w:tab/>
      </w:r>
      <w:r w:rsidR="001773E1" w:rsidRPr="00CD2E00">
        <w:rPr>
          <w:rFonts w:ascii="Georgia" w:hAnsi="Georgia"/>
          <w:sz w:val="24"/>
          <w:szCs w:val="24"/>
        </w:rPr>
        <w:tab/>
      </w:r>
      <w:r w:rsidRPr="00CD2E00">
        <w:rPr>
          <w:rFonts w:ascii="Georgia" w:hAnsi="Georgia"/>
          <w:sz w:val="24"/>
          <w:szCs w:val="24"/>
        </w:rPr>
        <w:t>Docket No. ER16-2561</w:t>
      </w:r>
    </w:p>
    <w:p w14:paraId="7B858D69" w14:textId="05484FDA" w:rsidR="003A6CA5" w:rsidRPr="003A6CA5" w:rsidRDefault="003A6CA5" w:rsidP="003A6CA5">
      <w:pPr>
        <w:rPr>
          <w:rFonts w:ascii="Georgia" w:hAnsi="Georgia"/>
          <w:sz w:val="24"/>
          <w:szCs w:val="24"/>
        </w:rPr>
      </w:pPr>
      <w:r w:rsidRPr="00CD2E00">
        <w:rPr>
          <w:rFonts w:ascii="Georgia" w:hAnsi="Georgia"/>
          <w:sz w:val="24"/>
          <w:szCs w:val="24"/>
        </w:rPr>
        <w:t>SWG Arapahoe, LLC</w:t>
      </w:r>
      <w:r w:rsidRPr="003A6CA5">
        <w:rPr>
          <w:rFonts w:ascii="Georgia" w:hAnsi="Georgia"/>
          <w:sz w:val="24"/>
          <w:szCs w:val="24"/>
        </w:rPr>
        <w:tab/>
      </w:r>
      <w:r w:rsidR="005979A4">
        <w:rPr>
          <w:rFonts w:ascii="Georgia" w:hAnsi="Georgia"/>
          <w:sz w:val="24"/>
          <w:szCs w:val="24"/>
        </w:rPr>
        <w:tab/>
      </w:r>
      <w:r w:rsidR="005979A4">
        <w:rPr>
          <w:rFonts w:ascii="Georgia" w:hAnsi="Georgia"/>
          <w:sz w:val="24"/>
          <w:szCs w:val="24"/>
        </w:rPr>
        <w:tab/>
      </w:r>
      <w:r w:rsidR="005979A4">
        <w:rPr>
          <w:rFonts w:ascii="Georgia" w:hAnsi="Georgia"/>
          <w:sz w:val="24"/>
          <w:szCs w:val="24"/>
        </w:rPr>
        <w:tab/>
      </w:r>
      <w:r w:rsidR="005979A4">
        <w:rPr>
          <w:rFonts w:ascii="Georgia" w:hAnsi="Georgia"/>
          <w:sz w:val="24"/>
          <w:szCs w:val="24"/>
        </w:rPr>
        <w:tab/>
      </w:r>
      <w:r w:rsidRPr="003A6CA5">
        <w:rPr>
          <w:rFonts w:ascii="Georgia" w:hAnsi="Georgia"/>
          <w:sz w:val="24"/>
          <w:szCs w:val="24"/>
        </w:rPr>
        <w:t>Docket No. ER13-1504-008</w:t>
      </w:r>
    </w:p>
    <w:p w14:paraId="20E3932D" w14:textId="554F0EAB" w:rsidR="00D341F3" w:rsidRDefault="003A6CA5" w:rsidP="003A6CA5">
      <w:pPr>
        <w:rPr>
          <w:rFonts w:ascii="Georgia" w:hAnsi="Georgia"/>
          <w:sz w:val="24"/>
          <w:szCs w:val="24"/>
        </w:rPr>
      </w:pPr>
      <w:r w:rsidRPr="003A6CA5">
        <w:rPr>
          <w:rFonts w:ascii="Georgia" w:hAnsi="Georgia"/>
          <w:sz w:val="24"/>
          <w:szCs w:val="24"/>
        </w:rPr>
        <w:t xml:space="preserve">Valencia Power, LLC </w:t>
      </w:r>
      <w:r w:rsidRPr="003A6CA5">
        <w:rPr>
          <w:rFonts w:ascii="Georgia" w:hAnsi="Georgia"/>
          <w:sz w:val="24"/>
          <w:szCs w:val="24"/>
        </w:rPr>
        <w:tab/>
      </w:r>
      <w:r w:rsidR="005979A4">
        <w:rPr>
          <w:rFonts w:ascii="Georgia" w:hAnsi="Georgia"/>
          <w:sz w:val="24"/>
          <w:szCs w:val="24"/>
        </w:rPr>
        <w:tab/>
      </w:r>
      <w:r w:rsidR="005979A4">
        <w:rPr>
          <w:rFonts w:ascii="Georgia" w:hAnsi="Georgia"/>
          <w:sz w:val="24"/>
          <w:szCs w:val="24"/>
        </w:rPr>
        <w:tab/>
      </w:r>
      <w:r w:rsidR="005979A4">
        <w:rPr>
          <w:rFonts w:ascii="Georgia" w:hAnsi="Georgia"/>
          <w:sz w:val="24"/>
          <w:szCs w:val="24"/>
        </w:rPr>
        <w:tab/>
      </w:r>
      <w:r w:rsidR="005979A4">
        <w:rPr>
          <w:rFonts w:ascii="Georgia" w:hAnsi="Georgia"/>
          <w:sz w:val="24"/>
          <w:szCs w:val="24"/>
        </w:rPr>
        <w:tab/>
      </w:r>
      <w:r w:rsidRPr="003A6CA5">
        <w:rPr>
          <w:rFonts w:ascii="Georgia" w:hAnsi="Georgia"/>
          <w:sz w:val="24"/>
          <w:szCs w:val="24"/>
        </w:rPr>
        <w:t>Docket No. ER10-2867-</w:t>
      </w:r>
    </w:p>
    <w:p w14:paraId="736FC449" w14:textId="77777777" w:rsidR="008064E0" w:rsidRDefault="008064E0">
      <w:pPr>
        <w:rPr>
          <w:rFonts w:ascii="Georgia" w:hAnsi="Georgia"/>
          <w:sz w:val="24"/>
          <w:szCs w:val="24"/>
        </w:rPr>
      </w:pPr>
    </w:p>
    <w:p w14:paraId="0C58424E" w14:textId="0398A5DE" w:rsidR="00A57009" w:rsidRDefault="00A57009">
      <w:pPr>
        <w:rPr>
          <w:rFonts w:ascii="Georgia" w:hAnsi="Georgia"/>
          <w:sz w:val="24"/>
          <w:szCs w:val="24"/>
        </w:rPr>
      </w:pPr>
    </w:p>
    <w:p w14:paraId="29E5248E" w14:textId="593E3FE5" w:rsidR="00A57009" w:rsidRPr="005C4265" w:rsidRDefault="00BF5E99" w:rsidP="005C4265">
      <w:pPr>
        <w:jc w:val="center"/>
        <w:rPr>
          <w:rFonts w:ascii="Georgia" w:hAnsi="Georgia"/>
          <w:b/>
          <w:bCs/>
          <w:sz w:val="24"/>
          <w:szCs w:val="24"/>
        </w:rPr>
      </w:pPr>
      <w:r w:rsidRPr="00EA17C5">
        <w:rPr>
          <w:rFonts w:ascii="Georgia" w:hAnsi="Georgia"/>
          <w:b/>
          <w:bCs/>
          <w:sz w:val="24"/>
          <w:szCs w:val="24"/>
        </w:rPr>
        <w:t xml:space="preserve">Motion </w:t>
      </w:r>
      <w:r w:rsidR="00206D07" w:rsidRPr="00EA17C5">
        <w:rPr>
          <w:rFonts w:ascii="Georgia" w:hAnsi="Georgia"/>
          <w:b/>
          <w:bCs/>
          <w:sz w:val="24"/>
          <w:szCs w:val="24"/>
        </w:rPr>
        <w:t>to Intervene of</w:t>
      </w:r>
      <w:r w:rsidRPr="00EA17C5">
        <w:rPr>
          <w:rFonts w:ascii="Georgia" w:hAnsi="Georgia"/>
          <w:b/>
          <w:bCs/>
          <w:sz w:val="24"/>
          <w:szCs w:val="24"/>
        </w:rPr>
        <w:t xml:space="preserve"> Public Citizen, Inc.</w:t>
      </w:r>
      <w:r w:rsidR="002A497C" w:rsidRPr="00EA17C5">
        <w:rPr>
          <w:rFonts w:ascii="Georgia" w:hAnsi="Georgia"/>
          <w:b/>
          <w:bCs/>
          <w:sz w:val="24"/>
          <w:szCs w:val="24"/>
        </w:rPr>
        <w:t xml:space="preserve">, and Protest The MBR Sellers Failure to </w:t>
      </w:r>
      <w:r w:rsidR="00EA17C5" w:rsidRPr="00EA17C5">
        <w:rPr>
          <w:rFonts w:ascii="Georgia" w:hAnsi="Georgia"/>
          <w:b/>
          <w:bCs/>
          <w:sz w:val="24"/>
          <w:szCs w:val="24"/>
        </w:rPr>
        <w:t>Report J.P. Morgan Chase &amp; Co. As An Affiliate</w:t>
      </w:r>
    </w:p>
    <w:p w14:paraId="675A71C9" w14:textId="10C413C1" w:rsidR="00EA17C5" w:rsidRDefault="00EA17C5">
      <w:pPr>
        <w:rPr>
          <w:rFonts w:ascii="Georgia" w:hAnsi="Georgia"/>
          <w:sz w:val="24"/>
          <w:szCs w:val="24"/>
        </w:rPr>
      </w:pPr>
    </w:p>
    <w:p w14:paraId="2671232E" w14:textId="52961EFF" w:rsidR="00F315A8" w:rsidRDefault="00EA17C5" w:rsidP="00E161C3">
      <w:pPr>
        <w:spacing w:line="360" w:lineRule="auto"/>
        <w:rPr>
          <w:rFonts w:ascii="Georgia" w:hAnsi="Georgia"/>
          <w:sz w:val="24"/>
          <w:szCs w:val="24"/>
        </w:rPr>
      </w:pPr>
      <w:r>
        <w:rPr>
          <w:rFonts w:ascii="Georgia" w:hAnsi="Georgia"/>
          <w:sz w:val="24"/>
          <w:szCs w:val="24"/>
        </w:rPr>
        <w:tab/>
      </w:r>
      <w:r w:rsidR="00DC6575">
        <w:rPr>
          <w:rFonts w:ascii="Georgia" w:hAnsi="Georgia"/>
          <w:sz w:val="24"/>
          <w:szCs w:val="24"/>
        </w:rPr>
        <w:t xml:space="preserve">The </w:t>
      </w:r>
      <w:r w:rsidR="006A6CB1">
        <w:rPr>
          <w:rFonts w:ascii="Georgia" w:hAnsi="Georgia"/>
          <w:sz w:val="24"/>
          <w:szCs w:val="24"/>
        </w:rPr>
        <w:t xml:space="preserve">market based rate authority sellers </w:t>
      </w:r>
      <w:r w:rsidR="00DE0257">
        <w:rPr>
          <w:rFonts w:ascii="Georgia" w:hAnsi="Georgia"/>
          <w:sz w:val="24"/>
          <w:szCs w:val="24"/>
        </w:rPr>
        <w:t>have failed to report their affiliation with the Wall Street investment bank J.P. Morgan</w:t>
      </w:r>
      <w:r w:rsidR="00D16533">
        <w:rPr>
          <w:rFonts w:ascii="Georgia" w:hAnsi="Georgia"/>
          <w:sz w:val="24"/>
          <w:szCs w:val="24"/>
        </w:rPr>
        <w:t xml:space="preserve"> Chase &amp; Co</w:t>
      </w:r>
      <w:r w:rsidR="00EF6B01">
        <w:rPr>
          <w:rFonts w:ascii="Georgia" w:hAnsi="Georgia"/>
          <w:sz w:val="24"/>
          <w:szCs w:val="24"/>
        </w:rPr>
        <w:t xml:space="preserve">, as required by </w:t>
      </w:r>
      <w:r w:rsidR="00EF6B01" w:rsidRPr="00EF6B01">
        <w:rPr>
          <w:rFonts w:ascii="Georgia" w:hAnsi="Georgia"/>
          <w:sz w:val="24"/>
          <w:szCs w:val="24"/>
        </w:rPr>
        <w:t>18 C.F.R. § 35.42</w:t>
      </w:r>
      <w:r w:rsidR="00D16533">
        <w:rPr>
          <w:rFonts w:ascii="Georgia" w:hAnsi="Georgia"/>
          <w:sz w:val="24"/>
          <w:szCs w:val="24"/>
        </w:rPr>
        <w:t>.</w:t>
      </w:r>
      <w:r w:rsidR="00CB2568">
        <w:rPr>
          <w:rFonts w:ascii="Georgia" w:hAnsi="Georgia"/>
          <w:sz w:val="24"/>
          <w:szCs w:val="24"/>
        </w:rPr>
        <w:t xml:space="preserve"> </w:t>
      </w:r>
      <w:r w:rsidR="00CF01C3">
        <w:rPr>
          <w:rFonts w:ascii="Georgia" w:hAnsi="Georgia"/>
          <w:sz w:val="24"/>
          <w:szCs w:val="24"/>
        </w:rPr>
        <w:t xml:space="preserve">The MBR sellers are </w:t>
      </w:r>
      <w:r w:rsidR="005C61CA">
        <w:rPr>
          <w:rFonts w:ascii="Georgia" w:hAnsi="Georgia"/>
          <w:sz w:val="24"/>
          <w:szCs w:val="24"/>
        </w:rPr>
        <w:t xml:space="preserve">affiliated </w:t>
      </w:r>
      <w:r w:rsidR="00CB2568">
        <w:rPr>
          <w:rFonts w:ascii="Georgia" w:hAnsi="Georgia"/>
          <w:sz w:val="24"/>
          <w:szCs w:val="24"/>
        </w:rPr>
        <w:t xml:space="preserve">with </w:t>
      </w:r>
      <w:r w:rsidR="009357E7" w:rsidRPr="009357E7">
        <w:rPr>
          <w:rFonts w:ascii="Georgia" w:hAnsi="Georgia"/>
          <w:sz w:val="24"/>
          <w:szCs w:val="24"/>
        </w:rPr>
        <w:t xml:space="preserve">shell holding companies organized under </w:t>
      </w:r>
      <w:r w:rsidR="001C3263">
        <w:rPr>
          <w:rFonts w:ascii="Georgia" w:hAnsi="Georgia"/>
          <w:sz w:val="24"/>
          <w:szCs w:val="24"/>
        </w:rPr>
        <w:t xml:space="preserve">the </w:t>
      </w:r>
      <w:r w:rsidR="005526BE">
        <w:rPr>
          <w:rFonts w:ascii="Georgia" w:hAnsi="Georgia"/>
          <w:sz w:val="24"/>
          <w:szCs w:val="24"/>
        </w:rPr>
        <w:t>umbrella moniker</w:t>
      </w:r>
      <w:r w:rsidR="009357E7" w:rsidRPr="009357E7">
        <w:rPr>
          <w:rFonts w:ascii="Georgia" w:hAnsi="Georgia"/>
          <w:sz w:val="24"/>
          <w:szCs w:val="24"/>
        </w:rPr>
        <w:t xml:space="preserve"> Infrastructure Investments Fund (IIF)</w:t>
      </w:r>
      <w:r w:rsidR="00756339">
        <w:rPr>
          <w:rFonts w:ascii="Georgia" w:hAnsi="Georgia"/>
          <w:sz w:val="24"/>
          <w:szCs w:val="24"/>
        </w:rPr>
        <w:t>.</w:t>
      </w:r>
      <w:r w:rsidR="00435680">
        <w:rPr>
          <w:rFonts w:ascii="Georgia" w:hAnsi="Georgia"/>
          <w:sz w:val="24"/>
          <w:szCs w:val="24"/>
        </w:rPr>
        <w:t xml:space="preserve"> IIF controls three companies</w:t>
      </w:r>
      <w:r w:rsidR="00F95DBC">
        <w:rPr>
          <w:rFonts w:ascii="Georgia" w:hAnsi="Georgia"/>
          <w:sz w:val="24"/>
          <w:szCs w:val="24"/>
        </w:rPr>
        <w:t xml:space="preserve"> that have subsidiaries granted MBR authority: El Paso Electric Company, </w:t>
      </w:r>
      <w:r w:rsidR="00F85403" w:rsidRPr="00F85403">
        <w:rPr>
          <w:rFonts w:ascii="Georgia" w:hAnsi="Georgia"/>
          <w:sz w:val="24"/>
          <w:szCs w:val="24"/>
        </w:rPr>
        <w:t>Southwest Generation Operating Company LLC</w:t>
      </w:r>
      <w:r w:rsidR="00B81DC5">
        <w:rPr>
          <w:rFonts w:ascii="Georgia" w:hAnsi="Georgia"/>
          <w:sz w:val="24"/>
          <w:szCs w:val="24"/>
        </w:rPr>
        <w:t xml:space="preserve">, and </w:t>
      </w:r>
      <w:r w:rsidR="003B3CBC" w:rsidRPr="003B3CBC">
        <w:rPr>
          <w:rFonts w:ascii="Georgia" w:hAnsi="Georgia"/>
          <w:sz w:val="24"/>
          <w:szCs w:val="24"/>
        </w:rPr>
        <w:t>Novatus Energy LLC</w:t>
      </w:r>
      <w:r w:rsidR="003B3CBC">
        <w:rPr>
          <w:rFonts w:ascii="Georgia" w:hAnsi="Georgia"/>
          <w:sz w:val="24"/>
          <w:szCs w:val="24"/>
        </w:rPr>
        <w:t>.</w:t>
      </w:r>
      <w:r w:rsidR="00756339">
        <w:rPr>
          <w:rFonts w:ascii="Georgia" w:hAnsi="Georgia"/>
          <w:sz w:val="24"/>
          <w:szCs w:val="24"/>
        </w:rPr>
        <w:t xml:space="preserve"> </w:t>
      </w:r>
      <w:r w:rsidR="00E441CE">
        <w:rPr>
          <w:rFonts w:ascii="Georgia" w:hAnsi="Georgia"/>
          <w:sz w:val="24"/>
          <w:szCs w:val="24"/>
        </w:rPr>
        <w:t xml:space="preserve">The record shows that </w:t>
      </w:r>
      <w:r w:rsidR="009357E7" w:rsidRPr="009357E7">
        <w:rPr>
          <w:rFonts w:ascii="Georgia" w:hAnsi="Georgia"/>
          <w:sz w:val="24"/>
          <w:szCs w:val="24"/>
        </w:rPr>
        <w:t xml:space="preserve">J.P. Morgan Chase &amp; Co </w:t>
      </w:r>
      <w:r w:rsidR="00756339">
        <w:rPr>
          <w:rFonts w:ascii="Georgia" w:hAnsi="Georgia"/>
          <w:sz w:val="24"/>
          <w:szCs w:val="24"/>
        </w:rPr>
        <w:t>created</w:t>
      </w:r>
      <w:r w:rsidR="002658C3">
        <w:rPr>
          <w:rFonts w:ascii="Georgia" w:hAnsi="Georgia"/>
          <w:sz w:val="24"/>
          <w:szCs w:val="24"/>
        </w:rPr>
        <w:t xml:space="preserve"> IIF, currently </w:t>
      </w:r>
      <w:r w:rsidR="009357E7" w:rsidRPr="009357E7">
        <w:rPr>
          <w:rFonts w:ascii="Georgia" w:hAnsi="Georgia"/>
          <w:sz w:val="24"/>
          <w:szCs w:val="24"/>
        </w:rPr>
        <w:t>manages</w:t>
      </w:r>
      <w:r w:rsidR="001435C3">
        <w:rPr>
          <w:rFonts w:ascii="Georgia" w:hAnsi="Georgia"/>
          <w:sz w:val="24"/>
          <w:szCs w:val="24"/>
        </w:rPr>
        <w:t xml:space="preserve"> and</w:t>
      </w:r>
      <w:r w:rsidR="009357E7" w:rsidRPr="009357E7">
        <w:rPr>
          <w:rFonts w:ascii="Georgia" w:hAnsi="Georgia"/>
          <w:sz w:val="24"/>
          <w:szCs w:val="24"/>
        </w:rPr>
        <w:t xml:space="preserve"> controls</w:t>
      </w:r>
      <w:r w:rsidR="001435C3">
        <w:rPr>
          <w:rFonts w:ascii="Georgia" w:hAnsi="Georgia"/>
          <w:sz w:val="24"/>
          <w:szCs w:val="24"/>
        </w:rPr>
        <w:t xml:space="preserve"> daily operations</w:t>
      </w:r>
      <w:r w:rsidR="009357E7" w:rsidRPr="009357E7">
        <w:rPr>
          <w:rFonts w:ascii="Georgia" w:hAnsi="Georgia"/>
          <w:sz w:val="24"/>
          <w:szCs w:val="24"/>
        </w:rPr>
        <w:t xml:space="preserve"> for a</w:t>
      </w:r>
      <w:r w:rsidR="002658C3">
        <w:rPr>
          <w:rFonts w:ascii="Georgia" w:hAnsi="Georgia"/>
          <w:sz w:val="24"/>
          <w:szCs w:val="24"/>
        </w:rPr>
        <w:t>ll the IIF shell companies</w:t>
      </w:r>
      <w:r w:rsidR="005B3A7B">
        <w:rPr>
          <w:rFonts w:ascii="Georgia" w:hAnsi="Georgia"/>
          <w:sz w:val="24"/>
          <w:szCs w:val="24"/>
        </w:rPr>
        <w:t xml:space="preserve">, </w:t>
      </w:r>
      <w:r w:rsidR="002A3A6B">
        <w:rPr>
          <w:rFonts w:ascii="Georgia" w:hAnsi="Georgia"/>
          <w:sz w:val="24"/>
          <w:szCs w:val="24"/>
        </w:rPr>
        <w:t xml:space="preserve">and </w:t>
      </w:r>
      <w:r w:rsidR="00E462AF">
        <w:rPr>
          <w:rFonts w:ascii="Georgia" w:hAnsi="Georgia"/>
          <w:sz w:val="24"/>
          <w:szCs w:val="24"/>
        </w:rPr>
        <w:t>J.P. Morgan executives</w:t>
      </w:r>
      <w:r w:rsidR="00435680">
        <w:rPr>
          <w:rFonts w:ascii="Georgia" w:hAnsi="Georgia"/>
          <w:sz w:val="24"/>
          <w:szCs w:val="24"/>
        </w:rPr>
        <w:t xml:space="preserve"> serve on the Board of </w:t>
      </w:r>
      <w:r w:rsidR="00435680">
        <w:rPr>
          <w:rFonts w:ascii="Georgia" w:hAnsi="Georgia"/>
          <w:sz w:val="24"/>
          <w:szCs w:val="24"/>
        </w:rPr>
        <w:lastRenderedPageBreak/>
        <w:t xml:space="preserve">Directors of </w:t>
      </w:r>
      <w:r w:rsidR="001E13F2">
        <w:rPr>
          <w:rFonts w:ascii="Georgia" w:hAnsi="Georgia"/>
          <w:sz w:val="24"/>
          <w:szCs w:val="24"/>
        </w:rPr>
        <w:t>all three parent companies of the MBR sellers</w:t>
      </w:r>
      <w:r w:rsidR="002658C3">
        <w:rPr>
          <w:rFonts w:ascii="Georgia" w:hAnsi="Georgia"/>
          <w:sz w:val="24"/>
          <w:szCs w:val="24"/>
        </w:rPr>
        <w:t xml:space="preserve">. As a result, for the purposes of the Commission’s regulations under the Federal Power Act, </w:t>
      </w:r>
      <w:r w:rsidR="00F425F1">
        <w:rPr>
          <w:rFonts w:ascii="Georgia" w:hAnsi="Georgia"/>
          <w:sz w:val="24"/>
          <w:szCs w:val="24"/>
        </w:rPr>
        <w:t xml:space="preserve">J.P. Morgan </w:t>
      </w:r>
      <w:r w:rsidR="005526BE">
        <w:rPr>
          <w:rFonts w:ascii="Georgia" w:hAnsi="Georgia"/>
          <w:sz w:val="24"/>
          <w:szCs w:val="24"/>
        </w:rPr>
        <w:t>appears to be</w:t>
      </w:r>
      <w:r w:rsidR="00FF1767">
        <w:rPr>
          <w:rFonts w:ascii="Georgia" w:hAnsi="Georgia"/>
          <w:sz w:val="24"/>
          <w:szCs w:val="24"/>
        </w:rPr>
        <w:t xml:space="preserve"> affiliate</w:t>
      </w:r>
      <w:r w:rsidR="005526BE">
        <w:rPr>
          <w:rFonts w:ascii="Georgia" w:hAnsi="Georgia"/>
          <w:sz w:val="24"/>
          <w:szCs w:val="24"/>
        </w:rPr>
        <w:t>d</w:t>
      </w:r>
      <w:r w:rsidR="00FF1767">
        <w:rPr>
          <w:rFonts w:ascii="Georgia" w:hAnsi="Georgia"/>
          <w:sz w:val="24"/>
          <w:szCs w:val="24"/>
        </w:rPr>
        <w:t xml:space="preserve"> </w:t>
      </w:r>
      <w:r w:rsidR="005526BE">
        <w:rPr>
          <w:rFonts w:ascii="Georgia" w:hAnsi="Georgia"/>
          <w:sz w:val="24"/>
          <w:szCs w:val="24"/>
        </w:rPr>
        <w:t>with</w:t>
      </w:r>
      <w:r w:rsidR="00FF1767">
        <w:rPr>
          <w:rFonts w:ascii="Georgia" w:hAnsi="Georgia"/>
          <w:sz w:val="24"/>
          <w:szCs w:val="24"/>
        </w:rPr>
        <w:t xml:space="preserve"> IIF, and therefore </w:t>
      </w:r>
      <w:r w:rsidR="00202C5F">
        <w:rPr>
          <w:rFonts w:ascii="Georgia" w:hAnsi="Georgia"/>
          <w:sz w:val="24"/>
          <w:szCs w:val="24"/>
        </w:rPr>
        <w:t>affiliated with all of</w:t>
      </w:r>
      <w:r w:rsidR="00FF1767">
        <w:rPr>
          <w:rFonts w:ascii="Georgia" w:hAnsi="Georgia"/>
          <w:sz w:val="24"/>
          <w:szCs w:val="24"/>
        </w:rPr>
        <w:t xml:space="preserve"> the MBR sellers.</w:t>
      </w:r>
    </w:p>
    <w:p w14:paraId="21C718B3" w14:textId="205BDF8A" w:rsidR="00A21FD1" w:rsidRDefault="00BA620C" w:rsidP="00BB5E14">
      <w:pPr>
        <w:spacing w:line="360" w:lineRule="auto"/>
        <w:rPr>
          <w:rFonts w:ascii="Georgia" w:hAnsi="Georgia"/>
          <w:sz w:val="24"/>
          <w:szCs w:val="24"/>
        </w:rPr>
      </w:pPr>
      <w:r>
        <w:rPr>
          <w:rFonts w:ascii="Georgia" w:hAnsi="Georgia"/>
          <w:sz w:val="24"/>
          <w:szCs w:val="24"/>
        </w:rPr>
        <w:tab/>
      </w:r>
      <w:r w:rsidR="00BB5E14">
        <w:rPr>
          <w:rFonts w:ascii="Georgia" w:hAnsi="Georgia"/>
          <w:sz w:val="24"/>
          <w:szCs w:val="24"/>
        </w:rPr>
        <w:t xml:space="preserve">This filing is in response to a suggestion in a recent Commission Order: </w:t>
      </w:r>
    </w:p>
    <w:p w14:paraId="71F3C9B7" w14:textId="578805B0" w:rsidR="00511442" w:rsidRPr="00511442" w:rsidRDefault="00BB5E14" w:rsidP="00FC3BB4">
      <w:pPr>
        <w:ind w:left="720"/>
        <w:rPr>
          <w:rFonts w:ascii="Georgia" w:hAnsi="Georgia"/>
          <w:i/>
          <w:iCs/>
          <w:sz w:val="24"/>
          <w:szCs w:val="24"/>
        </w:rPr>
      </w:pPr>
      <w:r w:rsidRPr="00555E8F">
        <w:rPr>
          <w:rFonts w:ascii="Georgia" w:hAnsi="Georgia"/>
          <w:i/>
          <w:iCs/>
        </w:rPr>
        <w:t>We note that, while the Commission made no finding in the March 2020 Order as to whether J.P. Morgan Investment is an affiliate of Sun Jupiter, it is possible this issue could be considered in a future proceeding concerning El Paso’s, Sun Jupiter’s, or any affiliates’ thereof, authority to charge market-based rates.</w:t>
      </w:r>
      <w:r w:rsidR="009A12F4">
        <w:rPr>
          <w:rStyle w:val="FootnoteReference"/>
          <w:rFonts w:ascii="Georgia" w:hAnsi="Georgia"/>
          <w:i/>
          <w:iCs/>
          <w:sz w:val="24"/>
          <w:szCs w:val="24"/>
        </w:rPr>
        <w:footnoteReference w:id="1"/>
      </w:r>
    </w:p>
    <w:p w14:paraId="34CE7C76" w14:textId="18CC555F" w:rsidR="00BA620C" w:rsidRDefault="00BB5E14" w:rsidP="00511442">
      <w:pPr>
        <w:spacing w:line="360" w:lineRule="auto"/>
        <w:ind w:left="1440"/>
        <w:rPr>
          <w:rFonts w:ascii="Georgia" w:hAnsi="Georgia"/>
          <w:sz w:val="24"/>
          <w:szCs w:val="24"/>
        </w:rPr>
      </w:pPr>
      <w:r w:rsidRPr="00BB5E14">
        <w:rPr>
          <w:rFonts w:ascii="Georgia" w:hAnsi="Georgia"/>
          <w:sz w:val="24"/>
          <w:szCs w:val="24"/>
        </w:rPr>
        <w:t xml:space="preserve">  </w:t>
      </w:r>
    </w:p>
    <w:p w14:paraId="6F40E9A1" w14:textId="188F1017" w:rsidR="00E516A7" w:rsidRDefault="001D40C3" w:rsidP="006C4218">
      <w:pPr>
        <w:spacing w:line="360" w:lineRule="auto"/>
        <w:ind w:firstLine="360"/>
        <w:rPr>
          <w:rFonts w:ascii="Georgia" w:hAnsi="Georgia"/>
          <w:sz w:val="24"/>
          <w:szCs w:val="24"/>
        </w:rPr>
      </w:pPr>
      <w:r>
        <w:rPr>
          <w:rFonts w:ascii="Georgia" w:hAnsi="Georgia"/>
          <w:sz w:val="24"/>
          <w:szCs w:val="24"/>
        </w:rPr>
        <w:t>A</w:t>
      </w:r>
      <w:r w:rsidR="00A5441E" w:rsidRPr="0053299A">
        <w:rPr>
          <w:rFonts w:ascii="Georgia" w:hAnsi="Georgia"/>
          <w:sz w:val="24"/>
          <w:szCs w:val="24"/>
        </w:rPr>
        <w:t xml:space="preserve"> recent </w:t>
      </w:r>
      <w:r>
        <w:rPr>
          <w:rFonts w:ascii="Georgia" w:hAnsi="Georgia"/>
          <w:sz w:val="24"/>
          <w:szCs w:val="24"/>
        </w:rPr>
        <w:t xml:space="preserve">Commission </w:t>
      </w:r>
      <w:r w:rsidR="00A5441E" w:rsidRPr="0053299A">
        <w:rPr>
          <w:rFonts w:ascii="Georgia" w:hAnsi="Georgia"/>
          <w:sz w:val="24"/>
          <w:szCs w:val="24"/>
        </w:rPr>
        <w:t>Order involving a shell company structure</w:t>
      </w:r>
      <w:r w:rsidR="00A5441E">
        <w:rPr>
          <w:rFonts w:ascii="Georgia" w:hAnsi="Georgia"/>
          <w:sz w:val="24"/>
          <w:szCs w:val="24"/>
        </w:rPr>
        <w:t xml:space="preserve"> similar</w:t>
      </w:r>
      <w:r w:rsidR="00A5441E" w:rsidRPr="0053299A">
        <w:rPr>
          <w:rFonts w:ascii="Georgia" w:hAnsi="Georgia"/>
          <w:sz w:val="24"/>
          <w:szCs w:val="24"/>
        </w:rPr>
        <w:t xml:space="preserve"> to J</w:t>
      </w:r>
      <w:r w:rsidR="00A5441E">
        <w:rPr>
          <w:rFonts w:ascii="Georgia" w:hAnsi="Georgia"/>
          <w:sz w:val="24"/>
          <w:szCs w:val="24"/>
        </w:rPr>
        <w:t>.</w:t>
      </w:r>
      <w:r w:rsidR="00A5441E" w:rsidRPr="0053299A">
        <w:rPr>
          <w:rFonts w:ascii="Georgia" w:hAnsi="Georgia"/>
          <w:sz w:val="24"/>
          <w:szCs w:val="24"/>
        </w:rPr>
        <w:t>P</w:t>
      </w:r>
      <w:r w:rsidR="00A5441E">
        <w:rPr>
          <w:rFonts w:ascii="Georgia" w:hAnsi="Georgia"/>
          <w:sz w:val="24"/>
          <w:szCs w:val="24"/>
        </w:rPr>
        <w:t>.</w:t>
      </w:r>
      <w:r w:rsidR="00A5441E" w:rsidRPr="0053299A">
        <w:rPr>
          <w:rFonts w:ascii="Georgia" w:hAnsi="Georgia"/>
          <w:sz w:val="24"/>
          <w:szCs w:val="24"/>
        </w:rPr>
        <w:t xml:space="preserve"> Morgan’s IIF</w:t>
      </w:r>
      <w:r>
        <w:rPr>
          <w:rFonts w:ascii="Georgia" w:hAnsi="Georgia"/>
          <w:sz w:val="24"/>
          <w:szCs w:val="24"/>
        </w:rPr>
        <w:t xml:space="preserve"> </w:t>
      </w:r>
      <w:r w:rsidR="00A5441E" w:rsidRPr="0053299A">
        <w:rPr>
          <w:rFonts w:ascii="Georgia" w:hAnsi="Georgia"/>
          <w:sz w:val="24"/>
          <w:szCs w:val="24"/>
        </w:rPr>
        <w:t>determined that a private equity shell company managed by The Goldman Sachs Group was an affiliate of Goldman Sachs.</w:t>
      </w:r>
      <w:r w:rsidR="00A5441E">
        <w:rPr>
          <w:rStyle w:val="FootnoteReference"/>
          <w:rFonts w:ascii="Georgia" w:hAnsi="Georgia"/>
          <w:sz w:val="24"/>
          <w:szCs w:val="24"/>
        </w:rPr>
        <w:footnoteReference w:id="2"/>
      </w:r>
      <w:r w:rsidR="00A5441E" w:rsidRPr="0053299A">
        <w:rPr>
          <w:rFonts w:ascii="Georgia" w:hAnsi="Georgia"/>
          <w:sz w:val="24"/>
          <w:szCs w:val="24"/>
        </w:rPr>
        <w:t xml:space="preserve"> In making this decision, FERC relied entirely upon language in the management services agreement</w:t>
      </w:r>
      <w:r w:rsidR="00A5441E">
        <w:rPr>
          <w:rFonts w:ascii="Georgia" w:hAnsi="Georgia"/>
          <w:sz w:val="24"/>
          <w:szCs w:val="24"/>
        </w:rPr>
        <w:t xml:space="preserve"> between the shell company and Goldman Sachs. </w:t>
      </w:r>
    </w:p>
    <w:p w14:paraId="1BE6FD89" w14:textId="496AC55C" w:rsidR="00511285" w:rsidRDefault="00C47611" w:rsidP="003C1F3C">
      <w:pPr>
        <w:spacing w:line="360" w:lineRule="auto"/>
        <w:ind w:firstLine="720"/>
        <w:rPr>
          <w:rFonts w:ascii="Georgia" w:hAnsi="Georgia"/>
          <w:sz w:val="24"/>
          <w:szCs w:val="24"/>
        </w:rPr>
      </w:pPr>
      <w:r>
        <w:rPr>
          <w:rFonts w:ascii="Georgia" w:hAnsi="Georgia"/>
          <w:sz w:val="24"/>
          <w:szCs w:val="24"/>
        </w:rPr>
        <w:t>To assist the Commission in determining affiliation, it is necessary to require the disclosure of certain articles of incorporation, management agreements and other documentation that detail all rights and authorities delegated to J.P. Morgan Chase &amp; Co</w:t>
      </w:r>
      <w:r w:rsidR="003C1F3C">
        <w:rPr>
          <w:rFonts w:ascii="Georgia" w:hAnsi="Georgia"/>
          <w:sz w:val="24"/>
          <w:szCs w:val="24"/>
        </w:rPr>
        <w:t>.</w:t>
      </w:r>
      <w:r>
        <w:rPr>
          <w:rFonts w:ascii="Georgia" w:hAnsi="Georgia"/>
          <w:sz w:val="24"/>
          <w:szCs w:val="24"/>
        </w:rPr>
        <w:t xml:space="preserve"> by the various IIF shell companies. Such documents constitute the IIF shell companies’ “DNA,” and are necessary to ascertain exactly what control IIF has delegated to J.P. Morgan Chase &amp; Co</w:t>
      </w:r>
      <w:r w:rsidR="003204D1">
        <w:rPr>
          <w:rFonts w:ascii="Georgia" w:hAnsi="Georgia"/>
          <w:sz w:val="24"/>
          <w:szCs w:val="24"/>
        </w:rPr>
        <w:t>, including voting rights</w:t>
      </w:r>
      <w:r>
        <w:rPr>
          <w:rFonts w:ascii="Georgia" w:hAnsi="Georgia"/>
          <w:sz w:val="24"/>
          <w:szCs w:val="24"/>
        </w:rPr>
        <w:t>.</w:t>
      </w:r>
    </w:p>
    <w:p w14:paraId="0BEC0552" w14:textId="77777777" w:rsidR="00150B31" w:rsidRDefault="00150B31" w:rsidP="003B3CBC">
      <w:pPr>
        <w:rPr>
          <w:rFonts w:ascii="Georgia" w:hAnsi="Georgia"/>
          <w:b/>
          <w:bCs/>
          <w:sz w:val="24"/>
          <w:szCs w:val="24"/>
        </w:rPr>
      </w:pPr>
    </w:p>
    <w:p w14:paraId="4365EBD8" w14:textId="4DBAA22A" w:rsidR="00C752DB" w:rsidRPr="00150B31" w:rsidRDefault="00C752DB" w:rsidP="00604547">
      <w:pPr>
        <w:jc w:val="center"/>
        <w:rPr>
          <w:rFonts w:ascii="Georgia" w:hAnsi="Georgia"/>
          <w:b/>
          <w:bCs/>
          <w:sz w:val="24"/>
          <w:szCs w:val="24"/>
        </w:rPr>
      </w:pPr>
      <w:r w:rsidRPr="00150B31">
        <w:rPr>
          <w:rFonts w:ascii="Georgia" w:hAnsi="Georgia"/>
          <w:b/>
          <w:bCs/>
          <w:sz w:val="24"/>
          <w:szCs w:val="24"/>
        </w:rPr>
        <w:t>Motion to Intervene</w:t>
      </w:r>
    </w:p>
    <w:p w14:paraId="0EF83C90" w14:textId="64380FE4" w:rsidR="00C752DB" w:rsidRDefault="00C752DB" w:rsidP="003B3CBC">
      <w:pPr>
        <w:rPr>
          <w:rFonts w:ascii="Georgia" w:hAnsi="Georgia"/>
          <w:sz w:val="24"/>
          <w:szCs w:val="24"/>
        </w:rPr>
      </w:pPr>
    </w:p>
    <w:p w14:paraId="55C684C7" w14:textId="70F63798" w:rsidR="00C752DB" w:rsidRDefault="00C752DB" w:rsidP="00D964AF">
      <w:pPr>
        <w:spacing w:line="360" w:lineRule="auto"/>
        <w:rPr>
          <w:rFonts w:ascii="Georgia" w:hAnsi="Georgia"/>
          <w:sz w:val="24"/>
          <w:szCs w:val="24"/>
        </w:rPr>
      </w:pPr>
      <w:r>
        <w:rPr>
          <w:rFonts w:ascii="Georgia" w:hAnsi="Georgia"/>
          <w:sz w:val="24"/>
          <w:szCs w:val="24"/>
        </w:rPr>
        <w:tab/>
      </w:r>
      <w:r w:rsidR="00DF3CD1">
        <w:rPr>
          <w:rFonts w:ascii="Georgia" w:hAnsi="Georgia"/>
          <w:sz w:val="24"/>
          <w:szCs w:val="24"/>
        </w:rPr>
        <w:t>On July 31</w:t>
      </w:r>
      <w:r w:rsidR="00DF3CD1" w:rsidRPr="00D97FCB">
        <w:rPr>
          <w:rFonts w:ascii="Georgia" w:hAnsi="Georgia"/>
          <w:sz w:val="24"/>
          <w:szCs w:val="24"/>
        </w:rPr>
        <w:t>,</w:t>
      </w:r>
      <w:r w:rsidR="000F68AD" w:rsidRPr="00D97FCB">
        <w:rPr>
          <w:rFonts w:ascii="Georgia" w:hAnsi="Georgia"/>
          <w:sz w:val="24"/>
          <w:szCs w:val="24"/>
        </w:rPr>
        <w:t xml:space="preserve"> two IIF-affiliated MBR sellers—</w:t>
      </w:r>
      <w:r w:rsidR="00B60D5D" w:rsidRPr="00D97FCB">
        <w:rPr>
          <w:rFonts w:ascii="Georgia" w:hAnsi="Georgia"/>
          <w:sz w:val="24"/>
          <w:szCs w:val="24"/>
        </w:rPr>
        <w:t>Fountain Valley Power LLC and SWG Arapahoe LLC</w:t>
      </w:r>
      <w:r w:rsidR="00D97FCB" w:rsidRPr="00D97FCB">
        <w:rPr>
          <w:rFonts w:ascii="Georgia" w:hAnsi="Georgia"/>
          <w:sz w:val="24"/>
          <w:szCs w:val="24"/>
        </w:rPr>
        <w:t>—filed an amendment to their market power analysis for the northwest region</w:t>
      </w:r>
      <w:r w:rsidR="004F1F5E">
        <w:rPr>
          <w:rFonts w:ascii="Georgia" w:hAnsi="Georgia"/>
          <w:sz w:val="24"/>
          <w:szCs w:val="24"/>
        </w:rPr>
        <w:t>, with the Commission noticing it for public comment by August 21</w:t>
      </w:r>
      <w:r w:rsidR="00D97FCB" w:rsidRPr="00D97FCB">
        <w:rPr>
          <w:rFonts w:ascii="Georgia" w:hAnsi="Georgia"/>
          <w:sz w:val="24"/>
          <w:szCs w:val="24"/>
        </w:rPr>
        <w:t>.</w:t>
      </w:r>
      <w:r w:rsidR="00127191">
        <w:rPr>
          <w:rStyle w:val="FootnoteReference"/>
          <w:rFonts w:ascii="Georgia" w:hAnsi="Georgia"/>
          <w:sz w:val="24"/>
          <w:szCs w:val="24"/>
        </w:rPr>
        <w:footnoteReference w:id="3"/>
      </w:r>
      <w:r w:rsidR="00DF3CD1">
        <w:rPr>
          <w:rFonts w:ascii="Georgia" w:hAnsi="Georgia"/>
          <w:sz w:val="24"/>
          <w:szCs w:val="24"/>
        </w:rPr>
        <w:t xml:space="preserve"> </w:t>
      </w:r>
      <w:r w:rsidR="00FD7000">
        <w:rPr>
          <w:rFonts w:ascii="Georgia" w:hAnsi="Georgia"/>
          <w:sz w:val="24"/>
          <w:szCs w:val="24"/>
        </w:rPr>
        <w:t xml:space="preserve">This </w:t>
      </w:r>
      <w:r w:rsidR="008A70AD">
        <w:rPr>
          <w:rFonts w:ascii="Georgia" w:hAnsi="Georgia"/>
          <w:sz w:val="24"/>
          <w:szCs w:val="24"/>
        </w:rPr>
        <w:t>amendment</w:t>
      </w:r>
      <w:r w:rsidR="00FD7000">
        <w:rPr>
          <w:rFonts w:ascii="Georgia" w:hAnsi="Georgia"/>
          <w:sz w:val="24"/>
          <w:szCs w:val="24"/>
        </w:rPr>
        <w:t xml:space="preserve"> failed to report</w:t>
      </w:r>
      <w:r w:rsidR="008C70F9">
        <w:rPr>
          <w:rFonts w:ascii="Georgia" w:hAnsi="Georgia"/>
          <w:sz w:val="24"/>
          <w:szCs w:val="24"/>
        </w:rPr>
        <w:t xml:space="preserve"> sellers’</w:t>
      </w:r>
      <w:r w:rsidR="004F1F5E">
        <w:rPr>
          <w:rFonts w:ascii="Georgia" w:hAnsi="Georgia"/>
          <w:sz w:val="24"/>
          <w:szCs w:val="24"/>
        </w:rPr>
        <w:t xml:space="preserve"> affiliation with J.P. Morgan Chase &amp; Co.</w:t>
      </w:r>
      <w:r w:rsidR="008A70AD">
        <w:rPr>
          <w:rFonts w:ascii="Georgia" w:hAnsi="Georgia"/>
          <w:sz w:val="24"/>
          <w:szCs w:val="24"/>
        </w:rPr>
        <w:t xml:space="preserve"> </w:t>
      </w:r>
      <w:r w:rsidR="004A2A00">
        <w:rPr>
          <w:rFonts w:ascii="Georgia" w:hAnsi="Georgia"/>
          <w:sz w:val="24"/>
          <w:szCs w:val="24"/>
        </w:rPr>
        <w:t>Consistent</w:t>
      </w:r>
      <w:r w:rsidR="008A70AD">
        <w:rPr>
          <w:rFonts w:ascii="Georgia" w:hAnsi="Georgia"/>
          <w:sz w:val="24"/>
          <w:szCs w:val="24"/>
        </w:rPr>
        <w:t xml:space="preserve"> with the Commission’s notice, we are intervening in the proceeding.</w:t>
      </w:r>
    </w:p>
    <w:p w14:paraId="3D3931D3" w14:textId="42011157" w:rsidR="001C73DC" w:rsidRDefault="008C70F9" w:rsidP="00D964AF">
      <w:pPr>
        <w:spacing w:line="360" w:lineRule="auto"/>
        <w:rPr>
          <w:rFonts w:ascii="Georgia" w:hAnsi="Georgia"/>
          <w:sz w:val="24"/>
          <w:szCs w:val="24"/>
        </w:rPr>
      </w:pPr>
      <w:r>
        <w:rPr>
          <w:rFonts w:ascii="Georgia" w:hAnsi="Georgia"/>
          <w:sz w:val="24"/>
          <w:szCs w:val="24"/>
        </w:rPr>
        <w:tab/>
      </w:r>
      <w:r w:rsidR="007832C9">
        <w:rPr>
          <w:rFonts w:ascii="Georgia" w:hAnsi="Georgia"/>
          <w:sz w:val="24"/>
          <w:szCs w:val="24"/>
        </w:rPr>
        <w:t xml:space="preserve">Public Citizen </w:t>
      </w:r>
      <w:r w:rsidR="00EB7323">
        <w:rPr>
          <w:rFonts w:ascii="Georgia" w:hAnsi="Georgia"/>
          <w:sz w:val="24"/>
          <w:szCs w:val="24"/>
        </w:rPr>
        <w:t xml:space="preserve">intervened and filed a </w:t>
      </w:r>
      <w:r w:rsidR="00D71CB3">
        <w:rPr>
          <w:rFonts w:ascii="Georgia" w:hAnsi="Georgia"/>
          <w:sz w:val="24"/>
          <w:szCs w:val="24"/>
        </w:rPr>
        <w:t xml:space="preserve">similar protest in a </w:t>
      </w:r>
      <w:r w:rsidR="00810200">
        <w:rPr>
          <w:rFonts w:ascii="Georgia" w:hAnsi="Georgia"/>
          <w:sz w:val="24"/>
          <w:szCs w:val="24"/>
        </w:rPr>
        <w:t xml:space="preserve">change of status </w:t>
      </w:r>
      <w:r w:rsidR="00DA3BA9" w:rsidRPr="00CD2E00">
        <w:rPr>
          <w:rFonts w:ascii="Georgia" w:hAnsi="Georgia"/>
          <w:sz w:val="24"/>
          <w:szCs w:val="24"/>
        </w:rPr>
        <w:t>J.P. Morgan Ventures Energy Corp</w:t>
      </w:r>
      <w:r w:rsidR="00D71CB3">
        <w:rPr>
          <w:rFonts w:ascii="Georgia" w:hAnsi="Georgia"/>
          <w:sz w:val="24"/>
          <w:szCs w:val="24"/>
        </w:rPr>
        <w:t xml:space="preserve"> MBR proceeding</w:t>
      </w:r>
      <w:r w:rsidR="00810200">
        <w:rPr>
          <w:rFonts w:ascii="Georgia" w:hAnsi="Georgia"/>
          <w:sz w:val="24"/>
          <w:szCs w:val="24"/>
        </w:rPr>
        <w:t xml:space="preserve"> </w:t>
      </w:r>
      <w:r w:rsidR="00810200" w:rsidRPr="00810200">
        <w:rPr>
          <w:rFonts w:ascii="Georgia" w:hAnsi="Georgia"/>
          <w:sz w:val="24"/>
          <w:szCs w:val="24"/>
        </w:rPr>
        <w:t>on April 22 and May 6, respectively.</w:t>
      </w:r>
      <w:r w:rsidR="005A5CE8">
        <w:rPr>
          <w:rFonts w:ascii="Georgia" w:hAnsi="Georgia"/>
          <w:sz w:val="24"/>
          <w:szCs w:val="24"/>
        </w:rPr>
        <w:t xml:space="preserve"> </w:t>
      </w:r>
      <w:r w:rsidR="006C4DFD">
        <w:rPr>
          <w:rFonts w:ascii="Georgia" w:hAnsi="Georgia"/>
          <w:sz w:val="24"/>
          <w:szCs w:val="24"/>
        </w:rPr>
        <w:t>I</w:t>
      </w:r>
      <w:r w:rsidR="005A5CE8">
        <w:rPr>
          <w:rFonts w:ascii="Georgia" w:hAnsi="Georgia"/>
          <w:sz w:val="24"/>
          <w:szCs w:val="24"/>
        </w:rPr>
        <w:t xml:space="preserve">n </w:t>
      </w:r>
      <w:r w:rsidR="005A5CE8">
        <w:rPr>
          <w:rFonts w:ascii="Georgia" w:hAnsi="Georgia"/>
          <w:sz w:val="24"/>
          <w:szCs w:val="24"/>
        </w:rPr>
        <w:lastRenderedPageBreak/>
        <w:t xml:space="preserve">that MBR proceeding J.P. Morgan </w:t>
      </w:r>
      <w:r w:rsidR="001C73DC">
        <w:rPr>
          <w:rFonts w:ascii="Georgia" w:hAnsi="Georgia"/>
          <w:sz w:val="24"/>
          <w:szCs w:val="24"/>
        </w:rPr>
        <w:t>failed to report its affiliation with IIF.</w:t>
      </w:r>
      <w:r w:rsidR="00D34EC0">
        <w:rPr>
          <w:rFonts w:ascii="Georgia" w:hAnsi="Georgia"/>
          <w:sz w:val="24"/>
          <w:szCs w:val="24"/>
        </w:rPr>
        <w:t xml:space="preserve"> The Commission has </w:t>
      </w:r>
      <w:r w:rsidR="00F13292">
        <w:rPr>
          <w:rFonts w:ascii="Georgia" w:hAnsi="Georgia"/>
          <w:sz w:val="24"/>
          <w:szCs w:val="24"/>
        </w:rPr>
        <w:t>yet to issue an order on Public Citizen’s May 6 protest.</w:t>
      </w:r>
    </w:p>
    <w:p w14:paraId="3E0306C7" w14:textId="4707B2E7" w:rsidR="00F13292" w:rsidRDefault="00F13292" w:rsidP="00D964AF">
      <w:pPr>
        <w:spacing w:line="360" w:lineRule="auto"/>
        <w:rPr>
          <w:rFonts w:ascii="Georgia" w:hAnsi="Georgia"/>
          <w:sz w:val="24"/>
          <w:szCs w:val="24"/>
        </w:rPr>
      </w:pPr>
      <w:r>
        <w:rPr>
          <w:rFonts w:ascii="Georgia" w:hAnsi="Georgia"/>
          <w:sz w:val="24"/>
          <w:szCs w:val="24"/>
        </w:rPr>
        <w:tab/>
        <w:t xml:space="preserve">Public Citizen files this </w:t>
      </w:r>
      <w:r w:rsidR="00E16588" w:rsidRPr="00E16588">
        <w:rPr>
          <w:rFonts w:ascii="Georgia" w:hAnsi="Georgia"/>
          <w:sz w:val="24"/>
          <w:szCs w:val="24"/>
        </w:rPr>
        <w:t>Protest</w:t>
      </w:r>
      <w:r w:rsidR="00E16588">
        <w:rPr>
          <w:rFonts w:ascii="Georgia" w:hAnsi="Georgia"/>
          <w:sz w:val="24"/>
          <w:szCs w:val="24"/>
        </w:rPr>
        <w:t xml:space="preserve"> of</w:t>
      </w:r>
      <w:r w:rsidR="00E16588" w:rsidRPr="00E16588">
        <w:rPr>
          <w:rFonts w:ascii="Georgia" w:hAnsi="Georgia"/>
          <w:sz w:val="24"/>
          <w:szCs w:val="24"/>
        </w:rPr>
        <w:t xml:space="preserve"> </w:t>
      </w:r>
      <w:r w:rsidR="00E16588">
        <w:rPr>
          <w:rFonts w:ascii="Georgia" w:hAnsi="Georgia"/>
          <w:sz w:val="24"/>
          <w:szCs w:val="24"/>
        </w:rPr>
        <w:t>t</w:t>
      </w:r>
      <w:r w:rsidR="00E16588" w:rsidRPr="00E16588">
        <w:rPr>
          <w:rFonts w:ascii="Georgia" w:hAnsi="Georgia"/>
          <w:sz w:val="24"/>
          <w:szCs w:val="24"/>
        </w:rPr>
        <w:t xml:space="preserve">he MBR </w:t>
      </w:r>
      <w:r w:rsidR="00E16588">
        <w:rPr>
          <w:rFonts w:ascii="Georgia" w:hAnsi="Georgia"/>
          <w:sz w:val="24"/>
          <w:szCs w:val="24"/>
        </w:rPr>
        <w:t>s</w:t>
      </w:r>
      <w:r w:rsidR="00E16588" w:rsidRPr="00E16588">
        <w:rPr>
          <w:rFonts w:ascii="Georgia" w:hAnsi="Georgia"/>
          <w:sz w:val="24"/>
          <w:szCs w:val="24"/>
        </w:rPr>
        <w:t>ellers</w:t>
      </w:r>
      <w:r w:rsidR="00E16588">
        <w:rPr>
          <w:rFonts w:ascii="Georgia" w:hAnsi="Georgia"/>
          <w:sz w:val="24"/>
          <w:szCs w:val="24"/>
        </w:rPr>
        <w:t>’</w:t>
      </w:r>
      <w:r w:rsidR="00E16588" w:rsidRPr="00E16588">
        <w:rPr>
          <w:rFonts w:ascii="Georgia" w:hAnsi="Georgia"/>
          <w:sz w:val="24"/>
          <w:szCs w:val="24"/>
        </w:rPr>
        <w:t xml:space="preserve"> </w:t>
      </w:r>
      <w:r w:rsidR="00E16588">
        <w:rPr>
          <w:rFonts w:ascii="Georgia" w:hAnsi="Georgia"/>
          <w:sz w:val="24"/>
          <w:szCs w:val="24"/>
        </w:rPr>
        <w:t>f</w:t>
      </w:r>
      <w:r w:rsidR="00E16588" w:rsidRPr="00E16588">
        <w:rPr>
          <w:rFonts w:ascii="Georgia" w:hAnsi="Georgia"/>
          <w:sz w:val="24"/>
          <w:szCs w:val="24"/>
        </w:rPr>
        <w:t xml:space="preserve">ailure to </w:t>
      </w:r>
      <w:r w:rsidR="00E16588">
        <w:rPr>
          <w:rFonts w:ascii="Georgia" w:hAnsi="Georgia"/>
          <w:sz w:val="24"/>
          <w:szCs w:val="24"/>
        </w:rPr>
        <w:t>r</w:t>
      </w:r>
      <w:r w:rsidR="00E16588" w:rsidRPr="00E16588">
        <w:rPr>
          <w:rFonts w:ascii="Georgia" w:hAnsi="Georgia"/>
          <w:sz w:val="24"/>
          <w:szCs w:val="24"/>
        </w:rPr>
        <w:t xml:space="preserve">eport J.P. Morgan Chase &amp; Co. </w:t>
      </w:r>
      <w:r w:rsidR="00E16588">
        <w:rPr>
          <w:rFonts w:ascii="Georgia" w:hAnsi="Georgia"/>
          <w:sz w:val="24"/>
          <w:szCs w:val="24"/>
        </w:rPr>
        <w:t>a</w:t>
      </w:r>
      <w:r w:rsidR="00E16588" w:rsidRPr="00E16588">
        <w:rPr>
          <w:rFonts w:ascii="Georgia" w:hAnsi="Georgia"/>
          <w:sz w:val="24"/>
          <w:szCs w:val="24"/>
        </w:rPr>
        <w:t xml:space="preserve">s </w:t>
      </w:r>
      <w:r w:rsidR="00E16588">
        <w:rPr>
          <w:rFonts w:ascii="Georgia" w:hAnsi="Georgia"/>
          <w:sz w:val="24"/>
          <w:szCs w:val="24"/>
        </w:rPr>
        <w:t>a</w:t>
      </w:r>
      <w:r w:rsidR="00E16588" w:rsidRPr="00E16588">
        <w:rPr>
          <w:rFonts w:ascii="Georgia" w:hAnsi="Georgia"/>
          <w:sz w:val="24"/>
          <w:szCs w:val="24"/>
        </w:rPr>
        <w:t xml:space="preserve">n </w:t>
      </w:r>
      <w:r w:rsidR="00E16588">
        <w:rPr>
          <w:rFonts w:ascii="Georgia" w:hAnsi="Georgia"/>
          <w:sz w:val="24"/>
          <w:szCs w:val="24"/>
        </w:rPr>
        <w:t>a</w:t>
      </w:r>
      <w:r w:rsidR="00E16588" w:rsidRPr="00E16588">
        <w:rPr>
          <w:rFonts w:ascii="Georgia" w:hAnsi="Georgia"/>
          <w:sz w:val="24"/>
          <w:szCs w:val="24"/>
        </w:rPr>
        <w:t>ffiliate</w:t>
      </w:r>
      <w:r w:rsidR="00E16588">
        <w:rPr>
          <w:rFonts w:ascii="Georgia" w:hAnsi="Georgia"/>
          <w:sz w:val="24"/>
          <w:szCs w:val="24"/>
        </w:rPr>
        <w:t xml:space="preserve"> in all IIF-affiliated MBR sellers’ dockets</w:t>
      </w:r>
      <w:r w:rsidR="00E300D1">
        <w:rPr>
          <w:rFonts w:ascii="Georgia" w:hAnsi="Georgia"/>
          <w:sz w:val="24"/>
          <w:szCs w:val="24"/>
        </w:rPr>
        <w:t xml:space="preserve">, as required by </w:t>
      </w:r>
      <w:r w:rsidR="00E300D1" w:rsidRPr="00EF6B01">
        <w:rPr>
          <w:rFonts w:ascii="Georgia" w:hAnsi="Georgia"/>
          <w:sz w:val="24"/>
          <w:szCs w:val="24"/>
        </w:rPr>
        <w:t>18 C.F.R. § 35.42</w:t>
      </w:r>
      <w:r w:rsidR="00E16588">
        <w:rPr>
          <w:rFonts w:ascii="Georgia" w:hAnsi="Georgia"/>
          <w:sz w:val="24"/>
          <w:szCs w:val="24"/>
        </w:rPr>
        <w:t>.</w:t>
      </w:r>
    </w:p>
    <w:p w14:paraId="6764A018" w14:textId="1BBF4863" w:rsidR="008C70F9" w:rsidRDefault="001C73DC" w:rsidP="00D964AF">
      <w:pPr>
        <w:spacing w:line="360" w:lineRule="auto"/>
        <w:rPr>
          <w:rFonts w:ascii="Georgia" w:hAnsi="Georgia"/>
          <w:sz w:val="24"/>
          <w:szCs w:val="24"/>
        </w:rPr>
      </w:pPr>
      <w:r>
        <w:rPr>
          <w:rFonts w:ascii="Georgia" w:hAnsi="Georgia"/>
          <w:sz w:val="24"/>
          <w:szCs w:val="24"/>
        </w:rPr>
        <w:tab/>
      </w:r>
      <w:r w:rsidR="005A5CE8">
        <w:rPr>
          <w:rFonts w:ascii="Georgia" w:hAnsi="Georgia"/>
          <w:sz w:val="24"/>
          <w:szCs w:val="24"/>
        </w:rPr>
        <w:t xml:space="preserve"> </w:t>
      </w:r>
      <w:r w:rsidR="00432CB2">
        <w:rPr>
          <w:rFonts w:ascii="Georgia" w:hAnsi="Georgia"/>
          <w:sz w:val="24"/>
          <w:szCs w:val="24"/>
        </w:rPr>
        <w:t xml:space="preserve">Established in 1971, </w:t>
      </w:r>
      <w:r w:rsidR="00432CB2" w:rsidRPr="00F829B0">
        <w:rPr>
          <w:rFonts w:ascii="Georgia" w:hAnsi="Georgia"/>
          <w:sz w:val="24"/>
          <w:szCs w:val="24"/>
        </w:rPr>
        <w:t>Public Citizen is a national, not-for-profit, non-partisan, research and advocacy organization representing the interests of household consumers. We are active before FERC promoting just and reasonable rates, and supporting efforts for utilities to be accountable to the public interest. Our financial details are located at our web site.</w:t>
      </w:r>
      <w:r w:rsidR="00432CB2" w:rsidRPr="00F829B0">
        <w:rPr>
          <w:rStyle w:val="FootnoteReference"/>
          <w:rFonts w:ascii="Georgia" w:hAnsi="Georgia"/>
          <w:sz w:val="24"/>
          <w:szCs w:val="24"/>
        </w:rPr>
        <w:footnoteReference w:id="4"/>
      </w:r>
    </w:p>
    <w:p w14:paraId="1448B231" w14:textId="43E8CC6E" w:rsidR="002C45DB" w:rsidRDefault="002C45DB" w:rsidP="003B3CBC">
      <w:pPr>
        <w:rPr>
          <w:rFonts w:ascii="Georgia" w:hAnsi="Georgia"/>
          <w:sz w:val="24"/>
          <w:szCs w:val="24"/>
        </w:rPr>
      </w:pPr>
    </w:p>
    <w:p w14:paraId="54F76E81" w14:textId="544F91AE" w:rsidR="002C45DB" w:rsidRPr="00AD2F52" w:rsidRDefault="002C45DB" w:rsidP="00FA432C">
      <w:pPr>
        <w:jc w:val="center"/>
        <w:rPr>
          <w:rFonts w:ascii="Georgia" w:hAnsi="Georgia"/>
          <w:b/>
          <w:bCs/>
          <w:sz w:val="24"/>
          <w:szCs w:val="24"/>
        </w:rPr>
      </w:pPr>
      <w:r w:rsidRPr="00AD2F52">
        <w:rPr>
          <w:rFonts w:ascii="Georgia" w:hAnsi="Georgia"/>
          <w:b/>
          <w:bCs/>
          <w:sz w:val="24"/>
          <w:szCs w:val="24"/>
        </w:rPr>
        <w:t>The MBR Sellers</w:t>
      </w:r>
    </w:p>
    <w:p w14:paraId="0B94B3AE" w14:textId="4A3781CD" w:rsidR="002C45DB" w:rsidRDefault="002C45DB" w:rsidP="003B3CBC">
      <w:pPr>
        <w:rPr>
          <w:rFonts w:ascii="Georgia" w:hAnsi="Georgia"/>
          <w:sz w:val="24"/>
          <w:szCs w:val="24"/>
        </w:rPr>
      </w:pPr>
      <w:r>
        <w:rPr>
          <w:rFonts w:ascii="Georgia" w:hAnsi="Georgia"/>
          <w:sz w:val="24"/>
          <w:szCs w:val="24"/>
        </w:rPr>
        <w:tab/>
      </w:r>
    </w:p>
    <w:p w14:paraId="4E7B7288" w14:textId="2791ED46" w:rsidR="000B7443" w:rsidRDefault="000B7443" w:rsidP="00D964AF">
      <w:pPr>
        <w:spacing w:line="360" w:lineRule="auto"/>
        <w:rPr>
          <w:rFonts w:ascii="Georgia" w:hAnsi="Georgia"/>
          <w:sz w:val="24"/>
          <w:szCs w:val="24"/>
        </w:rPr>
      </w:pPr>
      <w:r>
        <w:rPr>
          <w:rFonts w:ascii="Georgia" w:hAnsi="Georgia"/>
          <w:sz w:val="24"/>
          <w:szCs w:val="24"/>
        </w:rPr>
        <w:tab/>
        <w:t>All of the MBR sellers are affiliated with IIF. IIF</w:t>
      </w:r>
      <w:r w:rsidR="006A586B">
        <w:rPr>
          <w:rFonts w:ascii="Georgia" w:hAnsi="Georgia"/>
          <w:sz w:val="24"/>
          <w:szCs w:val="24"/>
        </w:rPr>
        <w:t xml:space="preserve"> controls three operating companies which </w:t>
      </w:r>
      <w:r w:rsidR="00B71571">
        <w:rPr>
          <w:rFonts w:ascii="Georgia" w:hAnsi="Georgia"/>
          <w:sz w:val="24"/>
          <w:szCs w:val="24"/>
        </w:rPr>
        <w:t xml:space="preserve">are affiliated with </w:t>
      </w:r>
      <w:r w:rsidR="00603ACC">
        <w:rPr>
          <w:rFonts w:ascii="Georgia" w:hAnsi="Georgia"/>
          <w:sz w:val="24"/>
          <w:szCs w:val="24"/>
        </w:rPr>
        <w:t>over 5,600</w:t>
      </w:r>
      <w:r w:rsidR="00B71571">
        <w:rPr>
          <w:rFonts w:ascii="Georgia" w:hAnsi="Georgia"/>
          <w:sz w:val="24"/>
          <w:szCs w:val="24"/>
        </w:rPr>
        <w:t xml:space="preserve"> MW of capacity:</w:t>
      </w:r>
      <w:r w:rsidR="00603ACC">
        <w:rPr>
          <w:rStyle w:val="FootnoteReference"/>
          <w:rFonts w:ascii="Georgia" w:hAnsi="Georgia"/>
          <w:sz w:val="24"/>
          <w:szCs w:val="24"/>
        </w:rPr>
        <w:footnoteReference w:id="5"/>
      </w:r>
    </w:p>
    <w:p w14:paraId="4B19A51B" w14:textId="31DFD573" w:rsidR="00B71571" w:rsidRDefault="00B71571" w:rsidP="003B3CBC">
      <w:pPr>
        <w:rPr>
          <w:rFonts w:ascii="Georgia" w:hAnsi="Georgia"/>
          <w:sz w:val="24"/>
          <w:szCs w:val="24"/>
        </w:rPr>
      </w:pPr>
    </w:p>
    <w:p w14:paraId="53EC3FC5" w14:textId="779AA00D" w:rsidR="00FF6393" w:rsidRPr="00CA633C" w:rsidRDefault="00B71571" w:rsidP="00CA633C">
      <w:pPr>
        <w:pStyle w:val="ListParagraph"/>
        <w:numPr>
          <w:ilvl w:val="0"/>
          <w:numId w:val="3"/>
        </w:numPr>
        <w:rPr>
          <w:rFonts w:ascii="Georgia" w:hAnsi="Georgia"/>
          <w:sz w:val="24"/>
          <w:szCs w:val="24"/>
        </w:rPr>
      </w:pPr>
      <w:r w:rsidRPr="00FF6393">
        <w:rPr>
          <w:rFonts w:ascii="Georgia" w:hAnsi="Georgia"/>
          <w:sz w:val="24"/>
          <w:szCs w:val="24"/>
        </w:rPr>
        <w:t>El Paso Electric</w:t>
      </w:r>
      <w:r w:rsidR="002F1EF3" w:rsidRPr="00FF6393">
        <w:rPr>
          <w:rFonts w:ascii="Georgia" w:hAnsi="Georgia"/>
          <w:sz w:val="24"/>
          <w:szCs w:val="24"/>
        </w:rPr>
        <w:t xml:space="preserve"> Company is a franchised, vertically integrated utility</w:t>
      </w:r>
      <w:r w:rsidR="00441C8E" w:rsidRPr="00FF6393">
        <w:rPr>
          <w:rFonts w:ascii="Georgia" w:hAnsi="Georgia"/>
          <w:sz w:val="24"/>
          <w:szCs w:val="24"/>
        </w:rPr>
        <w:t xml:space="preserve"> with over 2,200 MW of generation capacity</w:t>
      </w:r>
      <w:r w:rsidR="007F2EA2">
        <w:rPr>
          <w:rFonts w:ascii="Georgia" w:hAnsi="Georgia"/>
          <w:sz w:val="24"/>
          <w:szCs w:val="24"/>
        </w:rPr>
        <w:t xml:space="preserve"> with MBR authority</w:t>
      </w:r>
      <w:r w:rsidR="00483B25" w:rsidRPr="00FF6393">
        <w:rPr>
          <w:rFonts w:ascii="Georgia" w:hAnsi="Georgia"/>
          <w:sz w:val="24"/>
          <w:szCs w:val="24"/>
        </w:rPr>
        <w:t>.</w:t>
      </w:r>
      <w:r w:rsidR="00FF6393">
        <w:rPr>
          <w:rStyle w:val="FootnoteReference"/>
          <w:rFonts w:ascii="Georgia" w:hAnsi="Georgia"/>
          <w:sz w:val="24"/>
          <w:szCs w:val="24"/>
        </w:rPr>
        <w:footnoteReference w:id="6"/>
      </w:r>
      <w:r w:rsidR="00B22B2B" w:rsidRPr="00FF6393">
        <w:rPr>
          <w:rFonts w:ascii="Georgia" w:hAnsi="Georgia"/>
          <w:sz w:val="24"/>
          <w:szCs w:val="24"/>
        </w:rPr>
        <w:t xml:space="preserve"> </w:t>
      </w:r>
      <w:r w:rsidR="00CA633C">
        <w:rPr>
          <w:rFonts w:ascii="Georgia" w:hAnsi="Georgia"/>
          <w:sz w:val="24"/>
          <w:szCs w:val="24"/>
        </w:rPr>
        <w:t>El Paso Electric Company</w:t>
      </w:r>
      <w:r w:rsidR="00B22B2B" w:rsidRPr="00FF6393">
        <w:rPr>
          <w:rFonts w:ascii="Georgia" w:hAnsi="Georgia"/>
          <w:sz w:val="24"/>
          <w:szCs w:val="24"/>
        </w:rPr>
        <w:t xml:space="preserve"> is controlled by </w:t>
      </w:r>
      <w:r w:rsidR="00BA785A">
        <w:rPr>
          <w:rFonts w:ascii="Georgia" w:hAnsi="Georgia"/>
          <w:sz w:val="24"/>
          <w:szCs w:val="24"/>
        </w:rPr>
        <w:t>the</w:t>
      </w:r>
      <w:r w:rsidR="00B22B2B" w:rsidRPr="00FF6393">
        <w:rPr>
          <w:rFonts w:ascii="Georgia" w:hAnsi="Georgia"/>
          <w:sz w:val="24"/>
          <w:szCs w:val="24"/>
        </w:rPr>
        <w:t xml:space="preserve"> shell company </w:t>
      </w:r>
      <w:r w:rsidR="00CA633C" w:rsidRPr="00CA633C">
        <w:rPr>
          <w:rFonts w:ascii="Georgia" w:hAnsi="Georgia"/>
          <w:sz w:val="24"/>
          <w:szCs w:val="24"/>
        </w:rPr>
        <w:t>IIF US</w:t>
      </w:r>
      <w:r w:rsidR="00CA633C">
        <w:rPr>
          <w:rFonts w:ascii="Georgia" w:hAnsi="Georgia"/>
          <w:sz w:val="24"/>
          <w:szCs w:val="24"/>
        </w:rPr>
        <w:t xml:space="preserve"> </w:t>
      </w:r>
      <w:r w:rsidR="00CA633C" w:rsidRPr="00CA633C">
        <w:rPr>
          <w:rFonts w:ascii="Georgia" w:hAnsi="Georgia"/>
          <w:sz w:val="24"/>
          <w:szCs w:val="24"/>
        </w:rPr>
        <w:t>Holding 2 GP, LLC</w:t>
      </w:r>
      <w:r w:rsidR="00CA633C">
        <w:rPr>
          <w:rFonts w:ascii="Georgia" w:hAnsi="Georgia"/>
          <w:sz w:val="24"/>
          <w:szCs w:val="24"/>
        </w:rPr>
        <w:t>. IIF US Holding 2 GP LLC has delegated day-to-day management to J.P. Morgan Chase &amp; Co.</w:t>
      </w:r>
      <w:r w:rsidR="00E745AA">
        <w:rPr>
          <w:rFonts w:ascii="Georgia" w:hAnsi="Georgia"/>
          <w:sz w:val="24"/>
          <w:szCs w:val="24"/>
        </w:rPr>
        <w:t>, and also positioned two</w:t>
      </w:r>
      <w:r w:rsidR="00B22B2B" w:rsidRPr="00CA633C">
        <w:rPr>
          <w:rFonts w:ascii="Georgia" w:hAnsi="Georgia"/>
          <w:sz w:val="24"/>
          <w:szCs w:val="24"/>
        </w:rPr>
        <w:t xml:space="preserve"> </w:t>
      </w:r>
      <w:r w:rsidR="00B52A12">
        <w:rPr>
          <w:rFonts w:ascii="Georgia" w:hAnsi="Georgia"/>
          <w:sz w:val="24"/>
          <w:szCs w:val="24"/>
        </w:rPr>
        <w:t>J.P.</w:t>
      </w:r>
      <w:r w:rsidR="00FF6393" w:rsidRPr="00CA633C">
        <w:rPr>
          <w:rFonts w:ascii="Georgia" w:hAnsi="Georgia"/>
          <w:sz w:val="24"/>
          <w:szCs w:val="24"/>
        </w:rPr>
        <w:t xml:space="preserve"> Morgan executives on El Paso’s </w:t>
      </w:r>
      <w:r w:rsidR="00B52A12">
        <w:rPr>
          <w:rFonts w:ascii="Georgia" w:hAnsi="Georgia"/>
          <w:sz w:val="24"/>
          <w:szCs w:val="24"/>
        </w:rPr>
        <w:t>b</w:t>
      </w:r>
      <w:r w:rsidR="00FF6393" w:rsidRPr="00CA633C">
        <w:rPr>
          <w:rFonts w:ascii="Georgia" w:hAnsi="Georgia"/>
          <w:sz w:val="24"/>
          <w:szCs w:val="24"/>
        </w:rPr>
        <w:t xml:space="preserve">oard of </w:t>
      </w:r>
      <w:r w:rsidR="00B52A12">
        <w:rPr>
          <w:rFonts w:ascii="Georgia" w:hAnsi="Georgia"/>
          <w:sz w:val="24"/>
          <w:szCs w:val="24"/>
        </w:rPr>
        <w:t>d</w:t>
      </w:r>
      <w:r w:rsidR="00FF6393" w:rsidRPr="00CA633C">
        <w:rPr>
          <w:rFonts w:ascii="Georgia" w:hAnsi="Georgia"/>
          <w:sz w:val="24"/>
          <w:szCs w:val="24"/>
        </w:rPr>
        <w:t>irectors: Andrew “Landy” Gilbert and Kathleen Lawler.</w:t>
      </w:r>
      <w:r w:rsidR="00FF6393">
        <w:rPr>
          <w:rStyle w:val="FootnoteReference"/>
          <w:rFonts w:ascii="Georgia" w:hAnsi="Georgia"/>
          <w:sz w:val="24"/>
          <w:szCs w:val="24"/>
        </w:rPr>
        <w:footnoteReference w:id="7"/>
      </w:r>
    </w:p>
    <w:p w14:paraId="6C95A7B5" w14:textId="444FC197" w:rsidR="00384181" w:rsidRDefault="00384181" w:rsidP="003B3CBC">
      <w:pPr>
        <w:rPr>
          <w:rFonts w:ascii="Georgia" w:hAnsi="Georgia"/>
          <w:sz w:val="24"/>
          <w:szCs w:val="24"/>
        </w:rPr>
      </w:pPr>
    </w:p>
    <w:p w14:paraId="42C29AFE" w14:textId="7DED79F0" w:rsidR="00384181" w:rsidRDefault="002A4B97" w:rsidP="00AD2F52">
      <w:pPr>
        <w:pStyle w:val="ListParagraph"/>
        <w:numPr>
          <w:ilvl w:val="0"/>
          <w:numId w:val="2"/>
        </w:numPr>
        <w:rPr>
          <w:rFonts w:ascii="Georgia" w:hAnsi="Georgia"/>
          <w:sz w:val="24"/>
          <w:szCs w:val="24"/>
        </w:rPr>
      </w:pPr>
      <w:r w:rsidRPr="002A4B97">
        <w:rPr>
          <w:rFonts w:ascii="Georgia" w:hAnsi="Georgia"/>
          <w:sz w:val="24"/>
          <w:szCs w:val="24"/>
        </w:rPr>
        <w:t xml:space="preserve">Novatus Energy, LLC </w:t>
      </w:r>
      <w:r w:rsidR="00384181" w:rsidRPr="00AD2F52">
        <w:rPr>
          <w:rFonts w:ascii="Georgia" w:hAnsi="Georgia"/>
          <w:sz w:val="24"/>
          <w:szCs w:val="24"/>
        </w:rPr>
        <w:t xml:space="preserve">is controlled by </w:t>
      </w:r>
      <w:r w:rsidR="00514D88">
        <w:rPr>
          <w:rFonts w:ascii="Georgia" w:hAnsi="Georgia"/>
          <w:sz w:val="24"/>
          <w:szCs w:val="24"/>
        </w:rPr>
        <w:t xml:space="preserve">IIF </w:t>
      </w:r>
      <w:r w:rsidR="00BE287F" w:rsidRPr="00AD2F52">
        <w:rPr>
          <w:rFonts w:ascii="Georgia" w:hAnsi="Georgia"/>
          <w:sz w:val="24"/>
          <w:szCs w:val="24"/>
        </w:rPr>
        <w:t>US Holding 2 GP, LLC</w:t>
      </w:r>
      <w:r w:rsidR="002A1289">
        <w:rPr>
          <w:rFonts w:ascii="Georgia" w:hAnsi="Georgia"/>
          <w:sz w:val="24"/>
          <w:szCs w:val="24"/>
        </w:rPr>
        <w:t xml:space="preserve">, and has nearly 1,000 MW of </w:t>
      </w:r>
      <w:r w:rsidR="000110A9">
        <w:rPr>
          <w:rFonts w:ascii="Georgia" w:hAnsi="Georgia"/>
          <w:sz w:val="24"/>
          <w:szCs w:val="24"/>
        </w:rPr>
        <w:t>generation capacity with MBR authority</w:t>
      </w:r>
      <w:r w:rsidR="00BE287F" w:rsidRPr="00AD2F52">
        <w:rPr>
          <w:rFonts w:ascii="Georgia" w:hAnsi="Georgia"/>
          <w:sz w:val="24"/>
          <w:szCs w:val="24"/>
        </w:rPr>
        <w:t>.</w:t>
      </w:r>
      <w:r w:rsidR="000110A9">
        <w:rPr>
          <w:rStyle w:val="FootnoteReference"/>
          <w:rFonts w:ascii="Georgia" w:hAnsi="Georgia"/>
          <w:sz w:val="24"/>
          <w:szCs w:val="24"/>
        </w:rPr>
        <w:footnoteReference w:id="8"/>
      </w:r>
      <w:r w:rsidR="009305DC">
        <w:rPr>
          <w:rFonts w:ascii="Georgia" w:hAnsi="Georgia"/>
          <w:sz w:val="24"/>
          <w:szCs w:val="24"/>
        </w:rPr>
        <w:t xml:space="preserve"> </w:t>
      </w:r>
      <w:r w:rsidR="00516D43">
        <w:rPr>
          <w:rFonts w:ascii="Georgia" w:hAnsi="Georgia"/>
          <w:sz w:val="24"/>
          <w:szCs w:val="24"/>
        </w:rPr>
        <w:t xml:space="preserve">IIF US Holding 2 GP LLC delegates day-to-day management to </w:t>
      </w:r>
      <w:r w:rsidR="008D2401">
        <w:rPr>
          <w:rFonts w:ascii="Georgia" w:hAnsi="Georgia"/>
          <w:sz w:val="24"/>
          <w:szCs w:val="24"/>
        </w:rPr>
        <w:t>J.P. Morgan Chase &amp; Co, and J.P. Morgan</w:t>
      </w:r>
      <w:r w:rsidR="00C14040">
        <w:rPr>
          <w:rFonts w:ascii="Georgia" w:hAnsi="Georgia"/>
          <w:sz w:val="24"/>
          <w:szCs w:val="24"/>
        </w:rPr>
        <w:t xml:space="preserve">’s </w:t>
      </w:r>
      <w:r w:rsidR="00C14040" w:rsidRPr="00C14040">
        <w:rPr>
          <w:rFonts w:ascii="Georgia" w:hAnsi="Georgia"/>
          <w:sz w:val="24"/>
          <w:szCs w:val="24"/>
        </w:rPr>
        <w:t>Andrew Kapp</w:t>
      </w:r>
      <w:r w:rsidR="008D2401">
        <w:rPr>
          <w:rFonts w:ascii="Georgia" w:hAnsi="Georgia"/>
          <w:sz w:val="24"/>
          <w:szCs w:val="24"/>
        </w:rPr>
        <w:t xml:space="preserve"> </w:t>
      </w:r>
      <w:r w:rsidR="00C14040">
        <w:rPr>
          <w:rFonts w:ascii="Georgia" w:hAnsi="Georgia"/>
          <w:sz w:val="24"/>
          <w:szCs w:val="24"/>
        </w:rPr>
        <w:t>serves on</w:t>
      </w:r>
      <w:r w:rsidR="008D2401">
        <w:rPr>
          <w:rFonts w:ascii="Georgia" w:hAnsi="Georgia"/>
          <w:sz w:val="24"/>
          <w:szCs w:val="24"/>
        </w:rPr>
        <w:t xml:space="preserve"> </w:t>
      </w:r>
      <w:r w:rsidR="009305DC">
        <w:rPr>
          <w:rFonts w:ascii="Georgia" w:hAnsi="Georgia"/>
          <w:sz w:val="24"/>
          <w:szCs w:val="24"/>
        </w:rPr>
        <w:t>Novatus Energy</w:t>
      </w:r>
      <w:r w:rsidR="00C14040">
        <w:rPr>
          <w:rFonts w:ascii="Georgia" w:hAnsi="Georgia"/>
          <w:sz w:val="24"/>
          <w:szCs w:val="24"/>
        </w:rPr>
        <w:t>’s board of directors.</w:t>
      </w:r>
      <w:r w:rsidR="00B76135">
        <w:rPr>
          <w:rStyle w:val="FootnoteReference"/>
          <w:rFonts w:ascii="Georgia" w:hAnsi="Georgia"/>
          <w:sz w:val="24"/>
          <w:szCs w:val="24"/>
        </w:rPr>
        <w:footnoteReference w:id="9"/>
      </w:r>
      <w:r w:rsidR="009305DC">
        <w:rPr>
          <w:rFonts w:ascii="Georgia" w:hAnsi="Georgia"/>
          <w:sz w:val="24"/>
          <w:szCs w:val="24"/>
        </w:rPr>
        <w:t xml:space="preserve"> </w:t>
      </w:r>
      <w:r w:rsidR="00BE287F" w:rsidRPr="00AD2F52">
        <w:rPr>
          <w:rFonts w:ascii="Georgia" w:hAnsi="Georgia"/>
          <w:sz w:val="24"/>
          <w:szCs w:val="24"/>
        </w:rPr>
        <w:t xml:space="preserve"> </w:t>
      </w:r>
    </w:p>
    <w:p w14:paraId="07138BC2" w14:textId="77777777" w:rsidR="00A1010D" w:rsidRPr="00A1010D" w:rsidRDefault="00A1010D" w:rsidP="00A1010D">
      <w:pPr>
        <w:pStyle w:val="ListParagraph"/>
        <w:rPr>
          <w:rFonts w:ascii="Georgia" w:hAnsi="Georgia"/>
          <w:sz w:val="24"/>
          <w:szCs w:val="24"/>
        </w:rPr>
      </w:pPr>
    </w:p>
    <w:p w14:paraId="2487C168" w14:textId="40B2C86C" w:rsidR="00A1010D" w:rsidRPr="00BA7049" w:rsidRDefault="00A1010D" w:rsidP="00BA7049">
      <w:pPr>
        <w:pStyle w:val="ListParagraph"/>
        <w:numPr>
          <w:ilvl w:val="0"/>
          <w:numId w:val="2"/>
        </w:numPr>
        <w:rPr>
          <w:rFonts w:ascii="Georgia" w:hAnsi="Georgia"/>
          <w:sz w:val="24"/>
          <w:szCs w:val="24"/>
        </w:rPr>
      </w:pPr>
      <w:r w:rsidRPr="00A1010D">
        <w:rPr>
          <w:rFonts w:ascii="Georgia" w:hAnsi="Georgia"/>
          <w:sz w:val="24"/>
          <w:szCs w:val="24"/>
        </w:rPr>
        <w:lastRenderedPageBreak/>
        <w:t xml:space="preserve">Southwest Generation Operating Company, LLC </w:t>
      </w:r>
      <w:r w:rsidR="00BA7049">
        <w:rPr>
          <w:rFonts w:ascii="Georgia" w:hAnsi="Georgia"/>
          <w:sz w:val="24"/>
          <w:szCs w:val="24"/>
        </w:rPr>
        <w:t xml:space="preserve">is </w:t>
      </w:r>
      <w:r w:rsidRPr="00BA7049">
        <w:rPr>
          <w:rFonts w:ascii="Georgia" w:hAnsi="Georgia"/>
          <w:sz w:val="24"/>
          <w:szCs w:val="24"/>
        </w:rPr>
        <w:t>controlled by IIF US Holding GP, LLC</w:t>
      </w:r>
      <w:r w:rsidR="00D51C03">
        <w:rPr>
          <w:rFonts w:ascii="Georgia" w:hAnsi="Georgia"/>
          <w:sz w:val="24"/>
          <w:szCs w:val="24"/>
        </w:rPr>
        <w:t xml:space="preserve">, </w:t>
      </w:r>
      <w:r w:rsidR="006D31F1">
        <w:rPr>
          <w:rFonts w:ascii="Georgia" w:hAnsi="Georgia"/>
          <w:sz w:val="24"/>
          <w:szCs w:val="24"/>
        </w:rPr>
        <w:t xml:space="preserve">with nearly 2,300 MW of </w:t>
      </w:r>
      <w:r w:rsidR="0041387F">
        <w:rPr>
          <w:rFonts w:ascii="Georgia" w:hAnsi="Georgia"/>
          <w:sz w:val="24"/>
          <w:szCs w:val="24"/>
        </w:rPr>
        <w:t>generation with MBR authority.</w:t>
      </w:r>
      <w:r w:rsidR="00E1766F">
        <w:rPr>
          <w:rStyle w:val="FootnoteReference"/>
          <w:rFonts w:ascii="Georgia" w:hAnsi="Georgia"/>
          <w:sz w:val="24"/>
          <w:szCs w:val="24"/>
        </w:rPr>
        <w:footnoteReference w:id="10"/>
      </w:r>
      <w:r w:rsidR="00CA4507">
        <w:rPr>
          <w:rFonts w:ascii="Georgia" w:hAnsi="Georgia"/>
          <w:sz w:val="24"/>
          <w:szCs w:val="24"/>
        </w:rPr>
        <w:t xml:space="preserve"> IIF US Holding GP LLC has delegated day-to-day management to J.P. Morgan Chase &amp; Co</w:t>
      </w:r>
      <w:r w:rsidR="005119C8">
        <w:rPr>
          <w:rFonts w:ascii="Georgia" w:hAnsi="Georgia"/>
          <w:sz w:val="24"/>
          <w:szCs w:val="24"/>
        </w:rPr>
        <w:t>, and J.P. Morgan</w:t>
      </w:r>
      <w:r w:rsidR="00E45D45">
        <w:rPr>
          <w:rFonts w:ascii="Georgia" w:hAnsi="Georgia"/>
          <w:sz w:val="24"/>
          <w:szCs w:val="24"/>
        </w:rPr>
        <w:t xml:space="preserve">’s </w:t>
      </w:r>
      <w:r w:rsidR="00E45D45" w:rsidRPr="00E45D45">
        <w:rPr>
          <w:rFonts w:ascii="Georgia" w:hAnsi="Georgia"/>
          <w:sz w:val="24"/>
          <w:szCs w:val="24"/>
        </w:rPr>
        <w:t>Andrew Kapp</w:t>
      </w:r>
      <w:r w:rsidR="005119C8">
        <w:rPr>
          <w:rFonts w:ascii="Georgia" w:hAnsi="Georgia"/>
          <w:sz w:val="24"/>
          <w:szCs w:val="24"/>
        </w:rPr>
        <w:t xml:space="preserve"> serves on Southwest’s board of directors.</w:t>
      </w:r>
      <w:r w:rsidR="00BE4778">
        <w:rPr>
          <w:rStyle w:val="FootnoteReference"/>
          <w:rFonts w:ascii="Georgia" w:hAnsi="Georgia"/>
          <w:sz w:val="24"/>
          <w:szCs w:val="24"/>
        </w:rPr>
        <w:footnoteReference w:id="11"/>
      </w:r>
    </w:p>
    <w:p w14:paraId="6C478A42" w14:textId="0F8FFFBD" w:rsidR="00483B25" w:rsidRDefault="00483B25" w:rsidP="003B3CBC">
      <w:pPr>
        <w:rPr>
          <w:rFonts w:ascii="Georgia" w:hAnsi="Georgia"/>
          <w:sz w:val="24"/>
          <w:szCs w:val="24"/>
        </w:rPr>
      </w:pPr>
    </w:p>
    <w:p w14:paraId="2252AF95" w14:textId="5926AA43" w:rsidR="00483B25" w:rsidRDefault="00483B25" w:rsidP="003B3CBC">
      <w:pPr>
        <w:rPr>
          <w:rFonts w:ascii="Georgia" w:hAnsi="Georgia"/>
          <w:sz w:val="24"/>
          <w:szCs w:val="24"/>
        </w:rPr>
      </w:pPr>
      <w:r>
        <w:rPr>
          <w:rFonts w:ascii="Georgia" w:hAnsi="Georgia"/>
          <w:sz w:val="24"/>
          <w:szCs w:val="24"/>
        </w:rPr>
        <w:tab/>
      </w:r>
    </w:p>
    <w:p w14:paraId="00509653" w14:textId="60332E88" w:rsidR="00B13B50" w:rsidRPr="00FA432C" w:rsidRDefault="00463477" w:rsidP="00FA432C">
      <w:pPr>
        <w:jc w:val="center"/>
        <w:rPr>
          <w:rFonts w:ascii="Georgia" w:hAnsi="Georgia"/>
          <w:b/>
          <w:bCs/>
          <w:sz w:val="24"/>
          <w:szCs w:val="24"/>
        </w:rPr>
      </w:pPr>
      <w:r w:rsidRPr="00FA432C">
        <w:rPr>
          <w:rFonts w:ascii="Georgia" w:hAnsi="Georgia"/>
          <w:b/>
          <w:bCs/>
          <w:sz w:val="24"/>
          <w:szCs w:val="24"/>
        </w:rPr>
        <w:t>J.P. Morgan Chase &amp; Co. Is An Affiliate of the IIF Shell Companies</w:t>
      </w:r>
    </w:p>
    <w:p w14:paraId="579647BB" w14:textId="4A5CF664" w:rsidR="00B13B50" w:rsidRDefault="00B13B50">
      <w:pPr>
        <w:rPr>
          <w:rFonts w:ascii="Georgia" w:hAnsi="Georgia"/>
          <w:sz w:val="24"/>
          <w:szCs w:val="24"/>
        </w:rPr>
      </w:pPr>
    </w:p>
    <w:p w14:paraId="6FB2183F" w14:textId="0685271C" w:rsidR="00A4426E" w:rsidRDefault="00A4426E" w:rsidP="00E5533F">
      <w:pPr>
        <w:spacing w:line="360" w:lineRule="auto"/>
        <w:ind w:firstLine="720"/>
        <w:rPr>
          <w:rFonts w:ascii="Georgia" w:hAnsi="Georgia"/>
          <w:sz w:val="24"/>
          <w:szCs w:val="24"/>
        </w:rPr>
      </w:pPr>
      <w:r>
        <w:rPr>
          <w:rFonts w:ascii="Georgia" w:hAnsi="Georgia"/>
          <w:sz w:val="24"/>
          <w:szCs w:val="24"/>
        </w:rPr>
        <w:t>J.P. Morgan Chase &amp; Co. created</w:t>
      </w:r>
      <w:r w:rsidR="00AC0269">
        <w:rPr>
          <w:rFonts w:ascii="Georgia" w:hAnsi="Georgia"/>
          <w:sz w:val="24"/>
          <w:szCs w:val="24"/>
        </w:rPr>
        <w:t xml:space="preserve"> IIF </w:t>
      </w:r>
      <w:r w:rsidR="00944889">
        <w:rPr>
          <w:rFonts w:ascii="Georgia" w:hAnsi="Georgia"/>
          <w:sz w:val="24"/>
          <w:szCs w:val="24"/>
        </w:rPr>
        <w:t xml:space="preserve">as an off-the-books private equity division one year </w:t>
      </w:r>
      <w:r w:rsidR="00AC0269">
        <w:rPr>
          <w:rFonts w:ascii="Georgia" w:hAnsi="Georgia"/>
          <w:sz w:val="24"/>
          <w:szCs w:val="24"/>
        </w:rPr>
        <w:t xml:space="preserve">after </w:t>
      </w:r>
      <w:r w:rsidR="00944889">
        <w:rPr>
          <w:rFonts w:ascii="Georgia" w:hAnsi="Georgia"/>
          <w:sz w:val="24"/>
          <w:szCs w:val="24"/>
        </w:rPr>
        <w:t>committing to the</w:t>
      </w:r>
      <w:r w:rsidR="00AC0269">
        <w:rPr>
          <w:rFonts w:ascii="Georgia" w:hAnsi="Georgia"/>
          <w:sz w:val="24"/>
          <w:szCs w:val="24"/>
        </w:rPr>
        <w:t xml:space="preserve"> Federal Reserve </w:t>
      </w:r>
      <w:r w:rsidR="00944889">
        <w:rPr>
          <w:rFonts w:ascii="Georgia" w:hAnsi="Georgia"/>
          <w:sz w:val="24"/>
          <w:szCs w:val="24"/>
        </w:rPr>
        <w:t xml:space="preserve">that it would </w:t>
      </w:r>
      <w:r w:rsidR="00761536">
        <w:rPr>
          <w:rFonts w:ascii="Georgia" w:hAnsi="Georgia"/>
          <w:sz w:val="24"/>
          <w:szCs w:val="24"/>
        </w:rPr>
        <w:t xml:space="preserve">not “acquire or operate” power plants. </w:t>
      </w:r>
      <w:r w:rsidR="00E20D3B">
        <w:rPr>
          <w:rFonts w:ascii="Georgia" w:hAnsi="Georgia"/>
          <w:sz w:val="24"/>
          <w:szCs w:val="24"/>
        </w:rPr>
        <w:t xml:space="preserve">Prior to J.P. Morgan creating IIF in 2006, J.P. Morgan submitted </w:t>
      </w:r>
      <w:r w:rsidR="000129DE">
        <w:rPr>
          <w:rFonts w:ascii="Georgia" w:hAnsi="Georgia"/>
          <w:sz w:val="24"/>
          <w:szCs w:val="24"/>
        </w:rPr>
        <w:t xml:space="preserve">a </w:t>
      </w:r>
      <w:r w:rsidR="000129DE" w:rsidRPr="000129DE">
        <w:rPr>
          <w:rFonts w:ascii="Georgia" w:hAnsi="Georgia"/>
          <w:i/>
          <w:iCs/>
          <w:sz w:val="24"/>
          <w:szCs w:val="24"/>
        </w:rPr>
        <w:t>Notice to the Board of Governors of the Federal Reserve System</w:t>
      </w:r>
      <w:r w:rsidR="000129DE" w:rsidRPr="000129DE">
        <w:rPr>
          <w:rFonts w:ascii="Georgia" w:hAnsi="Georgia"/>
          <w:sz w:val="24"/>
          <w:szCs w:val="24"/>
        </w:rPr>
        <w:t xml:space="preserve"> on July 21, 2005</w:t>
      </w:r>
      <w:r w:rsidR="002E1258">
        <w:rPr>
          <w:rFonts w:ascii="Georgia" w:hAnsi="Georgia"/>
          <w:sz w:val="24"/>
          <w:szCs w:val="24"/>
        </w:rPr>
        <w:t xml:space="preserve">, where J.P. Morgan explicitly pledged to the Board of Governors </w:t>
      </w:r>
      <w:r w:rsidR="003666D2">
        <w:rPr>
          <w:rFonts w:ascii="Georgia" w:hAnsi="Georgia"/>
          <w:sz w:val="24"/>
          <w:szCs w:val="24"/>
        </w:rPr>
        <w:t xml:space="preserve">of the Federal Reserve </w:t>
      </w:r>
      <w:r w:rsidR="002E1258">
        <w:rPr>
          <w:rFonts w:ascii="Georgia" w:hAnsi="Georgia"/>
          <w:sz w:val="24"/>
          <w:szCs w:val="24"/>
        </w:rPr>
        <w:t>that:</w:t>
      </w:r>
    </w:p>
    <w:p w14:paraId="67412925" w14:textId="2051DBF0" w:rsidR="002E1258" w:rsidRPr="0084345F" w:rsidRDefault="002E1258" w:rsidP="0084345F">
      <w:pPr>
        <w:ind w:left="720"/>
        <w:rPr>
          <w:rFonts w:ascii="Georgia" w:hAnsi="Georgia"/>
          <w:i/>
          <w:iCs/>
        </w:rPr>
      </w:pPr>
      <w:r w:rsidRPr="003666D2">
        <w:rPr>
          <w:rFonts w:ascii="Georgia" w:hAnsi="Georgia"/>
          <w:i/>
          <w:iCs/>
        </w:rPr>
        <w:t xml:space="preserve">JPM Chase commits to the Board that it will not acquire or operate facilities in the United States for the extraction, </w:t>
      </w:r>
      <w:r w:rsidR="003666D2" w:rsidRPr="003666D2">
        <w:rPr>
          <w:rFonts w:ascii="Georgia" w:hAnsi="Georgia"/>
          <w:i/>
          <w:iCs/>
        </w:rPr>
        <w:t>transportation</w:t>
      </w:r>
      <w:r w:rsidRPr="003666D2">
        <w:rPr>
          <w:rFonts w:ascii="Georgia" w:hAnsi="Georgia"/>
          <w:i/>
          <w:iCs/>
        </w:rPr>
        <w:t>, storage or distribution of commodities.</w:t>
      </w:r>
      <w:r w:rsidR="000B5548">
        <w:rPr>
          <w:rStyle w:val="FootnoteReference"/>
          <w:rFonts w:ascii="Georgia" w:hAnsi="Georgia"/>
          <w:i/>
          <w:iCs/>
        </w:rPr>
        <w:footnoteReference w:id="12"/>
      </w:r>
    </w:p>
    <w:p w14:paraId="7B4213A4" w14:textId="77777777" w:rsidR="0084345F" w:rsidRDefault="0084345F" w:rsidP="00E5533F">
      <w:pPr>
        <w:spacing w:line="360" w:lineRule="auto"/>
        <w:ind w:firstLine="720"/>
        <w:rPr>
          <w:rFonts w:ascii="Georgia" w:hAnsi="Georgia"/>
          <w:sz w:val="24"/>
          <w:szCs w:val="24"/>
        </w:rPr>
      </w:pPr>
    </w:p>
    <w:p w14:paraId="693C68E6" w14:textId="5A5EA08C" w:rsidR="00E5533F" w:rsidRDefault="00956B8F" w:rsidP="00E5533F">
      <w:pPr>
        <w:spacing w:line="360" w:lineRule="auto"/>
        <w:ind w:firstLine="720"/>
        <w:rPr>
          <w:rFonts w:ascii="Georgia" w:hAnsi="Georgia"/>
          <w:sz w:val="24"/>
          <w:szCs w:val="24"/>
        </w:rPr>
      </w:pPr>
      <w:r>
        <w:rPr>
          <w:rFonts w:ascii="Georgia" w:hAnsi="Georgia"/>
          <w:sz w:val="24"/>
          <w:szCs w:val="24"/>
        </w:rPr>
        <w:t>One year after making this pledge to the Federal Reserve,</w:t>
      </w:r>
      <w:r w:rsidR="00AA41CD">
        <w:rPr>
          <w:rFonts w:ascii="Georgia" w:hAnsi="Georgia"/>
          <w:sz w:val="24"/>
          <w:szCs w:val="24"/>
        </w:rPr>
        <w:t xml:space="preserve"> </w:t>
      </w:r>
      <w:r w:rsidR="00AA41CD" w:rsidRPr="00E643D6">
        <w:rPr>
          <w:rFonts w:ascii="Georgia" w:hAnsi="Georgia"/>
          <w:sz w:val="24"/>
          <w:szCs w:val="24"/>
        </w:rPr>
        <w:t>J</w:t>
      </w:r>
      <w:r w:rsidR="00AA41CD">
        <w:rPr>
          <w:rFonts w:ascii="Georgia" w:hAnsi="Georgia"/>
          <w:sz w:val="24"/>
          <w:szCs w:val="24"/>
        </w:rPr>
        <w:t>.</w:t>
      </w:r>
      <w:r w:rsidR="00AA41CD" w:rsidRPr="00E643D6">
        <w:rPr>
          <w:rFonts w:ascii="Georgia" w:hAnsi="Georgia"/>
          <w:sz w:val="24"/>
          <w:szCs w:val="24"/>
        </w:rPr>
        <w:t>P</w:t>
      </w:r>
      <w:r w:rsidR="00AA41CD">
        <w:rPr>
          <w:rFonts w:ascii="Georgia" w:hAnsi="Georgia"/>
          <w:sz w:val="24"/>
          <w:szCs w:val="24"/>
        </w:rPr>
        <w:t>.</w:t>
      </w:r>
      <w:r w:rsidR="00AA41CD" w:rsidRPr="00E643D6">
        <w:rPr>
          <w:rFonts w:ascii="Georgia" w:hAnsi="Georgia"/>
          <w:sz w:val="24"/>
          <w:szCs w:val="24"/>
        </w:rPr>
        <w:t xml:space="preserve"> Morgan </w:t>
      </w:r>
      <w:r w:rsidR="00AA41CD">
        <w:rPr>
          <w:rFonts w:ascii="Georgia" w:hAnsi="Georgia"/>
          <w:sz w:val="24"/>
          <w:szCs w:val="24"/>
        </w:rPr>
        <w:t xml:space="preserve">Chase &amp; Co. created a new </w:t>
      </w:r>
      <w:r w:rsidR="00AA41CD" w:rsidRPr="00E643D6">
        <w:rPr>
          <w:rFonts w:ascii="Georgia" w:hAnsi="Georgia"/>
          <w:sz w:val="24"/>
          <w:szCs w:val="24"/>
        </w:rPr>
        <w:t>lightly-regulated private equity arm of the bank’s asset management division</w:t>
      </w:r>
      <w:r w:rsidR="00AA41CD">
        <w:rPr>
          <w:rFonts w:ascii="Georgia" w:hAnsi="Georgia"/>
          <w:sz w:val="24"/>
          <w:szCs w:val="24"/>
        </w:rPr>
        <w:t xml:space="preserve"> and legally called it </w:t>
      </w:r>
      <w:r w:rsidR="00AA41CD" w:rsidRPr="00917721">
        <w:rPr>
          <w:rFonts w:ascii="Georgia" w:hAnsi="Georgia"/>
          <w:i/>
          <w:iCs/>
          <w:sz w:val="24"/>
          <w:szCs w:val="24"/>
        </w:rPr>
        <w:t>J.P. Morgan IIF</w:t>
      </w:r>
      <w:r w:rsidR="00AA41CD">
        <w:rPr>
          <w:rFonts w:ascii="Georgia" w:hAnsi="Georgia"/>
          <w:sz w:val="24"/>
          <w:szCs w:val="24"/>
        </w:rPr>
        <w:t>.</w:t>
      </w:r>
      <w:r w:rsidR="00AA41CD">
        <w:rPr>
          <w:rStyle w:val="FootnoteReference"/>
          <w:rFonts w:ascii="Georgia" w:hAnsi="Georgia"/>
          <w:sz w:val="24"/>
          <w:szCs w:val="24"/>
        </w:rPr>
        <w:footnoteReference w:id="13"/>
      </w:r>
      <w:r w:rsidR="00AA41CD">
        <w:rPr>
          <w:rFonts w:ascii="Georgia" w:hAnsi="Georgia"/>
          <w:sz w:val="24"/>
          <w:szCs w:val="24"/>
        </w:rPr>
        <w:t xml:space="preserve"> J.P. Morgan had financial incentive to self-brand its new private equity arm, as selling securities to </w:t>
      </w:r>
      <w:r w:rsidR="005450D1">
        <w:rPr>
          <w:rFonts w:ascii="Georgia" w:hAnsi="Georgia"/>
          <w:sz w:val="24"/>
          <w:szCs w:val="24"/>
        </w:rPr>
        <w:t>institutional investors</w:t>
      </w:r>
      <w:r w:rsidR="00AA41CD">
        <w:rPr>
          <w:rFonts w:ascii="Georgia" w:hAnsi="Georgia"/>
          <w:sz w:val="24"/>
          <w:szCs w:val="24"/>
        </w:rPr>
        <w:t xml:space="preserve"> is far easier when the name on those securities is “J.P. Morgan”.</w:t>
      </w:r>
      <w:r w:rsidR="00AA41CD">
        <w:rPr>
          <w:rFonts w:ascii="Cambria" w:hAnsi="Cambria"/>
          <w:sz w:val="24"/>
          <w:szCs w:val="24"/>
        </w:rPr>
        <w:t xml:space="preserve"> </w:t>
      </w:r>
      <w:r w:rsidR="00AA41CD">
        <w:rPr>
          <w:rFonts w:ascii="Georgia" w:hAnsi="Georgia"/>
          <w:sz w:val="24"/>
          <w:szCs w:val="24"/>
        </w:rPr>
        <w:t>J.P. Morgan retained its name on IIF’s securities sales through the first ten years of its existence.</w:t>
      </w:r>
      <w:r w:rsidR="00AA41CD">
        <w:rPr>
          <w:rStyle w:val="FootnoteReference"/>
          <w:rFonts w:ascii="Georgia" w:hAnsi="Georgia"/>
          <w:sz w:val="24"/>
          <w:szCs w:val="24"/>
        </w:rPr>
        <w:footnoteReference w:id="14"/>
      </w:r>
      <w:r w:rsidR="00AA41CD" w:rsidRPr="00E643D6">
        <w:rPr>
          <w:rFonts w:ascii="Georgia" w:hAnsi="Georgia"/>
          <w:sz w:val="24"/>
          <w:szCs w:val="24"/>
        </w:rPr>
        <w:t xml:space="preserve"> </w:t>
      </w:r>
      <w:r w:rsidR="00AA41CD">
        <w:rPr>
          <w:rFonts w:ascii="Georgia" w:hAnsi="Georgia"/>
          <w:sz w:val="24"/>
          <w:szCs w:val="24"/>
        </w:rPr>
        <w:t xml:space="preserve">J.P. Morgan’s decision to remove its name from IIF by 2016 did not reflect any diminished management role for the bank, but rather acknowledged that J.P. Morgan had successfully </w:t>
      </w:r>
      <w:r w:rsidR="00A621D0">
        <w:rPr>
          <w:rFonts w:ascii="Georgia" w:hAnsi="Georgia"/>
          <w:sz w:val="24"/>
          <w:szCs w:val="24"/>
        </w:rPr>
        <w:t>established</w:t>
      </w:r>
      <w:r w:rsidR="00AA41CD">
        <w:rPr>
          <w:rFonts w:ascii="Georgia" w:hAnsi="Georgia"/>
          <w:sz w:val="24"/>
          <w:szCs w:val="24"/>
        </w:rPr>
        <w:t xml:space="preserve"> IIF as a</w:t>
      </w:r>
      <w:r w:rsidR="00A621D0">
        <w:rPr>
          <w:rFonts w:ascii="Georgia" w:hAnsi="Georgia"/>
          <w:sz w:val="24"/>
          <w:szCs w:val="24"/>
        </w:rPr>
        <w:t>n</w:t>
      </w:r>
      <w:r w:rsidR="00AA41CD">
        <w:rPr>
          <w:rFonts w:ascii="Georgia" w:hAnsi="Georgia"/>
          <w:sz w:val="24"/>
          <w:szCs w:val="24"/>
        </w:rPr>
        <w:t xml:space="preserve"> investment vehicle for </w:t>
      </w:r>
      <w:r w:rsidR="00A621D0">
        <w:rPr>
          <w:rFonts w:ascii="Georgia" w:hAnsi="Georgia"/>
          <w:sz w:val="24"/>
          <w:szCs w:val="24"/>
        </w:rPr>
        <w:t>institutional investors</w:t>
      </w:r>
      <w:r w:rsidR="00AA41CD">
        <w:rPr>
          <w:rFonts w:ascii="Georgia" w:hAnsi="Georgia"/>
          <w:sz w:val="24"/>
          <w:szCs w:val="24"/>
        </w:rPr>
        <w:t>.</w:t>
      </w:r>
      <w:r w:rsidR="00E5533F">
        <w:rPr>
          <w:rFonts w:ascii="Georgia" w:hAnsi="Georgia"/>
          <w:sz w:val="24"/>
          <w:szCs w:val="24"/>
        </w:rPr>
        <w:t xml:space="preserve"> </w:t>
      </w:r>
      <w:r w:rsidR="00D04DC7">
        <w:rPr>
          <w:rFonts w:ascii="Georgia" w:hAnsi="Georgia"/>
          <w:sz w:val="24"/>
          <w:szCs w:val="24"/>
        </w:rPr>
        <w:t xml:space="preserve">IIF has </w:t>
      </w:r>
      <w:r w:rsidR="00C513B3">
        <w:rPr>
          <w:rFonts w:ascii="Georgia" w:hAnsi="Georgia"/>
          <w:sz w:val="24"/>
          <w:szCs w:val="24"/>
        </w:rPr>
        <w:t>delegated sweeping day-to-day authorities to</w:t>
      </w:r>
      <w:r w:rsidR="00D04DC7">
        <w:rPr>
          <w:rFonts w:ascii="Georgia" w:hAnsi="Georgia"/>
          <w:sz w:val="24"/>
          <w:szCs w:val="24"/>
        </w:rPr>
        <w:t xml:space="preserve"> J.P. Morgan</w:t>
      </w:r>
      <w:r w:rsidR="00C513B3">
        <w:rPr>
          <w:rFonts w:ascii="Georgia" w:hAnsi="Georgia"/>
          <w:sz w:val="24"/>
          <w:szCs w:val="24"/>
        </w:rPr>
        <w:t>.</w:t>
      </w:r>
      <w:r w:rsidR="00EC1FB2">
        <w:rPr>
          <w:rFonts w:ascii="Georgia" w:hAnsi="Georgia"/>
          <w:sz w:val="24"/>
          <w:szCs w:val="24"/>
        </w:rPr>
        <w:t xml:space="preserve"> </w:t>
      </w:r>
    </w:p>
    <w:p w14:paraId="2065BBDB" w14:textId="45028482" w:rsidR="00AA41CD" w:rsidRDefault="00DA59CB" w:rsidP="00AA41CD">
      <w:pPr>
        <w:spacing w:line="360" w:lineRule="auto"/>
        <w:ind w:firstLine="720"/>
        <w:rPr>
          <w:rFonts w:ascii="Georgia" w:hAnsi="Georgia"/>
          <w:sz w:val="24"/>
          <w:szCs w:val="24"/>
        </w:rPr>
      </w:pPr>
      <w:r>
        <w:rPr>
          <w:rFonts w:ascii="Georgia" w:hAnsi="Georgia"/>
          <w:sz w:val="24"/>
          <w:szCs w:val="24"/>
        </w:rPr>
        <w:t xml:space="preserve">IIF disclosed to the U.S. Nuclear Regulatory Commission that IIF is overwhelmingly comprised of investments from outside the United States. </w:t>
      </w:r>
      <w:r w:rsidR="00EC1FB2">
        <w:rPr>
          <w:rFonts w:ascii="Georgia" w:hAnsi="Georgia"/>
          <w:sz w:val="24"/>
          <w:szCs w:val="24"/>
        </w:rPr>
        <w:t xml:space="preserve">Seventy-nine percent of </w:t>
      </w:r>
      <w:r w:rsidR="004A333A">
        <w:rPr>
          <w:rFonts w:ascii="Georgia" w:hAnsi="Georgia"/>
          <w:sz w:val="24"/>
          <w:szCs w:val="24"/>
        </w:rPr>
        <w:t>IIF’s equity is raised from foreign sources</w:t>
      </w:r>
      <w:r w:rsidR="00921AF1">
        <w:rPr>
          <w:rFonts w:ascii="Georgia" w:hAnsi="Georgia"/>
          <w:sz w:val="24"/>
          <w:szCs w:val="24"/>
        </w:rPr>
        <w:t xml:space="preserve">: 27% from the United Kingdom, </w:t>
      </w:r>
      <w:r w:rsidR="00A4223C">
        <w:rPr>
          <w:rFonts w:ascii="Georgia" w:hAnsi="Georgia"/>
          <w:sz w:val="24"/>
          <w:szCs w:val="24"/>
        </w:rPr>
        <w:t xml:space="preserve">18% from </w:t>
      </w:r>
      <w:r w:rsidR="008470FC">
        <w:rPr>
          <w:rFonts w:ascii="Georgia" w:hAnsi="Georgia"/>
          <w:sz w:val="24"/>
          <w:szCs w:val="24"/>
        </w:rPr>
        <w:t>Europe (excluding the U.K.)</w:t>
      </w:r>
      <w:r w:rsidR="00A4223C">
        <w:rPr>
          <w:rFonts w:ascii="Georgia" w:hAnsi="Georgia"/>
          <w:sz w:val="24"/>
          <w:szCs w:val="24"/>
        </w:rPr>
        <w:t xml:space="preserve">, 13% from Canada, </w:t>
      </w:r>
      <w:r w:rsidR="00901FE2">
        <w:rPr>
          <w:rFonts w:ascii="Georgia" w:hAnsi="Georgia"/>
          <w:sz w:val="24"/>
          <w:szCs w:val="24"/>
        </w:rPr>
        <w:t xml:space="preserve">8% from Japan, </w:t>
      </w:r>
      <w:r w:rsidR="003A6B06">
        <w:rPr>
          <w:rFonts w:ascii="Georgia" w:hAnsi="Georgia"/>
          <w:sz w:val="24"/>
          <w:szCs w:val="24"/>
        </w:rPr>
        <w:t xml:space="preserve">6% from the </w:t>
      </w:r>
      <w:r w:rsidR="003A6B06">
        <w:rPr>
          <w:rFonts w:ascii="Georgia" w:hAnsi="Georgia"/>
          <w:sz w:val="24"/>
          <w:szCs w:val="24"/>
        </w:rPr>
        <w:lastRenderedPageBreak/>
        <w:t xml:space="preserve">Middle East, 4% from </w:t>
      </w:r>
      <w:r w:rsidR="00707063">
        <w:rPr>
          <w:rFonts w:ascii="Georgia" w:hAnsi="Georgia"/>
          <w:sz w:val="24"/>
          <w:szCs w:val="24"/>
        </w:rPr>
        <w:t>Australia</w:t>
      </w:r>
      <w:r w:rsidR="003A6B06">
        <w:rPr>
          <w:rFonts w:ascii="Georgia" w:hAnsi="Georgia"/>
          <w:sz w:val="24"/>
          <w:szCs w:val="24"/>
        </w:rPr>
        <w:t>, 2% from Asia (excluding Japan)</w:t>
      </w:r>
      <w:r w:rsidR="00122749">
        <w:rPr>
          <w:rFonts w:ascii="Georgia" w:hAnsi="Georgia"/>
          <w:sz w:val="24"/>
          <w:szCs w:val="24"/>
        </w:rPr>
        <w:t xml:space="preserve"> and</w:t>
      </w:r>
      <w:r w:rsidR="003A6B06">
        <w:rPr>
          <w:rFonts w:ascii="Georgia" w:hAnsi="Georgia"/>
          <w:sz w:val="24"/>
          <w:szCs w:val="24"/>
        </w:rPr>
        <w:t xml:space="preserve"> 1% “other”</w:t>
      </w:r>
      <w:r w:rsidR="00122749">
        <w:rPr>
          <w:rFonts w:ascii="Georgia" w:hAnsi="Georgia"/>
          <w:sz w:val="24"/>
          <w:szCs w:val="24"/>
        </w:rPr>
        <w:t>.</w:t>
      </w:r>
      <w:r w:rsidR="003A6B06">
        <w:rPr>
          <w:rFonts w:ascii="Georgia" w:hAnsi="Georgia"/>
          <w:sz w:val="24"/>
          <w:szCs w:val="24"/>
        </w:rPr>
        <w:t xml:space="preserve"> </w:t>
      </w:r>
      <w:r w:rsidR="00122749">
        <w:rPr>
          <w:rFonts w:ascii="Georgia" w:hAnsi="Georgia"/>
          <w:sz w:val="24"/>
          <w:szCs w:val="24"/>
        </w:rPr>
        <w:t xml:space="preserve">Only </w:t>
      </w:r>
      <w:r w:rsidR="003A6B06">
        <w:rPr>
          <w:rFonts w:ascii="Georgia" w:hAnsi="Georgia"/>
          <w:sz w:val="24"/>
          <w:szCs w:val="24"/>
        </w:rPr>
        <w:t>21%</w:t>
      </w:r>
      <w:r w:rsidR="004915CD">
        <w:rPr>
          <w:rFonts w:ascii="Georgia" w:hAnsi="Georgia"/>
          <w:sz w:val="24"/>
          <w:szCs w:val="24"/>
        </w:rPr>
        <w:t xml:space="preserve"> of IIF’s equity</w:t>
      </w:r>
      <w:r w:rsidR="003A6B06">
        <w:rPr>
          <w:rFonts w:ascii="Georgia" w:hAnsi="Georgia"/>
          <w:sz w:val="24"/>
          <w:szCs w:val="24"/>
        </w:rPr>
        <w:t xml:space="preserve"> </w:t>
      </w:r>
      <w:r w:rsidR="004577C4">
        <w:rPr>
          <w:rFonts w:ascii="Georgia" w:hAnsi="Georgia"/>
          <w:sz w:val="24"/>
          <w:szCs w:val="24"/>
        </w:rPr>
        <w:t xml:space="preserve">is </w:t>
      </w:r>
      <w:r w:rsidR="003A6B06">
        <w:rPr>
          <w:rFonts w:ascii="Georgia" w:hAnsi="Georgia"/>
          <w:sz w:val="24"/>
          <w:szCs w:val="24"/>
        </w:rPr>
        <w:t>from the United States.</w:t>
      </w:r>
      <w:r w:rsidR="00792C89">
        <w:rPr>
          <w:rStyle w:val="FootnoteReference"/>
          <w:rFonts w:ascii="Georgia" w:hAnsi="Georgia"/>
          <w:sz w:val="24"/>
          <w:szCs w:val="24"/>
        </w:rPr>
        <w:footnoteReference w:id="15"/>
      </w:r>
      <w:r w:rsidR="00AA41CD">
        <w:rPr>
          <w:rFonts w:ascii="Georgia" w:hAnsi="Georgia"/>
          <w:sz w:val="24"/>
          <w:szCs w:val="24"/>
        </w:rPr>
        <w:t xml:space="preserve"> </w:t>
      </w:r>
    </w:p>
    <w:p w14:paraId="79E47C6C" w14:textId="2BCD43A0" w:rsidR="00AA41CD" w:rsidRDefault="00AA41CD" w:rsidP="00AA41CD">
      <w:pPr>
        <w:spacing w:line="360" w:lineRule="auto"/>
        <w:ind w:firstLine="720"/>
        <w:rPr>
          <w:rFonts w:ascii="Georgia" w:hAnsi="Georgia"/>
          <w:sz w:val="24"/>
          <w:szCs w:val="24"/>
        </w:rPr>
      </w:pPr>
      <w:r w:rsidRPr="00E643D6">
        <w:rPr>
          <w:rFonts w:ascii="Georgia" w:hAnsi="Georgia"/>
          <w:sz w:val="24"/>
          <w:szCs w:val="24"/>
        </w:rPr>
        <w:t>J</w:t>
      </w:r>
      <w:r>
        <w:rPr>
          <w:rFonts w:ascii="Georgia" w:hAnsi="Georgia"/>
          <w:sz w:val="24"/>
          <w:szCs w:val="24"/>
        </w:rPr>
        <w:t>.</w:t>
      </w:r>
      <w:r w:rsidRPr="00E643D6">
        <w:rPr>
          <w:rFonts w:ascii="Georgia" w:hAnsi="Georgia"/>
          <w:sz w:val="24"/>
          <w:szCs w:val="24"/>
        </w:rPr>
        <w:t>P</w:t>
      </w:r>
      <w:r>
        <w:rPr>
          <w:rFonts w:ascii="Georgia" w:hAnsi="Georgia"/>
          <w:sz w:val="24"/>
          <w:szCs w:val="24"/>
        </w:rPr>
        <w:t>.</w:t>
      </w:r>
      <w:r w:rsidRPr="00E643D6">
        <w:rPr>
          <w:rFonts w:ascii="Georgia" w:hAnsi="Georgia"/>
          <w:sz w:val="24"/>
          <w:szCs w:val="24"/>
        </w:rPr>
        <w:t xml:space="preserve"> Morgan</w:t>
      </w:r>
      <w:r>
        <w:rPr>
          <w:rFonts w:ascii="Georgia" w:hAnsi="Georgia"/>
          <w:sz w:val="24"/>
          <w:szCs w:val="24"/>
        </w:rPr>
        <w:t>’s control over IIF is far deeper than just the legacy of naming rights</w:t>
      </w:r>
      <w:r>
        <w:rPr>
          <w:rFonts w:ascii="Cambria" w:hAnsi="Cambria"/>
          <w:sz w:val="24"/>
          <w:szCs w:val="24"/>
        </w:rPr>
        <w:t>—</w:t>
      </w:r>
      <w:r>
        <w:rPr>
          <w:rFonts w:ascii="Georgia" w:hAnsi="Georgia"/>
          <w:sz w:val="24"/>
          <w:szCs w:val="24"/>
        </w:rPr>
        <w:t>J.P. Morgan designed IIF’s</w:t>
      </w:r>
      <w:r w:rsidRPr="00E643D6">
        <w:rPr>
          <w:rFonts w:ascii="Georgia" w:hAnsi="Georgia"/>
          <w:sz w:val="24"/>
          <w:szCs w:val="24"/>
        </w:rPr>
        <w:t xml:space="preserve"> weak corporate controls to maximize the bank’s ability to </w:t>
      </w:r>
      <w:r>
        <w:rPr>
          <w:rFonts w:ascii="Georgia" w:hAnsi="Georgia"/>
          <w:sz w:val="24"/>
          <w:szCs w:val="24"/>
        </w:rPr>
        <w:t>direct</w:t>
      </w:r>
      <w:r w:rsidRPr="00E643D6">
        <w:rPr>
          <w:rFonts w:ascii="Georgia" w:hAnsi="Georgia"/>
          <w:sz w:val="24"/>
          <w:szCs w:val="24"/>
        </w:rPr>
        <w:t xml:space="preserve"> and manage all of IIF</w:t>
      </w:r>
      <w:r>
        <w:rPr>
          <w:rFonts w:ascii="Georgia" w:hAnsi="Georgia"/>
          <w:sz w:val="24"/>
          <w:szCs w:val="24"/>
        </w:rPr>
        <w:t>’s operations and investments. To deflect regulator’s curiosity of upstream control by J.P. Morgan, the bank designed a false “ownership” structure consisting of three term-limited individuals who, in turn, delegate all day-to-day authorities to J.P. Morgan Chase &amp; Co. IIF has previously acknowledged that J.P. Morgan Chase &amp; Co. nominated current IIF “owners</w:t>
      </w:r>
      <w:r w:rsidR="007A4386">
        <w:rPr>
          <w:rFonts w:ascii="Georgia" w:hAnsi="Georgia"/>
          <w:sz w:val="24"/>
          <w:szCs w:val="24"/>
        </w:rPr>
        <w:t>,</w:t>
      </w:r>
      <w:r>
        <w:rPr>
          <w:rFonts w:ascii="Georgia" w:hAnsi="Georgia"/>
          <w:sz w:val="24"/>
          <w:szCs w:val="24"/>
        </w:rPr>
        <w:t xml:space="preserve">” </w:t>
      </w:r>
      <w:r w:rsidR="00C960EE">
        <w:rPr>
          <w:rFonts w:ascii="Georgia" w:hAnsi="Georgia"/>
          <w:sz w:val="24"/>
          <w:szCs w:val="24"/>
        </w:rPr>
        <w:t xml:space="preserve">and </w:t>
      </w:r>
      <w:r>
        <w:rPr>
          <w:rFonts w:ascii="Georgia" w:hAnsi="Georgia"/>
          <w:sz w:val="24"/>
          <w:szCs w:val="24"/>
        </w:rPr>
        <w:t>can influence the selection of new “owners”.</w:t>
      </w:r>
      <w:r>
        <w:rPr>
          <w:rStyle w:val="FootnoteReference"/>
          <w:rFonts w:ascii="Georgia" w:hAnsi="Georgia"/>
          <w:sz w:val="24"/>
          <w:szCs w:val="24"/>
        </w:rPr>
        <w:footnoteReference w:id="16"/>
      </w:r>
      <w:r w:rsidR="007A34D7">
        <w:rPr>
          <w:rFonts w:ascii="Georgia" w:hAnsi="Georgia"/>
          <w:sz w:val="24"/>
          <w:szCs w:val="24"/>
        </w:rPr>
        <w:t xml:space="preserve"> </w:t>
      </w:r>
    </w:p>
    <w:p w14:paraId="142F05FC" w14:textId="1EF7ED3C" w:rsidR="007A34D7" w:rsidRDefault="007A34D7" w:rsidP="00AA41CD">
      <w:pPr>
        <w:spacing w:line="360" w:lineRule="auto"/>
        <w:ind w:firstLine="720"/>
        <w:rPr>
          <w:rFonts w:ascii="Georgia" w:hAnsi="Georgia"/>
          <w:sz w:val="24"/>
          <w:szCs w:val="24"/>
        </w:rPr>
      </w:pPr>
      <w:r>
        <w:rPr>
          <w:rFonts w:ascii="Georgia" w:hAnsi="Georgia"/>
          <w:sz w:val="24"/>
          <w:szCs w:val="24"/>
        </w:rPr>
        <w:t xml:space="preserve">IIF’s delegation of day-to-day authorities to J.P. Morgan extends to </w:t>
      </w:r>
      <w:r w:rsidR="00EA094C">
        <w:rPr>
          <w:rFonts w:ascii="Georgia" w:hAnsi="Georgia"/>
          <w:sz w:val="24"/>
          <w:szCs w:val="24"/>
        </w:rPr>
        <w:t xml:space="preserve">ensuring that J.P. Morgan executives serve on </w:t>
      </w:r>
      <w:r w:rsidR="001211F2">
        <w:rPr>
          <w:rFonts w:ascii="Georgia" w:hAnsi="Georgia"/>
          <w:sz w:val="24"/>
          <w:szCs w:val="24"/>
        </w:rPr>
        <w:t xml:space="preserve">all of </w:t>
      </w:r>
      <w:r w:rsidR="00EA094C">
        <w:rPr>
          <w:rFonts w:ascii="Georgia" w:hAnsi="Georgia"/>
          <w:sz w:val="24"/>
          <w:szCs w:val="24"/>
        </w:rPr>
        <w:t>the board of directors of companies under the control of IIF.</w:t>
      </w:r>
    </w:p>
    <w:p w14:paraId="6B71896D" w14:textId="09565BD8" w:rsidR="004B3500" w:rsidRPr="00646580" w:rsidRDefault="00EE788D" w:rsidP="00EE3349">
      <w:pPr>
        <w:spacing w:line="360" w:lineRule="auto"/>
        <w:ind w:firstLine="720"/>
        <w:rPr>
          <w:rFonts w:ascii="Georgia" w:hAnsi="Georgia"/>
          <w:sz w:val="24"/>
          <w:szCs w:val="24"/>
        </w:rPr>
      </w:pPr>
      <w:r w:rsidRPr="00646580">
        <w:rPr>
          <w:rFonts w:ascii="Georgia" w:hAnsi="Georgia"/>
          <w:sz w:val="24"/>
          <w:szCs w:val="24"/>
        </w:rPr>
        <w:t xml:space="preserve">The Commission has authority to determine </w:t>
      </w:r>
      <w:r>
        <w:rPr>
          <w:rFonts w:ascii="Georgia" w:hAnsi="Georgia"/>
          <w:sz w:val="24"/>
          <w:szCs w:val="24"/>
        </w:rPr>
        <w:t>whether IIF and J.P. Morgan Chase &amp; Co.</w:t>
      </w:r>
      <w:r w:rsidRPr="00646580">
        <w:rPr>
          <w:rFonts w:ascii="Georgia" w:hAnsi="Georgia"/>
          <w:sz w:val="24"/>
          <w:szCs w:val="24"/>
        </w:rPr>
        <w:t xml:space="preserve"> are affiliates. 18 CFR § 35.36(a)(9)(iii) defines “Affiliate” to include:</w:t>
      </w:r>
    </w:p>
    <w:p w14:paraId="24D161EF" w14:textId="77777777" w:rsidR="00EE788D" w:rsidRPr="00FC6092" w:rsidRDefault="00EE788D" w:rsidP="00EE788D">
      <w:pPr>
        <w:ind w:left="720"/>
        <w:rPr>
          <w:rFonts w:ascii="Georgia" w:hAnsi="Georgia"/>
          <w:i/>
          <w:iCs/>
          <w:sz w:val="24"/>
          <w:szCs w:val="24"/>
        </w:rPr>
      </w:pPr>
      <w:r w:rsidRPr="00FC6092">
        <w:rPr>
          <w:rFonts w:ascii="Georgia" w:hAnsi="Georgia"/>
          <w:i/>
          <w:iCs/>
          <w:sz w:val="24"/>
          <w:szCs w:val="24"/>
        </w:rPr>
        <w:t>Any person or class of persons that the Commission determines, after appropriate notice and opportunity for hearing, to stand in such relation to the specified company that there is liable to be an absence of arm's-length bargaining in transactions between them as to make it necessary or appropriate in the public interest or for the protection of investors or consumers that the person be treated as an affiliate.</w:t>
      </w:r>
    </w:p>
    <w:p w14:paraId="2854CE52" w14:textId="77777777" w:rsidR="00EE788D" w:rsidRDefault="00EE788D" w:rsidP="00AA41CD">
      <w:pPr>
        <w:spacing w:line="360" w:lineRule="auto"/>
        <w:ind w:firstLine="720"/>
        <w:rPr>
          <w:rFonts w:ascii="Georgia" w:hAnsi="Georgia"/>
          <w:sz w:val="24"/>
          <w:szCs w:val="24"/>
        </w:rPr>
      </w:pPr>
    </w:p>
    <w:p w14:paraId="4B655845" w14:textId="21433910" w:rsidR="00E51813" w:rsidRDefault="00D164C8" w:rsidP="00E51813">
      <w:pPr>
        <w:spacing w:line="360" w:lineRule="auto"/>
        <w:ind w:firstLine="360"/>
        <w:rPr>
          <w:rFonts w:ascii="Georgia" w:hAnsi="Georgia"/>
          <w:sz w:val="24"/>
          <w:szCs w:val="24"/>
        </w:rPr>
      </w:pPr>
      <w:r>
        <w:rPr>
          <w:rFonts w:ascii="Georgia" w:hAnsi="Georgia"/>
          <w:sz w:val="24"/>
          <w:szCs w:val="24"/>
        </w:rPr>
        <w:t xml:space="preserve">As part of </w:t>
      </w:r>
      <w:r w:rsidR="00CF69B5">
        <w:rPr>
          <w:rFonts w:ascii="Georgia" w:hAnsi="Georgia"/>
          <w:sz w:val="24"/>
          <w:szCs w:val="24"/>
        </w:rPr>
        <w:t>a Commission determination of affiliation, a</w:t>
      </w:r>
      <w:r w:rsidR="00F11813">
        <w:rPr>
          <w:rFonts w:ascii="Georgia" w:hAnsi="Georgia"/>
          <w:sz w:val="24"/>
          <w:szCs w:val="24"/>
        </w:rPr>
        <w:t xml:space="preserve">n important variable is whether authorities granted by IIF to J.P. Morgan Chase &amp; Co include the </w:t>
      </w:r>
      <w:r w:rsidR="00B07C8C">
        <w:rPr>
          <w:rFonts w:ascii="Georgia" w:hAnsi="Georgia"/>
          <w:sz w:val="24"/>
          <w:szCs w:val="24"/>
        </w:rPr>
        <w:t xml:space="preserve">delegation of voting rights to J.P. Morgan. </w:t>
      </w:r>
      <w:r w:rsidR="005B0875">
        <w:rPr>
          <w:rFonts w:ascii="Georgia" w:hAnsi="Georgia"/>
          <w:sz w:val="24"/>
          <w:szCs w:val="24"/>
        </w:rPr>
        <w:t>In order to make the</w:t>
      </w:r>
      <w:r w:rsidR="00247A0A">
        <w:rPr>
          <w:rFonts w:ascii="Georgia" w:hAnsi="Georgia"/>
          <w:sz w:val="24"/>
          <w:szCs w:val="24"/>
        </w:rPr>
        <w:t xml:space="preserve"> affiliation </w:t>
      </w:r>
      <w:r w:rsidR="00E51813">
        <w:rPr>
          <w:rFonts w:ascii="Georgia" w:hAnsi="Georgia"/>
          <w:sz w:val="24"/>
          <w:szCs w:val="24"/>
        </w:rPr>
        <w:t xml:space="preserve">determination, it is necessary for the Commission to compel the disclosure of all management services agreements, </w:t>
      </w:r>
      <w:r w:rsidR="00E51813" w:rsidRPr="002107AC">
        <w:rPr>
          <w:rFonts w:ascii="Georgia" w:hAnsi="Georgia"/>
          <w:sz w:val="24"/>
          <w:szCs w:val="24"/>
        </w:rPr>
        <w:t>articles of incorporation, articles of</w:t>
      </w:r>
      <w:r w:rsidR="00E51813">
        <w:rPr>
          <w:rFonts w:ascii="Georgia" w:hAnsi="Georgia"/>
          <w:sz w:val="24"/>
          <w:szCs w:val="24"/>
        </w:rPr>
        <w:t xml:space="preserve"> </w:t>
      </w:r>
      <w:r w:rsidR="00E51813" w:rsidRPr="002107AC">
        <w:rPr>
          <w:rFonts w:ascii="Georgia" w:hAnsi="Georgia"/>
          <w:sz w:val="24"/>
          <w:szCs w:val="24"/>
        </w:rPr>
        <w:t>organization, corporate bylaws, operating</w:t>
      </w:r>
      <w:r w:rsidR="00E51813">
        <w:rPr>
          <w:rFonts w:ascii="Georgia" w:hAnsi="Georgia"/>
          <w:sz w:val="24"/>
          <w:szCs w:val="24"/>
        </w:rPr>
        <w:t xml:space="preserve"> </w:t>
      </w:r>
      <w:r w:rsidR="00E51813" w:rsidRPr="002107AC">
        <w:rPr>
          <w:rFonts w:ascii="Georgia" w:hAnsi="Georgia"/>
          <w:sz w:val="24"/>
          <w:szCs w:val="24"/>
        </w:rPr>
        <w:t>agreements, certificate of formation,</w:t>
      </w:r>
      <w:r w:rsidR="00E51813">
        <w:rPr>
          <w:rFonts w:ascii="Georgia" w:hAnsi="Georgia"/>
          <w:sz w:val="24"/>
          <w:szCs w:val="24"/>
        </w:rPr>
        <w:t xml:space="preserve"> </w:t>
      </w:r>
      <w:r w:rsidR="00E51813" w:rsidRPr="002107AC">
        <w:rPr>
          <w:rFonts w:ascii="Georgia" w:hAnsi="Georgia"/>
          <w:sz w:val="24"/>
          <w:szCs w:val="24"/>
        </w:rPr>
        <w:t>corporate charter</w:t>
      </w:r>
      <w:r w:rsidR="00E51813">
        <w:rPr>
          <w:rFonts w:ascii="Georgia" w:hAnsi="Georgia"/>
          <w:sz w:val="24"/>
          <w:szCs w:val="24"/>
        </w:rPr>
        <w:t>s</w:t>
      </w:r>
      <w:r w:rsidR="00E51813" w:rsidRPr="002107AC">
        <w:rPr>
          <w:rFonts w:ascii="Georgia" w:hAnsi="Georgia"/>
          <w:sz w:val="24"/>
          <w:szCs w:val="24"/>
        </w:rPr>
        <w:t xml:space="preserve"> and shareholder agreements for</w:t>
      </w:r>
      <w:r w:rsidR="00E51813">
        <w:rPr>
          <w:rFonts w:ascii="Georgia" w:hAnsi="Georgia"/>
          <w:sz w:val="24"/>
          <w:szCs w:val="24"/>
        </w:rPr>
        <w:t xml:space="preserve"> the following IIF shell companies:</w:t>
      </w:r>
      <w:r w:rsidR="00E51813" w:rsidRPr="002107AC">
        <w:rPr>
          <w:rFonts w:ascii="Georgia" w:hAnsi="Georgia"/>
          <w:sz w:val="24"/>
          <w:szCs w:val="24"/>
        </w:rPr>
        <w:t xml:space="preserve"> </w:t>
      </w:r>
    </w:p>
    <w:p w14:paraId="09F82A2F" w14:textId="77777777" w:rsidR="00E51813" w:rsidRDefault="00E51813" w:rsidP="00E51813">
      <w:pPr>
        <w:rPr>
          <w:rFonts w:ascii="Georgia" w:hAnsi="Georgia"/>
          <w:sz w:val="24"/>
          <w:szCs w:val="24"/>
        </w:rPr>
      </w:pPr>
    </w:p>
    <w:p w14:paraId="1076FBC2" w14:textId="77777777" w:rsidR="00E51813" w:rsidRDefault="00E51813" w:rsidP="00E51813">
      <w:pPr>
        <w:pStyle w:val="ListParagraph"/>
        <w:numPr>
          <w:ilvl w:val="0"/>
          <w:numId w:val="1"/>
        </w:numPr>
        <w:rPr>
          <w:rFonts w:ascii="Georgia" w:hAnsi="Georgia"/>
          <w:sz w:val="24"/>
          <w:szCs w:val="24"/>
        </w:rPr>
      </w:pPr>
      <w:r w:rsidRPr="00F32907">
        <w:rPr>
          <w:rFonts w:ascii="Georgia" w:hAnsi="Georgia"/>
          <w:sz w:val="24"/>
          <w:szCs w:val="24"/>
        </w:rPr>
        <w:t>IIF US Holdings GP</w:t>
      </w:r>
      <w:r>
        <w:rPr>
          <w:rFonts w:ascii="Georgia" w:hAnsi="Georgia"/>
          <w:sz w:val="24"/>
          <w:szCs w:val="24"/>
        </w:rPr>
        <w:t>,</w:t>
      </w:r>
      <w:r w:rsidRPr="00F32907">
        <w:rPr>
          <w:rFonts w:ascii="Georgia" w:hAnsi="Georgia"/>
          <w:sz w:val="24"/>
          <w:szCs w:val="24"/>
        </w:rPr>
        <w:t xml:space="preserve"> LLC</w:t>
      </w:r>
    </w:p>
    <w:p w14:paraId="3FA4FB2C" w14:textId="77777777" w:rsidR="00E51813" w:rsidRDefault="00E51813" w:rsidP="00E51813">
      <w:pPr>
        <w:pStyle w:val="ListParagraph"/>
        <w:numPr>
          <w:ilvl w:val="0"/>
          <w:numId w:val="1"/>
        </w:numPr>
        <w:rPr>
          <w:rFonts w:ascii="Georgia" w:hAnsi="Georgia"/>
          <w:sz w:val="24"/>
          <w:szCs w:val="24"/>
        </w:rPr>
      </w:pPr>
      <w:r>
        <w:rPr>
          <w:rFonts w:ascii="Georgia" w:hAnsi="Georgia"/>
          <w:sz w:val="24"/>
          <w:szCs w:val="24"/>
        </w:rPr>
        <w:t>IIF US Holdings 2 GP, LLC</w:t>
      </w:r>
    </w:p>
    <w:p w14:paraId="37449B94" w14:textId="77777777" w:rsidR="00E51813" w:rsidRDefault="00E51813" w:rsidP="00E51813">
      <w:pPr>
        <w:pStyle w:val="ListParagraph"/>
        <w:numPr>
          <w:ilvl w:val="0"/>
          <w:numId w:val="1"/>
        </w:numPr>
        <w:rPr>
          <w:rFonts w:ascii="Georgia" w:hAnsi="Georgia"/>
          <w:sz w:val="24"/>
          <w:szCs w:val="24"/>
        </w:rPr>
      </w:pPr>
      <w:r w:rsidRPr="002D5BD0">
        <w:rPr>
          <w:rFonts w:ascii="Georgia" w:hAnsi="Georgia"/>
          <w:sz w:val="24"/>
          <w:szCs w:val="24"/>
        </w:rPr>
        <w:lastRenderedPageBreak/>
        <w:t>IIF US Holding GP, LLC</w:t>
      </w:r>
    </w:p>
    <w:p w14:paraId="5E115960" w14:textId="77777777" w:rsidR="00E51813" w:rsidRDefault="00E51813" w:rsidP="00E51813">
      <w:pPr>
        <w:pStyle w:val="ListParagraph"/>
        <w:numPr>
          <w:ilvl w:val="0"/>
          <w:numId w:val="1"/>
        </w:numPr>
        <w:rPr>
          <w:rFonts w:ascii="Georgia" w:hAnsi="Georgia"/>
          <w:sz w:val="24"/>
          <w:szCs w:val="24"/>
        </w:rPr>
      </w:pPr>
      <w:r w:rsidRPr="00076CE4">
        <w:rPr>
          <w:rFonts w:ascii="Georgia" w:hAnsi="Georgia"/>
          <w:sz w:val="24"/>
          <w:szCs w:val="24"/>
        </w:rPr>
        <w:t>IIF US Holding GP 2, LLC</w:t>
      </w:r>
    </w:p>
    <w:p w14:paraId="5A9EA532" w14:textId="77777777" w:rsidR="00E51813" w:rsidRPr="00352540" w:rsidRDefault="00E51813" w:rsidP="00E51813">
      <w:pPr>
        <w:pStyle w:val="ListParagraph"/>
        <w:numPr>
          <w:ilvl w:val="0"/>
          <w:numId w:val="1"/>
        </w:numPr>
        <w:rPr>
          <w:rFonts w:ascii="Georgia" w:hAnsi="Georgia"/>
          <w:sz w:val="24"/>
          <w:szCs w:val="24"/>
        </w:rPr>
      </w:pPr>
      <w:r w:rsidRPr="00B34F47">
        <w:rPr>
          <w:rFonts w:ascii="Georgia" w:hAnsi="Georgia"/>
          <w:sz w:val="24"/>
          <w:szCs w:val="24"/>
        </w:rPr>
        <w:t>IIF US Holding LP</w:t>
      </w:r>
    </w:p>
    <w:p w14:paraId="13344988" w14:textId="77777777" w:rsidR="00E51813" w:rsidRDefault="00E51813" w:rsidP="00E51813">
      <w:pPr>
        <w:pStyle w:val="ListParagraph"/>
        <w:numPr>
          <w:ilvl w:val="0"/>
          <w:numId w:val="1"/>
        </w:numPr>
        <w:rPr>
          <w:rFonts w:ascii="Georgia" w:hAnsi="Georgia"/>
          <w:sz w:val="24"/>
          <w:szCs w:val="24"/>
        </w:rPr>
      </w:pPr>
      <w:r w:rsidRPr="0003480C">
        <w:rPr>
          <w:rFonts w:ascii="Georgia" w:hAnsi="Georgia"/>
          <w:sz w:val="24"/>
          <w:szCs w:val="24"/>
        </w:rPr>
        <w:t>IIF US Holding 2 LP</w:t>
      </w:r>
    </w:p>
    <w:p w14:paraId="57F59C21" w14:textId="77777777" w:rsidR="00E51813" w:rsidRPr="00CB7DBA" w:rsidRDefault="00E51813" w:rsidP="00E51813">
      <w:pPr>
        <w:pStyle w:val="ListParagraph"/>
        <w:numPr>
          <w:ilvl w:val="0"/>
          <w:numId w:val="1"/>
        </w:numPr>
        <w:rPr>
          <w:rFonts w:ascii="Georgia" w:hAnsi="Georgia"/>
          <w:sz w:val="24"/>
          <w:szCs w:val="24"/>
        </w:rPr>
      </w:pPr>
      <w:r w:rsidRPr="008A3C87">
        <w:rPr>
          <w:rFonts w:ascii="Georgia" w:hAnsi="Georgia"/>
          <w:sz w:val="24"/>
          <w:szCs w:val="24"/>
        </w:rPr>
        <w:t>IIF US Holding 2 GP, LLC</w:t>
      </w:r>
    </w:p>
    <w:p w14:paraId="047380E6" w14:textId="77777777" w:rsidR="00E51813" w:rsidRDefault="00E51813" w:rsidP="00E51813">
      <w:pPr>
        <w:pStyle w:val="ListParagraph"/>
        <w:numPr>
          <w:ilvl w:val="0"/>
          <w:numId w:val="1"/>
        </w:numPr>
        <w:rPr>
          <w:rFonts w:ascii="Georgia" w:hAnsi="Georgia"/>
          <w:sz w:val="24"/>
          <w:szCs w:val="24"/>
        </w:rPr>
      </w:pPr>
      <w:r w:rsidRPr="00B34F47">
        <w:rPr>
          <w:rFonts w:ascii="Georgia" w:hAnsi="Georgia"/>
          <w:sz w:val="24"/>
          <w:szCs w:val="24"/>
        </w:rPr>
        <w:t>IIF BH Investment LLC</w:t>
      </w:r>
    </w:p>
    <w:p w14:paraId="5E24A20A" w14:textId="77777777" w:rsidR="00E51813" w:rsidRPr="00E40430" w:rsidRDefault="00E51813" w:rsidP="00E51813">
      <w:pPr>
        <w:pStyle w:val="ListParagraph"/>
        <w:numPr>
          <w:ilvl w:val="0"/>
          <w:numId w:val="1"/>
        </w:numPr>
        <w:rPr>
          <w:rFonts w:ascii="Georgia" w:hAnsi="Georgia"/>
          <w:sz w:val="24"/>
          <w:szCs w:val="24"/>
        </w:rPr>
      </w:pPr>
      <w:r>
        <w:rPr>
          <w:rFonts w:ascii="Georgia" w:hAnsi="Georgia"/>
          <w:sz w:val="24"/>
          <w:szCs w:val="24"/>
        </w:rPr>
        <w:t>S</w:t>
      </w:r>
      <w:r w:rsidRPr="00E40430">
        <w:rPr>
          <w:rFonts w:ascii="Georgia" w:hAnsi="Georgia"/>
          <w:sz w:val="24"/>
          <w:szCs w:val="24"/>
        </w:rPr>
        <w:t>un Jupiter Holdings,</w:t>
      </w:r>
      <w:r>
        <w:rPr>
          <w:rFonts w:ascii="Georgia" w:hAnsi="Georgia"/>
          <w:sz w:val="24"/>
          <w:szCs w:val="24"/>
        </w:rPr>
        <w:t xml:space="preserve"> </w:t>
      </w:r>
      <w:r w:rsidRPr="00E40430">
        <w:rPr>
          <w:rFonts w:ascii="Georgia" w:hAnsi="Georgia"/>
          <w:sz w:val="24"/>
          <w:szCs w:val="24"/>
        </w:rPr>
        <w:t>LLC</w:t>
      </w:r>
    </w:p>
    <w:p w14:paraId="3E693319" w14:textId="77777777" w:rsidR="00E51813" w:rsidRDefault="00E51813" w:rsidP="00E51813">
      <w:pPr>
        <w:pStyle w:val="ListParagraph"/>
        <w:numPr>
          <w:ilvl w:val="0"/>
          <w:numId w:val="1"/>
        </w:numPr>
        <w:rPr>
          <w:rFonts w:ascii="Georgia" w:hAnsi="Georgia"/>
          <w:sz w:val="24"/>
          <w:szCs w:val="24"/>
        </w:rPr>
      </w:pPr>
      <w:r>
        <w:rPr>
          <w:rFonts w:ascii="Georgia" w:hAnsi="Georgia"/>
          <w:sz w:val="24"/>
          <w:szCs w:val="24"/>
        </w:rPr>
        <w:t>IIF Manager, LLC</w:t>
      </w:r>
    </w:p>
    <w:p w14:paraId="35C942CC" w14:textId="64DA1B46" w:rsidR="00F51A11" w:rsidRPr="00D14A03" w:rsidRDefault="00E51813" w:rsidP="00D14A03">
      <w:pPr>
        <w:pStyle w:val="ListParagraph"/>
        <w:numPr>
          <w:ilvl w:val="0"/>
          <w:numId w:val="1"/>
        </w:numPr>
        <w:spacing w:line="360" w:lineRule="auto"/>
        <w:rPr>
          <w:rFonts w:ascii="Georgia" w:hAnsi="Georgia"/>
          <w:sz w:val="24"/>
          <w:szCs w:val="24"/>
        </w:rPr>
      </w:pPr>
      <w:r w:rsidRPr="00D14A03">
        <w:rPr>
          <w:rFonts w:ascii="Georgia" w:hAnsi="Georgia"/>
          <w:sz w:val="24"/>
          <w:szCs w:val="24"/>
        </w:rPr>
        <w:t>IIF Novatus Fund Ultimate Holdings LP</w:t>
      </w:r>
      <w:r w:rsidR="005B0875" w:rsidRPr="00D14A03">
        <w:rPr>
          <w:rFonts w:ascii="Georgia" w:hAnsi="Georgia"/>
          <w:sz w:val="24"/>
          <w:szCs w:val="24"/>
        </w:rPr>
        <w:t xml:space="preserve"> </w:t>
      </w:r>
    </w:p>
    <w:p w14:paraId="7E16A536" w14:textId="77777777" w:rsidR="001211F2" w:rsidRDefault="001211F2" w:rsidP="00AA41CD">
      <w:pPr>
        <w:spacing w:line="360" w:lineRule="auto"/>
        <w:ind w:firstLine="720"/>
        <w:rPr>
          <w:rFonts w:ascii="Georgia" w:hAnsi="Georgia"/>
          <w:sz w:val="24"/>
          <w:szCs w:val="24"/>
        </w:rPr>
      </w:pPr>
    </w:p>
    <w:p w14:paraId="0CBDA7F9" w14:textId="62E1B5C0" w:rsidR="003D4A64" w:rsidRDefault="003D4A64" w:rsidP="00D14A03">
      <w:pPr>
        <w:rPr>
          <w:rFonts w:ascii="Georgia" w:hAnsi="Georgia"/>
          <w:sz w:val="24"/>
          <w:szCs w:val="24"/>
        </w:rPr>
      </w:pPr>
    </w:p>
    <w:p w14:paraId="08066CBB" w14:textId="7985FD93" w:rsidR="003D4A64" w:rsidRDefault="003D4A64" w:rsidP="004E4CE2">
      <w:pPr>
        <w:ind w:left="360" w:firstLine="360"/>
        <w:rPr>
          <w:rFonts w:ascii="Georgia" w:hAnsi="Georgia"/>
          <w:sz w:val="24"/>
          <w:szCs w:val="24"/>
        </w:rPr>
      </w:pPr>
    </w:p>
    <w:p w14:paraId="245DE0B9" w14:textId="6EE3C206" w:rsidR="003D4A64" w:rsidRDefault="003D4A64" w:rsidP="003D4A64">
      <w:pPr>
        <w:ind w:left="1800" w:firstLine="360"/>
        <w:rPr>
          <w:rFonts w:ascii="Georgia" w:hAnsi="Georgia"/>
          <w:sz w:val="24"/>
          <w:szCs w:val="24"/>
        </w:rPr>
      </w:pPr>
      <w:r>
        <w:rPr>
          <w:rFonts w:ascii="Georgia" w:hAnsi="Georgia"/>
          <w:sz w:val="24"/>
          <w:szCs w:val="24"/>
        </w:rPr>
        <w:t>Respectfully submitted,</w:t>
      </w:r>
    </w:p>
    <w:p w14:paraId="32975824" w14:textId="731D2F92" w:rsidR="003D4A64" w:rsidRDefault="003D4A64" w:rsidP="004E4CE2">
      <w:pPr>
        <w:ind w:left="360" w:firstLine="360"/>
        <w:rPr>
          <w:rFonts w:ascii="Georgia" w:hAnsi="Georgia"/>
          <w:sz w:val="24"/>
          <w:szCs w:val="24"/>
        </w:rPr>
      </w:pPr>
    </w:p>
    <w:p w14:paraId="41B6F3B8" w14:textId="4A5D0C7E" w:rsidR="003D4A64" w:rsidRDefault="003D4A64" w:rsidP="003D4A64">
      <w:pPr>
        <w:ind w:left="1440" w:firstLine="720"/>
        <w:rPr>
          <w:rFonts w:ascii="Georgia" w:hAnsi="Georgia"/>
          <w:sz w:val="24"/>
          <w:szCs w:val="24"/>
        </w:rPr>
      </w:pPr>
      <w:r>
        <w:rPr>
          <w:rFonts w:ascii="Georgia" w:hAnsi="Georgia"/>
          <w:sz w:val="24"/>
          <w:szCs w:val="24"/>
        </w:rPr>
        <w:t>Tyson Slocum, Energy Program Director</w:t>
      </w:r>
    </w:p>
    <w:p w14:paraId="6EB50D1F" w14:textId="34FC4C5E" w:rsidR="003D4A64" w:rsidRDefault="003D4A64" w:rsidP="003D4A64">
      <w:pPr>
        <w:ind w:left="1800" w:firstLine="360"/>
        <w:rPr>
          <w:rFonts w:ascii="Georgia" w:hAnsi="Georgia"/>
          <w:sz w:val="24"/>
          <w:szCs w:val="24"/>
        </w:rPr>
      </w:pPr>
      <w:r>
        <w:rPr>
          <w:rFonts w:ascii="Georgia" w:hAnsi="Georgia"/>
          <w:sz w:val="24"/>
          <w:szCs w:val="24"/>
        </w:rPr>
        <w:t>Public Citizen, Inc.</w:t>
      </w:r>
    </w:p>
    <w:p w14:paraId="4E0A7C1A" w14:textId="6FC8C217" w:rsidR="003D4A64" w:rsidRDefault="003D4A64" w:rsidP="003D4A64">
      <w:pPr>
        <w:ind w:left="1440" w:firstLine="720"/>
        <w:rPr>
          <w:rFonts w:ascii="Georgia" w:hAnsi="Georgia"/>
          <w:sz w:val="24"/>
          <w:szCs w:val="24"/>
        </w:rPr>
      </w:pPr>
      <w:r>
        <w:rPr>
          <w:rFonts w:ascii="Georgia" w:hAnsi="Georgia"/>
          <w:sz w:val="24"/>
          <w:szCs w:val="24"/>
        </w:rPr>
        <w:t>215 Pennsylvania Ave SE</w:t>
      </w:r>
    </w:p>
    <w:p w14:paraId="03CAE4B2" w14:textId="14C8BAFC" w:rsidR="003D4A64" w:rsidRDefault="003D4A64" w:rsidP="003D4A64">
      <w:pPr>
        <w:ind w:left="1800" w:firstLine="360"/>
        <w:rPr>
          <w:rFonts w:ascii="Georgia" w:hAnsi="Georgia"/>
          <w:sz w:val="24"/>
          <w:szCs w:val="24"/>
        </w:rPr>
      </w:pPr>
      <w:r>
        <w:rPr>
          <w:rFonts w:ascii="Georgia" w:hAnsi="Georgia"/>
          <w:sz w:val="24"/>
          <w:szCs w:val="24"/>
        </w:rPr>
        <w:t>Washington, DC  20003</w:t>
      </w:r>
    </w:p>
    <w:p w14:paraId="73BA1E4D" w14:textId="2D867AC7" w:rsidR="003D4A64" w:rsidRDefault="003D4A64" w:rsidP="003D4A64">
      <w:pPr>
        <w:ind w:left="1440" w:firstLine="720"/>
        <w:rPr>
          <w:rFonts w:ascii="Georgia" w:hAnsi="Georgia"/>
          <w:sz w:val="24"/>
          <w:szCs w:val="24"/>
        </w:rPr>
      </w:pPr>
      <w:r>
        <w:rPr>
          <w:rFonts w:ascii="Georgia" w:hAnsi="Georgia"/>
          <w:sz w:val="24"/>
          <w:szCs w:val="24"/>
        </w:rPr>
        <w:t>(202) 454-5191</w:t>
      </w:r>
    </w:p>
    <w:p w14:paraId="523CD76B" w14:textId="29206076" w:rsidR="00013E29" w:rsidRPr="00B13B50" w:rsidRDefault="003D4A64" w:rsidP="003D4A64">
      <w:pPr>
        <w:ind w:left="1800" w:firstLine="360"/>
        <w:rPr>
          <w:rFonts w:ascii="Georgia" w:hAnsi="Georgia"/>
          <w:sz w:val="24"/>
          <w:szCs w:val="24"/>
        </w:rPr>
      </w:pPr>
      <w:r>
        <w:rPr>
          <w:rFonts w:ascii="Georgia" w:hAnsi="Georgia"/>
          <w:sz w:val="24"/>
          <w:szCs w:val="24"/>
        </w:rPr>
        <w:t>tslocum@citizen.org</w:t>
      </w:r>
    </w:p>
    <w:sectPr w:rsidR="00013E29" w:rsidRPr="00B13B50" w:rsidSect="00AA56E5">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67D01" w14:textId="77777777" w:rsidR="00C25ABB" w:rsidRDefault="00C25ABB" w:rsidP="00E643D6">
      <w:r>
        <w:separator/>
      </w:r>
    </w:p>
  </w:endnote>
  <w:endnote w:type="continuationSeparator" w:id="0">
    <w:p w14:paraId="15EDE804" w14:textId="77777777" w:rsidR="00C25ABB" w:rsidRDefault="00C25ABB" w:rsidP="00E6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430772"/>
      <w:docPartObj>
        <w:docPartGallery w:val="Page Numbers (Bottom of Page)"/>
        <w:docPartUnique/>
      </w:docPartObj>
    </w:sdtPr>
    <w:sdtEndPr>
      <w:rPr>
        <w:color w:val="7F7F7F" w:themeColor="background1" w:themeShade="7F"/>
        <w:spacing w:val="60"/>
      </w:rPr>
    </w:sdtEndPr>
    <w:sdtContent>
      <w:p w14:paraId="316F79BD" w14:textId="761F63B5" w:rsidR="00433AC3" w:rsidRDefault="00433AC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450A77C" w14:textId="77777777" w:rsidR="00433AC3" w:rsidRDefault="00433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A9FD4" w14:textId="77777777" w:rsidR="00C25ABB" w:rsidRDefault="00C25ABB" w:rsidP="00E643D6">
      <w:r>
        <w:separator/>
      </w:r>
    </w:p>
  </w:footnote>
  <w:footnote w:type="continuationSeparator" w:id="0">
    <w:p w14:paraId="646678B6" w14:textId="77777777" w:rsidR="00C25ABB" w:rsidRDefault="00C25ABB" w:rsidP="00E643D6">
      <w:r>
        <w:continuationSeparator/>
      </w:r>
    </w:p>
  </w:footnote>
  <w:footnote w:id="1">
    <w:p w14:paraId="184F06F5" w14:textId="54545F95" w:rsidR="009A12F4" w:rsidRDefault="009A12F4">
      <w:pPr>
        <w:pStyle w:val="FootnoteText"/>
      </w:pPr>
      <w:r>
        <w:rPr>
          <w:rStyle w:val="FootnoteReference"/>
        </w:rPr>
        <w:footnoteRef/>
      </w:r>
      <w:r>
        <w:t xml:space="preserve"> </w:t>
      </w:r>
      <w:r w:rsidR="00574F4F" w:rsidRPr="006C4218">
        <w:rPr>
          <w:rFonts w:ascii="Georgia" w:hAnsi="Georgia"/>
        </w:rPr>
        <w:t xml:space="preserve">172 FERC ¶ 61,083, </w:t>
      </w:r>
      <w:r w:rsidR="00574F4F" w:rsidRPr="006C4218">
        <w:rPr>
          <w:rFonts w:ascii="Georgia" w:hAnsi="Georgia"/>
          <w:i/>
          <w:iCs/>
        </w:rPr>
        <w:t>O</w:t>
      </w:r>
      <w:r w:rsidR="006C4218" w:rsidRPr="006C4218">
        <w:rPr>
          <w:rFonts w:ascii="Georgia" w:hAnsi="Georgia"/>
          <w:i/>
          <w:iCs/>
        </w:rPr>
        <w:t>r</w:t>
      </w:r>
      <w:r w:rsidR="00574F4F" w:rsidRPr="006C4218">
        <w:rPr>
          <w:rFonts w:ascii="Georgia" w:hAnsi="Georgia"/>
          <w:i/>
          <w:iCs/>
        </w:rPr>
        <w:t>der Accepting Proposed Mitigation And Addressing Arguments Raised on Rehearing</w:t>
      </w:r>
      <w:r w:rsidR="00574F4F" w:rsidRPr="006C4218">
        <w:rPr>
          <w:rFonts w:ascii="Georgia" w:hAnsi="Georgia"/>
        </w:rPr>
        <w:t>, Docket EC19-120, Issued July 22, 2020, at Footnote 21.</w:t>
      </w:r>
    </w:p>
  </w:footnote>
  <w:footnote w:id="2">
    <w:p w14:paraId="3F837BCC" w14:textId="77777777" w:rsidR="00A5441E" w:rsidRDefault="00A5441E" w:rsidP="00A5441E">
      <w:pPr>
        <w:pStyle w:val="FootnoteText"/>
      </w:pPr>
      <w:r>
        <w:rPr>
          <w:rStyle w:val="FootnoteReference"/>
        </w:rPr>
        <w:footnoteRef/>
      </w:r>
      <w:r>
        <w:t xml:space="preserve"> </w:t>
      </w:r>
      <w:r w:rsidRPr="00C02818">
        <w:rPr>
          <w:rFonts w:ascii="Georgia" w:hAnsi="Georgia"/>
          <w:i/>
          <w:iCs/>
        </w:rPr>
        <w:t>Order Granting Market-Based Rate Authorization</w:t>
      </w:r>
      <w:r w:rsidRPr="00C02818">
        <w:rPr>
          <w:rFonts w:ascii="Georgia" w:hAnsi="Georgia"/>
        </w:rPr>
        <w:t>, Issued April 27, 2020, Docket No. ER20-547-001.</w:t>
      </w:r>
    </w:p>
  </w:footnote>
  <w:footnote w:id="3">
    <w:p w14:paraId="6C73568E" w14:textId="1F7F5071" w:rsidR="00127191" w:rsidRDefault="00127191">
      <w:pPr>
        <w:pStyle w:val="FootnoteText"/>
      </w:pPr>
      <w:r>
        <w:rPr>
          <w:rStyle w:val="FootnoteReference"/>
        </w:rPr>
        <w:footnoteRef/>
      </w:r>
      <w:r>
        <w:t xml:space="preserve"> </w:t>
      </w:r>
      <w:r w:rsidRPr="00127191">
        <w:rPr>
          <w:rFonts w:ascii="Georgia" w:hAnsi="Georgia"/>
        </w:rPr>
        <w:t>Docket Nos. ER10-2861-007 and ER13-1504-008.</w:t>
      </w:r>
    </w:p>
  </w:footnote>
  <w:footnote w:id="4">
    <w:p w14:paraId="024C5B36" w14:textId="77777777" w:rsidR="00432CB2" w:rsidRPr="00102BC8" w:rsidRDefault="00432CB2" w:rsidP="00432CB2">
      <w:pPr>
        <w:pStyle w:val="FootnoteText"/>
        <w:rPr>
          <w:rFonts w:ascii="Georgia" w:hAnsi="Georgia"/>
        </w:rPr>
      </w:pPr>
      <w:r>
        <w:rPr>
          <w:rStyle w:val="FootnoteReference"/>
        </w:rPr>
        <w:footnoteRef/>
      </w:r>
      <w:r>
        <w:t xml:space="preserve"> </w:t>
      </w:r>
      <w:hyperlink r:id="rId1" w:history="1">
        <w:r w:rsidRPr="00102BC8">
          <w:rPr>
            <w:rStyle w:val="Hyperlink"/>
            <w:rFonts w:ascii="Georgia" w:hAnsi="Georgia"/>
            <w:color w:val="auto"/>
            <w:u w:val="none"/>
          </w:rPr>
          <w:t>www.citizen.org/about/annual-report/</w:t>
        </w:r>
      </w:hyperlink>
    </w:p>
  </w:footnote>
  <w:footnote w:id="5">
    <w:p w14:paraId="24484D5B" w14:textId="443DA643" w:rsidR="00603ACC" w:rsidRDefault="00603ACC">
      <w:pPr>
        <w:pStyle w:val="FootnoteText"/>
      </w:pPr>
      <w:r>
        <w:rPr>
          <w:rStyle w:val="FootnoteReference"/>
        </w:rPr>
        <w:footnoteRef/>
      </w:r>
      <w:r>
        <w:t xml:space="preserve"> </w:t>
      </w:r>
      <w:r w:rsidRPr="00D7332F">
        <w:rPr>
          <w:rFonts w:ascii="Georgia" w:hAnsi="Georgia"/>
        </w:rPr>
        <w:t xml:space="preserve">This </w:t>
      </w:r>
      <w:r w:rsidR="00964D92" w:rsidRPr="00D7332F">
        <w:rPr>
          <w:rFonts w:ascii="Georgia" w:hAnsi="Georgia"/>
        </w:rPr>
        <w:t>includes 200 MW of capacity affiliated with QFs that have not been granted MBR authority</w:t>
      </w:r>
      <w:r w:rsidR="00D7332F" w:rsidRPr="00D7332F">
        <w:rPr>
          <w:rFonts w:ascii="Georgia" w:hAnsi="Georgia"/>
        </w:rPr>
        <w:t>: QF13-47, QF13-48, QF13-49, QF13-547, QF13-603, QF14-194, QF14-31, QF14-64, QF14-65, QF14-69, QF15-601, QF15-650 and QF15-88.</w:t>
      </w:r>
    </w:p>
  </w:footnote>
  <w:footnote w:id="6">
    <w:p w14:paraId="5AFB97BD" w14:textId="2A803631" w:rsidR="00FF6393" w:rsidRDefault="00FF6393">
      <w:pPr>
        <w:pStyle w:val="FootnoteText"/>
      </w:pPr>
      <w:r>
        <w:rPr>
          <w:rStyle w:val="FootnoteReference"/>
        </w:rPr>
        <w:footnoteRef/>
      </w:r>
      <w:r>
        <w:t xml:space="preserve"> </w:t>
      </w:r>
      <w:r w:rsidRPr="00FF6393">
        <w:rPr>
          <w:rFonts w:ascii="Georgia" w:hAnsi="Georgia"/>
        </w:rPr>
        <w:t>MBR Docket No. ER10-2721.</w:t>
      </w:r>
    </w:p>
  </w:footnote>
  <w:footnote w:id="7">
    <w:p w14:paraId="152DCF5A" w14:textId="77777777" w:rsidR="00FF6393" w:rsidRDefault="00FF6393" w:rsidP="00FF6393">
      <w:pPr>
        <w:pStyle w:val="FootnoteText"/>
      </w:pPr>
      <w:r>
        <w:rPr>
          <w:rStyle w:val="FootnoteReference"/>
        </w:rPr>
        <w:footnoteRef/>
      </w:r>
      <w:r>
        <w:t xml:space="preserve"> </w:t>
      </w:r>
      <w:hyperlink r:id="rId2" w:history="1">
        <w:r w:rsidRPr="00127191">
          <w:rPr>
            <w:rStyle w:val="Hyperlink"/>
            <w:rFonts w:ascii="Georgia" w:hAnsi="Georgia"/>
            <w:color w:val="auto"/>
            <w:u w:val="none"/>
          </w:rPr>
          <w:t>https://ir.epelectric.com/news/news-details/2020/El-Paso-Electric-Announces-Closing-of-Acquisition-by-the-Infrastructure-Investments-Fund/default.aspx</w:t>
        </w:r>
      </w:hyperlink>
    </w:p>
  </w:footnote>
  <w:footnote w:id="8">
    <w:p w14:paraId="6B2630FF" w14:textId="5B5604EF" w:rsidR="000110A9" w:rsidRDefault="000110A9">
      <w:pPr>
        <w:pStyle w:val="FootnoteText"/>
      </w:pPr>
      <w:r>
        <w:rPr>
          <w:rStyle w:val="FootnoteReference"/>
        </w:rPr>
        <w:footnoteRef/>
      </w:r>
      <w:r>
        <w:t xml:space="preserve"> </w:t>
      </w:r>
      <w:r w:rsidR="006676F4">
        <w:t xml:space="preserve">MBR </w:t>
      </w:r>
      <w:r w:rsidRPr="000110A9">
        <w:rPr>
          <w:rFonts w:ascii="Georgia" w:hAnsi="Georgia"/>
        </w:rPr>
        <w:t>Docket Nos. ER12-1308, ER14-2140, ER14-2141, ER14-2465, ER14-2466, ER14-2939, ER15-1471, ER15-1672, ER15-1952, ER15-2728, ER15-632, ER15-634, ER16-2010, ER16-2561 and ER16-915.</w:t>
      </w:r>
    </w:p>
  </w:footnote>
  <w:footnote w:id="9">
    <w:p w14:paraId="1A6BE86C" w14:textId="15CC1CC0" w:rsidR="00B76135" w:rsidRDefault="00B76135">
      <w:pPr>
        <w:pStyle w:val="FootnoteText"/>
      </w:pPr>
      <w:r>
        <w:rPr>
          <w:rStyle w:val="FootnoteReference"/>
        </w:rPr>
        <w:footnoteRef/>
      </w:r>
      <w:r>
        <w:t xml:space="preserve"> </w:t>
      </w:r>
      <w:hyperlink r:id="rId3" w:anchor="directorsboard" w:history="1">
        <w:r w:rsidR="00FF6393" w:rsidRPr="00FF6393">
          <w:rPr>
            <w:rStyle w:val="Hyperlink"/>
            <w:rFonts w:ascii="Georgia" w:hAnsi="Georgia"/>
            <w:color w:val="auto"/>
            <w:u w:val="none"/>
          </w:rPr>
          <w:t>www.novatusenergy.com/who-we-are/#directorsboard</w:t>
        </w:r>
      </w:hyperlink>
    </w:p>
  </w:footnote>
  <w:footnote w:id="10">
    <w:p w14:paraId="25CFBAB6" w14:textId="60660913" w:rsidR="00E1766F" w:rsidRDefault="00E1766F">
      <w:pPr>
        <w:pStyle w:val="FootnoteText"/>
      </w:pPr>
      <w:r>
        <w:rPr>
          <w:rStyle w:val="FootnoteReference"/>
        </w:rPr>
        <w:footnoteRef/>
      </w:r>
      <w:r>
        <w:t xml:space="preserve"> </w:t>
      </w:r>
      <w:r w:rsidRPr="00E1766F">
        <w:rPr>
          <w:rFonts w:ascii="Georgia" w:hAnsi="Georgia"/>
        </w:rPr>
        <w:t>MBR Docket Nos. ER10-1874, ER10-2861-007, ER10-2867, ER10-2977, ER11-3634, ER13-1504-008, ER13-2169, ER16-0711-001 and ER19-9.</w:t>
      </w:r>
    </w:p>
  </w:footnote>
  <w:footnote w:id="11">
    <w:p w14:paraId="6CA3F721" w14:textId="4DF477A0" w:rsidR="00BE4778" w:rsidRDefault="00BE4778">
      <w:pPr>
        <w:pStyle w:val="FootnoteText"/>
      </w:pPr>
      <w:r>
        <w:rPr>
          <w:rStyle w:val="FootnoteReference"/>
        </w:rPr>
        <w:footnoteRef/>
      </w:r>
      <w:r>
        <w:t xml:space="preserve"> </w:t>
      </w:r>
      <w:hyperlink r:id="rId4" w:anchor="board-section" w:history="1">
        <w:r w:rsidR="000E4AC6" w:rsidRPr="00784F6A">
          <w:rPr>
            <w:rStyle w:val="Hyperlink"/>
            <w:rFonts w:ascii="Georgia" w:hAnsi="Georgia"/>
            <w:color w:val="auto"/>
            <w:u w:val="none"/>
          </w:rPr>
          <w:t>www.southwestgen.com/about-us/#board-section</w:t>
        </w:r>
      </w:hyperlink>
    </w:p>
  </w:footnote>
  <w:footnote w:id="12">
    <w:p w14:paraId="3FC0D925" w14:textId="3EC5970E" w:rsidR="000B5548" w:rsidRDefault="000B5548">
      <w:pPr>
        <w:pStyle w:val="FootnoteText"/>
      </w:pPr>
      <w:r>
        <w:rPr>
          <w:rStyle w:val="FootnoteReference"/>
        </w:rPr>
        <w:footnoteRef/>
      </w:r>
      <w:r>
        <w:t xml:space="preserve"> </w:t>
      </w:r>
      <w:r w:rsidRPr="00F30DAD">
        <w:rPr>
          <w:rFonts w:ascii="Georgia" w:hAnsi="Georgia"/>
        </w:rPr>
        <w:t xml:space="preserve">At page 1440, </w:t>
      </w:r>
      <w:hyperlink r:id="rId5" w:history="1">
        <w:r w:rsidRPr="00F30DAD">
          <w:rPr>
            <w:rStyle w:val="Hyperlink"/>
            <w:rFonts w:ascii="Georgia" w:hAnsi="Georgia"/>
            <w:color w:val="auto"/>
            <w:u w:val="none"/>
          </w:rPr>
          <w:t>www.govinfo.gov/content/pkg/CHRG-113shrg91522/pdf/CHRG-113shrg91522.pdf</w:t>
        </w:r>
      </w:hyperlink>
    </w:p>
  </w:footnote>
  <w:footnote w:id="13">
    <w:p w14:paraId="3263A0D8" w14:textId="77777777" w:rsidR="00AA41CD" w:rsidRDefault="00AA41CD" w:rsidP="00AA41CD">
      <w:pPr>
        <w:pStyle w:val="FootnoteText"/>
      </w:pPr>
      <w:r>
        <w:rPr>
          <w:rStyle w:val="FootnoteReference"/>
        </w:rPr>
        <w:footnoteRef/>
      </w:r>
      <w:r>
        <w:t xml:space="preserve"> </w:t>
      </w:r>
      <w:r w:rsidRPr="00DD67E4">
        <w:rPr>
          <w:rFonts w:ascii="Georgia" w:hAnsi="Georgia"/>
        </w:rPr>
        <w:t>www.sec.gov/Archives/edgar/vprr/0606/06064516.pdf</w:t>
      </w:r>
    </w:p>
  </w:footnote>
  <w:footnote w:id="14">
    <w:p w14:paraId="331E5E3A" w14:textId="77777777" w:rsidR="00AA41CD" w:rsidRDefault="00AA41CD" w:rsidP="00AA41CD">
      <w:pPr>
        <w:pStyle w:val="FootnoteText"/>
      </w:pPr>
      <w:r>
        <w:rPr>
          <w:rStyle w:val="FootnoteReference"/>
        </w:rPr>
        <w:footnoteRef/>
      </w:r>
      <w:r>
        <w:t xml:space="preserve"> </w:t>
      </w:r>
      <w:hyperlink r:id="rId6" w:history="1">
        <w:r w:rsidRPr="00784F6A">
          <w:rPr>
            <w:rStyle w:val="Hyperlink"/>
            <w:rFonts w:ascii="Georgia" w:hAnsi="Georgia"/>
            <w:color w:val="auto"/>
            <w:u w:val="none"/>
          </w:rPr>
          <w:t>www.sec.gov/Archives/edgar/data/1384002/000114036116050858/xslFormDX01/primary_doc.xml</w:t>
        </w:r>
      </w:hyperlink>
    </w:p>
  </w:footnote>
  <w:footnote w:id="15">
    <w:p w14:paraId="788BFCBE" w14:textId="59ECBCEE" w:rsidR="00792C89" w:rsidRDefault="00792C89">
      <w:pPr>
        <w:pStyle w:val="FootnoteText"/>
      </w:pPr>
      <w:r>
        <w:rPr>
          <w:rStyle w:val="FootnoteReference"/>
        </w:rPr>
        <w:footnoteRef/>
      </w:r>
      <w:r>
        <w:t xml:space="preserve"> </w:t>
      </w:r>
      <w:r w:rsidRPr="00792C89">
        <w:rPr>
          <w:rFonts w:ascii="Georgia" w:hAnsi="Georgia"/>
        </w:rPr>
        <w:t xml:space="preserve">July 26, 2020 </w:t>
      </w:r>
      <w:r w:rsidRPr="00792C89">
        <w:rPr>
          <w:rFonts w:ascii="Georgia" w:hAnsi="Georgia"/>
          <w:i/>
          <w:iCs/>
        </w:rPr>
        <w:t>Response to the NRC Request for Additional Information</w:t>
      </w:r>
      <w:r w:rsidRPr="00792C89">
        <w:rPr>
          <w:rFonts w:ascii="Georgia" w:hAnsi="Georgia"/>
        </w:rPr>
        <w:t>, at footnote 7.</w:t>
      </w:r>
    </w:p>
  </w:footnote>
  <w:footnote w:id="16">
    <w:p w14:paraId="2F11B628" w14:textId="77777777" w:rsidR="00AA41CD" w:rsidRDefault="00AA41CD" w:rsidP="00AA41CD">
      <w:pPr>
        <w:pStyle w:val="FootnoteText"/>
      </w:pPr>
      <w:r>
        <w:rPr>
          <w:rStyle w:val="FootnoteReference"/>
        </w:rPr>
        <w:footnoteRef/>
      </w:r>
      <w:r>
        <w:t xml:space="preserve"> </w:t>
      </w:r>
      <w:r>
        <w:rPr>
          <w:rFonts w:ascii="Georgia" w:hAnsi="Georgia"/>
        </w:rPr>
        <w:t>S</w:t>
      </w:r>
      <w:r w:rsidRPr="009F4AA8">
        <w:rPr>
          <w:rFonts w:ascii="Georgia" w:hAnsi="Georgia"/>
        </w:rPr>
        <w:t xml:space="preserve">ee </w:t>
      </w:r>
      <w:r w:rsidRPr="009F4AA8">
        <w:rPr>
          <w:rFonts w:ascii="Georgia" w:hAnsi="Georgia"/>
          <w:i/>
          <w:iCs/>
        </w:rPr>
        <w:t>Public Citizen Rehearing Request</w:t>
      </w:r>
      <w:r w:rsidRPr="009F4AA8">
        <w:rPr>
          <w:rFonts w:ascii="Georgia" w:hAnsi="Georgia"/>
        </w:rPr>
        <w:t>, Docket No. EC19-120, April 29, 2020, at paragraph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C9A1B" w14:textId="6E1C248A" w:rsidR="00AA56E5" w:rsidRPr="00AA56E5" w:rsidRDefault="00BE64B5" w:rsidP="00AA56E5">
    <w:pPr>
      <w:pStyle w:val="Header"/>
      <w:jc w:val="center"/>
      <w:rPr>
        <w:rFonts w:ascii="Georgia" w:hAnsi="Georgia"/>
        <w:i/>
        <w:iCs/>
      </w:rPr>
    </w:pPr>
    <w:r>
      <w:rPr>
        <w:rFonts w:ascii="Georgia" w:hAnsi="Georgia"/>
        <w:i/>
        <w:iCs/>
      </w:rPr>
      <w:t xml:space="preserve">Intervention and </w:t>
    </w:r>
    <w:r w:rsidR="00AA56E5" w:rsidRPr="00AA56E5">
      <w:rPr>
        <w:rFonts w:ascii="Georgia" w:hAnsi="Georgia"/>
        <w:i/>
        <w:iCs/>
      </w:rPr>
      <w:t xml:space="preserve">Protest of Public Citizen • </w:t>
    </w:r>
    <w:r w:rsidR="00C752DB">
      <w:rPr>
        <w:rFonts w:ascii="Georgia" w:hAnsi="Georgia"/>
        <w:i/>
        <w:iCs/>
      </w:rPr>
      <w:t>August 2</w:t>
    </w:r>
    <w:r w:rsidR="006609F6">
      <w:rPr>
        <w:rFonts w:ascii="Georgia" w:hAnsi="Georgia"/>
        <w:i/>
        <w:iCs/>
      </w:rPr>
      <w:t>1</w:t>
    </w:r>
    <w:r w:rsidR="00AA56E5" w:rsidRPr="00AA56E5">
      <w:rPr>
        <w:rFonts w:ascii="Georgia" w:hAnsi="Georgia"/>
        <w:i/>
        <w:iCs/>
      </w:rPr>
      <w:t>, 2020</w:t>
    </w:r>
  </w:p>
  <w:p w14:paraId="2C4849E6" w14:textId="77777777" w:rsidR="00AA56E5" w:rsidRDefault="00AA5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83A36"/>
    <w:multiLevelType w:val="hybridMultilevel"/>
    <w:tmpl w:val="BA7C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FF6D8C"/>
    <w:multiLevelType w:val="hybridMultilevel"/>
    <w:tmpl w:val="51B4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DD20B3"/>
    <w:multiLevelType w:val="hybridMultilevel"/>
    <w:tmpl w:val="FFD2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87B"/>
    <w:rsid w:val="000012A5"/>
    <w:rsid w:val="000110A9"/>
    <w:rsid w:val="000129DE"/>
    <w:rsid w:val="00013E29"/>
    <w:rsid w:val="00015050"/>
    <w:rsid w:val="0003267F"/>
    <w:rsid w:val="0003480C"/>
    <w:rsid w:val="00041F2A"/>
    <w:rsid w:val="000555FB"/>
    <w:rsid w:val="0006188A"/>
    <w:rsid w:val="00076CE4"/>
    <w:rsid w:val="000A3FDD"/>
    <w:rsid w:val="000B53EC"/>
    <w:rsid w:val="000B5548"/>
    <w:rsid w:val="000B7443"/>
    <w:rsid w:val="000D4E65"/>
    <w:rsid w:val="000E15EC"/>
    <w:rsid w:val="000E4AC6"/>
    <w:rsid w:val="000F68AD"/>
    <w:rsid w:val="001211F2"/>
    <w:rsid w:val="00122749"/>
    <w:rsid w:val="00123D00"/>
    <w:rsid w:val="00127191"/>
    <w:rsid w:val="00135C97"/>
    <w:rsid w:val="0014113F"/>
    <w:rsid w:val="001435C3"/>
    <w:rsid w:val="00150B31"/>
    <w:rsid w:val="001575C4"/>
    <w:rsid w:val="001773E1"/>
    <w:rsid w:val="001855B1"/>
    <w:rsid w:val="001C3263"/>
    <w:rsid w:val="001C70C8"/>
    <w:rsid w:val="001C73DC"/>
    <w:rsid w:val="001D40C3"/>
    <w:rsid w:val="001E13F2"/>
    <w:rsid w:val="0020062C"/>
    <w:rsid w:val="00202C5F"/>
    <w:rsid w:val="00206D07"/>
    <w:rsid w:val="00210337"/>
    <w:rsid w:val="00247A0A"/>
    <w:rsid w:val="0025623D"/>
    <w:rsid w:val="002566D3"/>
    <w:rsid w:val="002620BF"/>
    <w:rsid w:val="002658C3"/>
    <w:rsid w:val="00270AE5"/>
    <w:rsid w:val="0028619F"/>
    <w:rsid w:val="002A03B2"/>
    <w:rsid w:val="002A1289"/>
    <w:rsid w:val="002A3A6B"/>
    <w:rsid w:val="002A497C"/>
    <w:rsid w:val="002A4B97"/>
    <w:rsid w:val="002C45DB"/>
    <w:rsid w:val="002D5BD0"/>
    <w:rsid w:val="002E1258"/>
    <w:rsid w:val="002F1949"/>
    <w:rsid w:val="002F1EF3"/>
    <w:rsid w:val="002F4045"/>
    <w:rsid w:val="0031035A"/>
    <w:rsid w:val="003204D1"/>
    <w:rsid w:val="00322F3A"/>
    <w:rsid w:val="00325F6A"/>
    <w:rsid w:val="00332AFB"/>
    <w:rsid w:val="003339EB"/>
    <w:rsid w:val="003421AB"/>
    <w:rsid w:val="0034541D"/>
    <w:rsid w:val="00352540"/>
    <w:rsid w:val="003540C8"/>
    <w:rsid w:val="003666D2"/>
    <w:rsid w:val="00384181"/>
    <w:rsid w:val="003A5DE6"/>
    <w:rsid w:val="003A6B06"/>
    <w:rsid w:val="003A6CA5"/>
    <w:rsid w:val="003B3CBC"/>
    <w:rsid w:val="003C1F3C"/>
    <w:rsid w:val="003C46F8"/>
    <w:rsid w:val="003D4A64"/>
    <w:rsid w:val="00412CD2"/>
    <w:rsid w:val="0041387F"/>
    <w:rsid w:val="00432CB2"/>
    <w:rsid w:val="00433AC3"/>
    <w:rsid w:val="00435680"/>
    <w:rsid w:val="00441C8E"/>
    <w:rsid w:val="00444349"/>
    <w:rsid w:val="00454D37"/>
    <w:rsid w:val="004577C4"/>
    <w:rsid w:val="00463477"/>
    <w:rsid w:val="0046389D"/>
    <w:rsid w:val="00474F99"/>
    <w:rsid w:val="004810BA"/>
    <w:rsid w:val="00483B25"/>
    <w:rsid w:val="004915CD"/>
    <w:rsid w:val="004A0350"/>
    <w:rsid w:val="004A2A00"/>
    <w:rsid w:val="004A333A"/>
    <w:rsid w:val="004B3500"/>
    <w:rsid w:val="004B4F00"/>
    <w:rsid w:val="004E45A0"/>
    <w:rsid w:val="004E4CE2"/>
    <w:rsid w:val="004E6146"/>
    <w:rsid w:val="004F1F5E"/>
    <w:rsid w:val="00511285"/>
    <w:rsid w:val="00511442"/>
    <w:rsid w:val="005119C8"/>
    <w:rsid w:val="00514D88"/>
    <w:rsid w:val="00516D43"/>
    <w:rsid w:val="0053013B"/>
    <w:rsid w:val="0053299A"/>
    <w:rsid w:val="0053459C"/>
    <w:rsid w:val="00541A30"/>
    <w:rsid w:val="005450D1"/>
    <w:rsid w:val="00545AF8"/>
    <w:rsid w:val="005526BE"/>
    <w:rsid w:val="00552BC4"/>
    <w:rsid w:val="00555E8F"/>
    <w:rsid w:val="00555F23"/>
    <w:rsid w:val="00574F4F"/>
    <w:rsid w:val="005979A4"/>
    <w:rsid w:val="005A5CE8"/>
    <w:rsid w:val="005B0875"/>
    <w:rsid w:val="005B3A7B"/>
    <w:rsid w:val="005B7D26"/>
    <w:rsid w:val="005C4265"/>
    <w:rsid w:val="005C5FD5"/>
    <w:rsid w:val="005C61CA"/>
    <w:rsid w:val="005D41E1"/>
    <w:rsid w:val="00603ACC"/>
    <w:rsid w:val="00604547"/>
    <w:rsid w:val="006133EE"/>
    <w:rsid w:val="00640762"/>
    <w:rsid w:val="006609F6"/>
    <w:rsid w:val="006676F4"/>
    <w:rsid w:val="006752ED"/>
    <w:rsid w:val="0069178E"/>
    <w:rsid w:val="006A4DD1"/>
    <w:rsid w:val="006A586B"/>
    <w:rsid w:val="006A6CB1"/>
    <w:rsid w:val="006B43EF"/>
    <w:rsid w:val="006C4218"/>
    <w:rsid w:val="006C4DFD"/>
    <w:rsid w:val="006D26A6"/>
    <w:rsid w:val="006D31F1"/>
    <w:rsid w:val="006E1594"/>
    <w:rsid w:val="006E26DB"/>
    <w:rsid w:val="006E738A"/>
    <w:rsid w:val="00704DC0"/>
    <w:rsid w:val="00707063"/>
    <w:rsid w:val="00756339"/>
    <w:rsid w:val="00761536"/>
    <w:rsid w:val="007714F6"/>
    <w:rsid w:val="00772214"/>
    <w:rsid w:val="007832C9"/>
    <w:rsid w:val="00784F6A"/>
    <w:rsid w:val="00792C89"/>
    <w:rsid w:val="007A34D7"/>
    <w:rsid w:val="007A4386"/>
    <w:rsid w:val="007B0096"/>
    <w:rsid w:val="007B4A72"/>
    <w:rsid w:val="007C6A2C"/>
    <w:rsid w:val="007C7D80"/>
    <w:rsid w:val="007D197D"/>
    <w:rsid w:val="007F2EA2"/>
    <w:rsid w:val="007F3103"/>
    <w:rsid w:val="007F61F1"/>
    <w:rsid w:val="008064E0"/>
    <w:rsid w:val="00810200"/>
    <w:rsid w:val="00812452"/>
    <w:rsid w:val="0084345F"/>
    <w:rsid w:val="008470FC"/>
    <w:rsid w:val="00890CB1"/>
    <w:rsid w:val="008958E8"/>
    <w:rsid w:val="008A3C87"/>
    <w:rsid w:val="008A70AD"/>
    <w:rsid w:val="008A7859"/>
    <w:rsid w:val="008C4CA0"/>
    <w:rsid w:val="008C70F9"/>
    <w:rsid w:val="008D2401"/>
    <w:rsid w:val="008E01BE"/>
    <w:rsid w:val="008F4D67"/>
    <w:rsid w:val="00901FE2"/>
    <w:rsid w:val="00904049"/>
    <w:rsid w:val="00904179"/>
    <w:rsid w:val="00921AF1"/>
    <w:rsid w:val="009305DC"/>
    <w:rsid w:val="009354CC"/>
    <w:rsid w:val="009357E7"/>
    <w:rsid w:val="00944889"/>
    <w:rsid w:val="00944FBE"/>
    <w:rsid w:val="00956B8F"/>
    <w:rsid w:val="00964D92"/>
    <w:rsid w:val="009A12F4"/>
    <w:rsid w:val="009C3794"/>
    <w:rsid w:val="009E6D18"/>
    <w:rsid w:val="00A1010D"/>
    <w:rsid w:val="00A2115F"/>
    <w:rsid w:val="00A21FD1"/>
    <w:rsid w:val="00A4223C"/>
    <w:rsid w:val="00A4426E"/>
    <w:rsid w:val="00A50DE6"/>
    <w:rsid w:val="00A5441E"/>
    <w:rsid w:val="00A57009"/>
    <w:rsid w:val="00A621D0"/>
    <w:rsid w:val="00A72A45"/>
    <w:rsid w:val="00A7741F"/>
    <w:rsid w:val="00AA41CD"/>
    <w:rsid w:val="00AA56E5"/>
    <w:rsid w:val="00AC0269"/>
    <w:rsid w:val="00AD2F52"/>
    <w:rsid w:val="00AF096F"/>
    <w:rsid w:val="00B05515"/>
    <w:rsid w:val="00B07C8C"/>
    <w:rsid w:val="00B13B50"/>
    <w:rsid w:val="00B160CD"/>
    <w:rsid w:val="00B22B2B"/>
    <w:rsid w:val="00B34F47"/>
    <w:rsid w:val="00B52A12"/>
    <w:rsid w:val="00B5681F"/>
    <w:rsid w:val="00B60D5D"/>
    <w:rsid w:val="00B71571"/>
    <w:rsid w:val="00B76135"/>
    <w:rsid w:val="00B81DC5"/>
    <w:rsid w:val="00BA620C"/>
    <w:rsid w:val="00BA7049"/>
    <w:rsid w:val="00BA785A"/>
    <w:rsid w:val="00BB5E14"/>
    <w:rsid w:val="00BE287F"/>
    <w:rsid w:val="00BE4778"/>
    <w:rsid w:val="00BE64B5"/>
    <w:rsid w:val="00BF5E99"/>
    <w:rsid w:val="00C14040"/>
    <w:rsid w:val="00C25ABB"/>
    <w:rsid w:val="00C3201E"/>
    <w:rsid w:val="00C47611"/>
    <w:rsid w:val="00C513B3"/>
    <w:rsid w:val="00C52BA8"/>
    <w:rsid w:val="00C63E71"/>
    <w:rsid w:val="00C64FD6"/>
    <w:rsid w:val="00C66AA7"/>
    <w:rsid w:val="00C752DB"/>
    <w:rsid w:val="00C960EE"/>
    <w:rsid w:val="00CA4507"/>
    <w:rsid w:val="00CA633C"/>
    <w:rsid w:val="00CB2568"/>
    <w:rsid w:val="00CB7DBA"/>
    <w:rsid w:val="00CD2E00"/>
    <w:rsid w:val="00CD59E2"/>
    <w:rsid w:val="00CE2B88"/>
    <w:rsid w:val="00CF01C3"/>
    <w:rsid w:val="00CF45FC"/>
    <w:rsid w:val="00CF69B5"/>
    <w:rsid w:val="00D04DC7"/>
    <w:rsid w:val="00D14A03"/>
    <w:rsid w:val="00D164C8"/>
    <w:rsid w:val="00D16533"/>
    <w:rsid w:val="00D341F3"/>
    <w:rsid w:val="00D34EC0"/>
    <w:rsid w:val="00D51C03"/>
    <w:rsid w:val="00D71CB3"/>
    <w:rsid w:val="00D7332F"/>
    <w:rsid w:val="00D964AF"/>
    <w:rsid w:val="00D97FCB"/>
    <w:rsid w:val="00DA03E9"/>
    <w:rsid w:val="00DA3BA9"/>
    <w:rsid w:val="00DA59CB"/>
    <w:rsid w:val="00DC6575"/>
    <w:rsid w:val="00DD67E4"/>
    <w:rsid w:val="00DE0257"/>
    <w:rsid w:val="00DE4C4B"/>
    <w:rsid w:val="00DF3CD1"/>
    <w:rsid w:val="00DF5F5B"/>
    <w:rsid w:val="00DF6685"/>
    <w:rsid w:val="00E161C3"/>
    <w:rsid w:val="00E16588"/>
    <w:rsid w:val="00E1766F"/>
    <w:rsid w:val="00E20D3B"/>
    <w:rsid w:val="00E300D1"/>
    <w:rsid w:val="00E40430"/>
    <w:rsid w:val="00E441CE"/>
    <w:rsid w:val="00E45D45"/>
    <w:rsid w:val="00E462AF"/>
    <w:rsid w:val="00E467E9"/>
    <w:rsid w:val="00E516A7"/>
    <w:rsid w:val="00E51813"/>
    <w:rsid w:val="00E5533F"/>
    <w:rsid w:val="00E643D6"/>
    <w:rsid w:val="00E745AA"/>
    <w:rsid w:val="00E93364"/>
    <w:rsid w:val="00E948B8"/>
    <w:rsid w:val="00EA094C"/>
    <w:rsid w:val="00EA17C5"/>
    <w:rsid w:val="00EA37B1"/>
    <w:rsid w:val="00EB7323"/>
    <w:rsid w:val="00EB751D"/>
    <w:rsid w:val="00EC1FB2"/>
    <w:rsid w:val="00ED5C90"/>
    <w:rsid w:val="00EE3349"/>
    <w:rsid w:val="00EE788D"/>
    <w:rsid w:val="00EF363E"/>
    <w:rsid w:val="00EF6B01"/>
    <w:rsid w:val="00EF6C33"/>
    <w:rsid w:val="00F054F0"/>
    <w:rsid w:val="00F111DF"/>
    <w:rsid w:val="00F11813"/>
    <w:rsid w:val="00F13292"/>
    <w:rsid w:val="00F30DAD"/>
    <w:rsid w:val="00F315A8"/>
    <w:rsid w:val="00F32907"/>
    <w:rsid w:val="00F425F1"/>
    <w:rsid w:val="00F51A11"/>
    <w:rsid w:val="00F6421D"/>
    <w:rsid w:val="00F7287B"/>
    <w:rsid w:val="00F84116"/>
    <w:rsid w:val="00F847F7"/>
    <w:rsid w:val="00F85403"/>
    <w:rsid w:val="00F85E84"/>
    <w:rsid w:val="00F95DBC"/>
    <w:rsid w:val="00FA432C"/>
    <w:rsid w:val="00FC3BB4"/>
    <w:rsid w:val="00FD0DFB"/>
    <w:rsid w:val="00FD7000"/>
    <w:rsid w:val="00FE516F"/>
    <w:rsid w:val="00FF1767"/>
    <w:rsid w:val="00FF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C7774"/>
  <w15:chartTrackingRefBased/>
  <w15:docId w15:val="{1A4F024A-9A9B-448A-9B56-EE6F9A43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87B"/>
    <w:rPr>
      <w:color w:val="0000FF"/>
      <w:u w:val="single"/>
    </w:rPr>
  </w:style>
  <w:style w:type="character" w:styleId="UnresolvedMention">
    <w:name w:val="Unresolved Mention"/>
    <w:basedOn w:val="DefaultParagraphFont"/>
    <w:uiPriority w:val="99"/>
    <w:semiHidden/>
    <w:unhideWhenUsed/>
    <w:rsid w:val="00013E29"/>
    <w:rPr>
      <w:color w:val="605E5C"/>
      <w:shd w:val="clear" w:color="auto" w:fill="E1DFDD"/>
    </w:rPr>
  </w:style>
  <w:style w:type="paragraph" w:styleId="FootnoteText">
    <w:name w:val="footnote text"/>
    <w:basedOn w:val="Normal"/>
    <w:link w:val="FootnoteTextChar"/>
    <w:uiPriority w:val="99"/>
    <w:semiHidden/>
    <w:unhideWhenUsed/>
    <w:rsid w:val="00E643D6"/>
    <w:rPr>
      <w:sz w:val="20"/>
      <w:szCs w:val="20"/>
    </w:rPr>
  </w:style>
  <w:style w:type="character" w:customStyle="1" w:styleId="FootnoteTextChar">
    <w:name w:val="Footnote Text Char"/>
    <w:basedOn w:val="DefaultParagraphFont"/>
    <w:link w:val="FootnoteText"/>
    <w:uiPriority w:val="99"/>
    <w:semiHidden/>
    <w:rsid w:val="00E643D6"/>
    <w:rPr>
      <w:sz w:val="20"/>
      <w:szCs w:val="20"/>
    </w:rPr>
  </w:style>
  <w:style w:type="character" w:styleId="FootnoteReference">
    <w:name w:val="footnote reference"/>
    <w:basedOn w:val="DefaultParagraphFont"/>
    <w:uiPriority w:val="99"/>
    <w:semiHidden/>
    <w:unhideWhenUsed/>
    <w:rsid w:val="00E643D6"/>
    <w:rPr>
      <w:vertAlign w:val="superscript"/>
    </w:rPr>
  </w:style>
  <w:style w:type="paragraph" w:styleId="ListParagraph">
    <w:name w:val="List Paragraph"/>
    <w:basedOn w:val="Normal"/>
    <w:uiPriority w:val="34"/>
    <w:qFormat/>
    <w:rsid w:val="00F32907"/>
    <w:pPr>
      <w:ind w:left="720"/>
      <w:contextualSpacing/>
    </w:pPr>
  </w:style>
  <w:style w:type="paragraph" w:styleId="Header">
    <w:name w:val="header"/>
    <w:basedOn w:val="Normal"/>
    <w:link w:val="HeaderChar"/>
    <w:uiPriority w:val="99"/>
    <w:unhideWhenUsed/>
    <w:rsid w:val="00AA56E5"/>
    <w:pPr>
      <w:tabs>
        <w:tab w:val="center" w:pos="4680"/>
        <w:tab w:val="right" w:pos="9360"/>
      </w:tabs>
    </w:pPr>
  </w:style>
  <w:style w:type="character" w:customStyle="1" w:styleId="HeaderChar">
    <w:name w:val="Header Char"/>
    <w:basedOn w:val="DefaultParagraphFont"/>
    <w:link w:val="Header"/>
    <w:uiPriority w:val="99"/>
    <w:rsid w:val="00AA56E5"/>
  </w:style>
  <w:style w:type="paragraph" w:styleId="Footer">
    <w:name w:val="footer"/>
    <w:basedOn w:val="Normal"/>
    <w:link w:val="FooterChar"/>
    <w:uiPriority w:val="99"/>
    <w:unhideWhenUsed/>
    <w:rsid w:val="00AA56E5"/>
    <w:pPr>
      <w:tabs>
        <w:tab w:val="center" w:pos="4680"/>
        <w:tab w:val="right" w:pos="9360"/>
      </w:tabs>
    </w:pPr>
  </w:style>
  <w:style w:type="character" w:customStyle="1" w:styleId="FooterChar">
    <w:name w:val="Footer Char"/>
    <w:basedOn w:val="DefaultParagraphFont"/>
    <w:link w:val="Footer"/>
    <w:uiPriority w:val="99"/>
    <w:rsid w:val="00AA56E5"/>
  </w:style>
  <w:style w:type="paragraph" w:styleId="BalloonText">
    <w:name w:val="Balloon Text"/>
    <w:basedOn w:val="Normal"/>
    <w:link w:val="BalloonTextChar"/>
    <w:uiPriority w:val="99"/>
    <w:semiHidden/>
    <w:unhideWhenUsed/>
    <w:rsid w:val="006609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9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novatusenergy.com/who-we-are/" TargetMode="External"/><Relationship Id="rId2" Type="http://schemas.openxmlformats.org/officeDocument/2006/relationships/hyperlink" Target="https://ir.epelectric.com/news/news-details/2020/El-Paso-Electric-Announces-Closing-of-Acquisition-by-the-Infrastructure-Investments-Fund/default.aspx" TargetMode="External"/><Relationship Id="rId1" Type="http://schemas.openxmlformats.org/officeDocument/2006/relationships/hyperlink" Target="http://www.citizen.org/about/annual-report/" TargetMode="External"/><Relationship Id="rId6" Type="http://schemas.openxmlformats.org/officeDocument/2006/relationships/hyperlink" Target="http://www.sec.gov/Archives/edgar/data/1384002/000114036116050858/xslFormDX01/primary_doc.xml" TargetMode="External"/><Relationship Id="rId5" Type="http://schemas.openxmlformats.org/officeDocument/2006/relationships/hyperlink" Target="http://www.govinfo.gov/content/pkg/CHRG-113shrg91522/pdf/CHRG-113shrg91522.pdf" TargetMode="External"/><Relationship Id="rId4" Type="http://schemas.openxmlformats.org/officeDocument/2006/relationships/hyperlink" Target="http://www.southwestgen.com/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C33E3-31B3-42D2-8A35-5783F28DE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2341</TotalTime>
  <Pages>6</Pages>
  <Words>1550</Words>
  <Characters>8841</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Slocum</dc:creator>
  <cp:keywords/>
  <dc:description/>
  <cp:lastModifiedBy>Tyson Slocum</cp:lastModifiedBy>
  <cp:revision>266</cp:revision>
  <dcterms:created xsi:type="dcterms:W3CDTF">2020-05-28T15:48:00Z</dcterms:created>
  <dcterms:modified xsi:type="dcterms:W3CDTF">2020-08-21T17:19:00Z</dcterms:modified>
</cp:coreProperties>
</file>