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22AD" w14:textId="77777777" w:rsidR="00716C55" w:rsidRPr="00AA20AE" w:rsidRDefault="00716C55" w:rsidP="00716C55">
      <w:pPr>
        <w:jc w:val="center"/>
        <w:rPr>
          <w:rFonts w:ascii="Georgia" w:hAnsi="Georgia"/>
          <w:sz w:val="24"/>
          <w:szCs w:val="24"/>
        </w:rPr>
      </w:pPr>
      <w:r w:rsidRPr="00AA20AE">
        <w:rPr>
          <w:rFonts w:ascii="Georgia" w:hAnsi="Georgia"/>
          <w:sz w:val="24"/>
          <w:szCs w:val="24"/>
        </w:rPr>
        <w:t>UNITED STATES OF AMERICA</w:t>
      </w:r>
    </w:p>
    <w:p w14:paraId="0A703046" w14:textId="77777777" w:rsidR="00716C55" w:rsidRPr="00AA20AE" w:rsidRDefault="00716C55" w:rsidP="00716C55">
      <w:pPr>
        <w:jc w:val="center"/>
        <w:rPr>
          <w:rFonts w:ascii="Georgia" w:hAnsi="Georgia"/>
          <w:sz w:val="24"/>
          <w:szCs w:val="24"/>
        </w:rPr>
      </w:pPr>
      <w:r w:rsidRPr="00AA20AE">
        <w:rPr>
          <w:rFonts w:ascii="Georgia" w:hAnsi="Georgia"/>
          <w:sz w:val="24"/>
          <w:szCs w:val="24"/>
        </w:rPr>
        <w:t>BEFORE THE</w:t>
      </w:r>
    </w:p>
    <w:p w14:paraId="0CF8B6CA" w14:textId="77777777" w:rsidR="00716C55" w:rsidRDefault="00716C55" w:rsidP="00716C55">
      <w:pPr>
        <w:jc w:val="center"/>
        <w:rPr>
          <w:rFonts w:ascii="Georgia" w:hAnsi="Georgia"/>
          <w:sz w:val="24"/>
          <w:szCs w:val="24"/>
        </w:rPr>
      </w:pPr>
      <w:r w:rsidRPr="00AA20AE">
        <w:rPr>
          <w:rFonts w:ascii="Georgia" w:hAnsi="Georgia"/>
          <w:sz w:val="24"/>
          <w:szCs w:val="24"/>
        </w:rPr>
        <w:t>FEDERAL ENERGY REGULATORY COMMISSION</w:t>
      </w:r>
    </w:p>
    <w:p w14:paraId="3C891031" w14:textId="77777777" w:rsidR="00716C55" w:rsidRPr="00AA20AE" w:rsidRDefault="00716C55" w:rsidP="00716C55">
      <w:pPr>
        <w:rPr>
          <w:rFonts w:ascii="Georgia" w:hAnsi="Georgia"/>
          <w:sz w:val="24"/>
          <w:szCs w:val="24"/>
        </w:rPr>
      </w:pPr>
    </w:p>
    <w:p w14:paraId="713EF31A" w14:textId="77777777" w:rsidR="00716C55" w:rsidRPr="00AA20AE" w:rsidRDefault="00716C55" w:rsidP="00716C55">
      <w:pPr>
        <w:rPr>
          <w:rFonts w:ascii="Georgia" w:hAnsi="Georgia"/>
          <w:sz w:val="24"/>
          <w:szCs w:val="24"/>
        </w:rPr>
      </w:pPr>
      <w:r w:rsidRPr="00AA20AE">
        <w:rPr>
          <w:rFonts w:ascii="Georgia" w:hAnsi="Georgia"/>
          <w:sz w:val="24"/>
          <w:szCs w:val="24"/>
        </w:rPr>
        <w:t xml:space="preserve">Mankato Energy Center, LLC </w:t>
      </w:r>
      <w:r w:rsidRPr="00AA20AE">
        <w:rPr>
          <w:rFonts w:ascii="Georgia" w:hAnsi="Georgia"/>
          <w:sz w:val="24"/>
          <w:szCs w:val="24"/>
        </w:rPr>
        <w:tab/>
      </w:r>
      <w:r w:rsidRPr="00AA20AE">
        <w:rPr>
          <w:rFonts w:ascii="Georgia" w:hAnsi="Georgia"/>
          <w:sz w:val="24"/>
          <w:szCs w:val="24"/>
        </w:rPr>
        <w:tab/>
      </w:r>
      <w:r w:rsidRPr="00AA20AE">
        <w:rPr>
          <w:rFonts w:ascii="Georgia" w:hAnsi="Georgia"/>
          <w:sz w:val="24"/>
          <w:szCs w:val="24"/>
        </w:rPr>
        <w:tab/>
      </w:r>
      <w:r w:rsidRPr="00AA20AE">
        <w:rPr>
          <w:rFonts w:ascii="Georgia" w:hAnsi="Georgia"/>
          <w:sz w:val="24"/>
          <w:szCs w:val="24"/>
        </w:rPr>
        <w:tab/>
      </w:r>
      <w:r w:rsidRPr="00AA20AE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AA20AE">
        <w:rPr>
          <w:rFonts w:ascii="Georgia" w:hAnsi="Georgia"/>
          <w:sz w:val="24"/>
          <w:szCs w:val="24"/>
        </w:rPr>
        <w:t>Docket No. EL21-36</w:t>
      </w:r>
    </w:p>
    <w:p w14:paraId="17011B58" w14:textId="77777777" w:rsidR="00716C55" w:rsidRPr="00AA20AE" w:rsidRDefault="00716C55" w:rsidP="00716C55">
      <w:pPr>
        <w:rPr>
          <w:rFonts w:ascii="Georgia" w:hAnsi="Georgia"/>
          <w:sz w:val="24"/>
          <w:szCs w:val="24"/>
        </w:rPr>
      </w:pPr>
      <w:r w:rsidRPr="00AA20AE">
        <w:rPr>
          <w:rFonts w:ascii="Georgia" w:hAnsi="Georgia"/>
          <w:sz w:val="24"/>
          <w:szCs w:val="24"/>
        </w:rPr>
        <w:t>Mankato Energy Center II, LLC</w:t>
      </w:r>
    </w:p>
    <w:p w14:paraId="54F05120" w14:textId="391E78AF" w:rsidR="006443BB" w:rsidRDefault="006443BB"/>
    <w:p w14:paraId="1F7446F7" w14:textId="4AD3443A" w:rsidR="00F76578" w:rsidRDefault="00F76578"/>
    <w:p w14:paraId="10614ED7" w14:textId="0ABEECE0" w:rsidR="00F76578" w:rsidRPr="0045191F" w:rsidRDefault="00F76578" w:rsidP="00F76578">
      <w:pPr>
        <w:jc w:val="center"/>
        <w:rPr>
          <w:rFonts w:ascii="Georgia" w:hAnsi="Georgia"/>
          <w:b/>
          <w:bCs/>
          <w:sz w:val="24"/>
          <w:szCs w:val="24"/>
        </w:rPr>
      </w:pPr>
      <w:r w:rsidRPr="0045191F">
        <w:rPr>
          <w:rFonts w:ascii="Georgia" w:hAnsi="Georgia"/>
          <w:b/>
          <w:bCs/>
          <w:sz w:val="24"/>
          <w:szCs w:val="24"/>
        </w:rPr>
        <w:t>Public Citizen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 w:rsidR="00DE479C">
        <w:rPr>
          <w:rFonts w:ascii="Georgia" w:hAnsi="Georgia"/>
          <w:b/>
          <w:bCs/>
          <w:sz w:val="24"/>
          <w:szCs w:val="24"/>
        </w:rPr>
        <w:t xml:space="preserve">Motion </w:t>
      </w:r>
      <w:proofErr w:type="gramStart"/>
      <w:r>
        <w:rPr>
          <w:rFonts w:ascii="Georgia" w:hAnsi="Georgia"/>
          <w:b/>
          <w:bCs/>
          <w:sz w:val="24"/>
          <w:szCs w:val="24"/>
        </w:rPr>
        <w:t>For</w:t>
      </w:r>
      <w:proofErr w:type="gramEnd"/>
      <w:r>
        <w:rPr>
          <w:rFonts w:ascii="Georgia" w:hAnsi="Georgia"/>
          <w:b/>
          <w:bCs/>
          <w:sz w:val="24"/>
          <w:szCs w:val="24"/>
        </w:rPr>
        <w:t xml:space="preserve"> Expedited Action To Determine That J.P. Morgan Chase Is Affiliated With IIF</w:t>
      </w:r>
    </w:p>
    <w:p w14:paraId="001A560A" w14:textId="77777777" w:rsidR="00F76578" w:rsidRPr="00911AE9" w:rsidRDefault="00F76578" w:rsidP="00F76578">
      <w:pPr>
        <w:rPr>
          <w:rFonts w:ascii="Georgia" w:hAnsi="Georgia"/>
          <w:sz w:val="24"/>
          <w:szCs w:val="24"/>
        </w:rPr>
      </w:pPr>
    </w:p>
    <w:p w14:paraId="0D637F80" w14:textId="11A28FC0" w:rsidR="00F76578" w:rsidRDefault="00F76578" w:rsidP="00F76578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recent Commission order </w:t>
      </w:r>
      <w:r w:rsidR="00937E2F">
        <w:rPr>
          <w:rFonts w:ascii="Georgia" w:hAnsi="Georgia"/>
          <w:sz w:val="24"/>
          <w:szCs w:val="24"/>
        </w:rPr>
        <w:t>clarifying</w:t>
      </w:r>
      <w:r>
        <w:rPr>
          <w:rFonts w:ascii="Georgia" w:hAnsi="Georgia"/>
          <w:sz w:val="24"/>
          <w:szCs w:val="24"/>
        </w:rPr>
        <w:t xml:space="preserve"> affiliation of investors that have officers on a utility’s board of director</w:t>
      </w:r>
      <w:r w:rsidR="00F0240C">
        <w:rPr>
          <w:rFonts w:ascii="Georgia" w:hAnsi="Georgia"/>
          <w:sz w:val="24"/>
          <w:szCs w:val="24"/>
        </w:rPr>
        <w:t>s is a</w:t>
      </w:r>
      <w:r w:rsidR="00937E2F">
        <w:rPr>
          <w:rFonts w:ascii="Georgia" w:hAnsi="Georgia"/>
          <w:sz w:val="24"/>
          <w:szCs w:val="24"/>
        </w:rPr>
        <w:t xml:space="preserve"> </w:t>
      </w:r>
      <w:r w:rsidR="009708C2">
        <w:rPr>
          <w:rFonts w:ascii="Georgia" w:hAnsi="Georgia"/>
          <w:sz w:val="24"/>
          <w:szCs w:val="24"/>
        </w:rPr>
        <w:t>precedent</w:t>
      </w:r>
      <w:r w:rsidR="00937E2F">
        <w:rPr>
          <w:rFonts w:ascii="Georgia" w:hAnsi="Georgia"/>
          <w:sz w:val="24"/>
          <w:szCs w:val="24"/>
        </w:rPr>
        <w:t xml:space="preserve"> </w:t>
      </w:r>
      <w:r w:rsidR="009708C2">
        <w:rPr>
          <w:rFonts w:ascii="Georgia" w:hAnsi="Georgia"/>
          <w:sz w:val="24"/>
          <w:szCs w:val="24"/>
        </w:rPr>
        <w:t xml:space="preserve">requiring </w:t>
      </w:r>
      <w:r w:rsidR="002A3F2D">
        <w:rPr>
          <w:rFonts w:ascii="Georgia" w:hAnsi="Georgia"/>
          <w:sz w:val="24"/>
          <w:szCs w:val="24"/>
        </w:rPr>
        <w:t>FERC</w:t>
      </w:r>
      <w:r w:rsidR="009708C2">
        <w:rPr>
          <w:rFonts w:ascii="Georgia" w:hAnsi="Georgia"/>
          <w:sz w:val="24"/>
          <w:szCs w:val="24"/>
        </w:rPr>
        <w:t xml:space="preserve"> to expeditiously order JP Morgan to be affiliated with IIF and all of IIF’s entities with </w:t>
      </w:r>
      <w:proofErr w:type="gramStart"/>
      <w:r w:rsidR="009708C2">
        <w:rPr>
          <w:rFonts w:ascii="Georgia" w:hAnsi="Georgia"/>
          <w:sz w:val="24"/>
          <w:szCs w:val="24"/>
        </w:rPr>
        <w:t>market based</w:t>
      </w:r>
      <w:proofErr w:type="gramEnd"/>
      <w:r w:rsidR="009708C2">
        <w:rPr>
          <w:rFonts w:ascii="Georgia" w:hAnsi="Georgia"/>
          <w:sz w:val="24"/>
          <w:szCs w:val="24"/>
        </w:rPr>
        <w:t xml:space="preserve"> rates.</w:t>
      </w:r>
    </w:p>
    <w:p w14:paraId="3D1EF804" w14:textId="22340C7A" w:rsidR="00F76578" w:rsidRDefault="00F76578" w:rsidP="00F76578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Commission’s October 20, </w:t>
      </w:r>
      <w:proofErr w:type="gramStart"/>
      <w:r>
        <w:rPr>
          <w:rFonts w:ascii="Georgia" w:hAnsi="Georgia"/>
          <w:sz w:val="24"/>
          <w:szCs w:val="24"/>
        </w:rPr>
        <w:t>2022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r w:rsidRPr="00D10204">
        <w:rPr>
          <w:rFonts w:ascii="Georgia" w:hAnsi="Georgia"/>
          <w:i/>
          <w:iCs/>
          <w:sz w:val="24"/>
          <w:szCs w:val="24"/>
        </w:rPr>
        <w:t xml:space="preserve">Order on Notice of Change In Status re </w:t>
      </w:r>
      <w:proofErr w:type="spellStart"/>
      <w:r w:rsidRPr="00D10204">
        <w:rPr>
          <w:rFonts w:ascii="Georgia" w:hAnsi="Georgia"/>
          <w:i/>
          <w:iCs/>
          <w:sz w:val="24"/>
          <w:szCs w:val="24"/>
        </w:rPr>
        <w:t>Evergy</w:t>
      </w:r>
      <w:proofErr w:type="spellEnd"/>
      <w:r w:rsidRPr="00D10204">
        <w:rPr>
          <w:rFonts w:ascii="Georgia" w:hAnsi="Georgia"/>
          <w:i/>
          <w:iCs/>
          <w:sz w:val="24"/>
          <w:szCs w:val="24"/>
        </w:rPr>
        <w:t xml:space="preserve"> Kansas Central, Inc. et al</w:t>
      </w:r>
      <w:r>
        <w:rPr>
          <w:rFonts w:ascii="Georgia" w:hAnsi="Georgia"/>
          <w:sz w:val="24"/>
          <w:szCs w:val="24"/>
        </w:rPr>
        <w:t xml:space="preserve"> determined that a hedge fund that owns less than 10% of the utility’s voting shares is deemed affiliated with the utility because the “</w:t>
      </w:r>
      <w:r w:rsidRPr="00AA71C1">
        <w:rPr>
          <w:rFonts w:ascii="Georgia" w:hAnsi="Georgia"/>
          <w:sz w:val="24"/>
          <w:szCs w:val="24"/>
        </w:rPr>
        <w:t>investor’s own officer or director</w:t>
      </w:r>
      <w:r>
        <w:rPr>
          <w:rFonts w:ascii="Georgia" w:hAnsi="Georgia"/>
          <w:sz w:val="24"/>
          <w:szCs w:val="24"/>
        </w:rPr>
        <w:t>” serves on the utility’s board of directors.</w:t>
      </w:r>
      <w:r>
        <w:rPr>
          <w:rStyle w:val="FootnoteReference"/>
          <w:rFonts w:ascii="Georgia" w:hAnsi="Georgia"/>
          <w:sz w:val="24"/>
          <w:szCs w:val="24"/>
        </w:rPr>
        <w:footnoteReference w:id="1"/>
      </w:r>
    </w:p>
    <w:p w14:paraId="3768D216" w14:textId="45D2A814" w:rsidR="00C63233" w:rsidRDefault="00937E2F" w:rsidP="005D624A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 w:rsidRPr="00937E2F">
        <w:rPr>
          <w:rFonts w:ascii="Georgia" w:hAnsi="Georgia"/>
          <w:sz w:val="24"/>
          <w:szCs w:val="24"/>
        </w:rPr>
        <w:t xml:space="preserve">JP Morgan Chase is one of many </w:t>
      </w:r>
      <w:r w:rsidR="007A55A3">
        <w:rPr>
          <w:rFonts w:ascii="Georgia" w:hAnsi="Georgia"/>
          <w:sz w:val="24"/>
          <w:szCs w:val="24"/>
        </w:rPr>
        <w:t>institutional investors</w:t>
      </w:r>
      <w:r w:rsidRPr="00937E2F">
        <w:rPr>
          <w:rFonts w:ascii="Georgia" w:hAnsi="Georgia"/>
          <w:sz w:val="24"/>
          <w:szCs w:val="24"/>
        </w:rPr>
        <w:t xml:space="preserve"> in IIF</w:t>
      </w:r>
      <w:r w:rsidR="007A55A3">
        <w:rPr>
          <w:rFonts w:ascii="Georgia" w:hAnsi="Georgia"/>
          <w:sz w:val="24"/>
          <w:szCs w:val="24"/>
        </w:rPr>
        <w:t xml:space="preserve"> with</w:t>
      </w:r>
      <w:r w:rsidR="00402E17">
        <w:rPr>
          <w:rFonts w:ascii="Georgia" w:hAnsi="Georgia"/>
          <w:sz w:val="24"/>
          <w:szCs w:val="24"/>
        </w:rPr>
        <w:t xml:space="preserve"> holdings under 10%</w:t>
      </w:r>
      <w:r w:rsidR="00897F3B">
        <w:rPr>
          <w:rFonts w:ascii="Georgia" w:hAnsi="Georgia"/>
          <w:sz w:val="24"/>
          <w:szCs w:val="24"/>
        </w:rPr>
        <w:t>. JP Morgan’s financial investment in IIF</w:t>
      </w:r>
      <w:r w:rsidR="00D27F91">
        <w:rPr>
          <w:rFonts w:ascii="Georgia" w:hAnsi="Georgia"/>
          <w:sz w:val="24"/>
          <w:szCs w:val="24"/>
        </w:rPr>
        <w:t xml:space="preserve"> includes </w:t>
      </w:r>
      <w:r w:rsidR="00630DB5">
        <w:rPr>
          <w:rFonts w:ascii="Georgia" w:hAnsi="Georgia"/>
          <w:sz w:val="24"/>
          <w:szCs w:val="24"/>
        </w:rPr>
        <w:t xml:space="preserve">a management </w:t>
      </w:r>
      <w:r w:rsidR="009A427D">
        <w:rPr>
          <w:rFonts w:ascii="Georgia" w:hAnsi="Georgia"/>
          <w:sz w:val="24"/>
          <w:szCs w:val="24"/>
        </w:rPr>
        <w:t xml:space="preserve">and incentive fee that </w:t>
      </w:r>
      <w:r w:rsidR="005D624A">
        <w:rPr>
          <w:rFonts w:ascii="Georgia" w:hAnsi="Georgia"/>
          <w:sz w:val="24"/>
          <w:szCs w:val="24"/>
        </w:rPr>
        <w:t>“</w:t>
      </w:r>
      <w:r w:rsidR="005D624A" w:rsidRPr="005D624A">
        <w:rPr>
          <w:rFonts w:ascii="Georgia" w:hAnsi="Georgia"/>
          <w:sz w:val="24"/>
          <w:szCs w:val="24"/>
        </w:rPr>
        <w:t>is intended to align J.P. Morgan Investment’s interests with those of IIF US Holding 2’s investors</w:t>
      </w:r>
      <w:r w:rsidRPr="00937E2F">
        <w:rPr>
          <w:rFonts w:ascii="Georgia" w:hAnsi="Georgia"/>
          <w:sz w:val="24"/>
          <w:szCs w:val="24"/>
        </w:rPr>
        <w:t>.</w:t>
      </w:r>
      <w:r w:rsidR="005D624A">
        <w:rPr>
          <w:rFonts w:ascii="Georgia" w:hAnsi="Georgia"/>
          <w:sz w:val="24"/>
          <w:szCs w:val="24"/>
        </w:rPr>
        <w:t>”</w:t>
      </w:r>
      <w:r w:rsidR="00271943">
        <w:rPr>
          <w:rStyle w:val="FootnoteReference"/>
          <w:rFonts w:ascii="Georgia" w:hAnsi="Georgia"/>
          <w:sz w:val="24"/>
          <w:szCs w:val="24"/>
        </w:rPr>
        <w:footnoteReference w:id="2"/>
      </w:r>
      <w:r w:rsidRPr="00937E2F">
        <w:rPr>
          <w:rFonts w:ascii="Georgia" w:hAnsi="Georgia"/>
          <w:sz w:val="24"/>
          <w:szCs w:val="24"/>
        </w:rPr>
        <w:t xml:space="preserve"> </w:t>
      </w:r>
      <w:r w:rsidR="00924764">
        <w:rPr>
          <w:rFonts w:ascii="Georgia" w:hAnsi="Georgia"/>
          <w:sz w:val="24"/>
          <w:szCs w:val="24"/>
        </w:rPr>
        <w:t xml:space="preserve">But unlike all of </w:t>
      </w:r>
      <w:r w:rsidR="00641420">
        <w:rPr>
          <w:rFonts w:ascii="Georgia" w:hAnsi="Georgia"/>
          <w:sz w:val="24"/>
          <w:szCs w:val="24"/>
        </w:rPr>
        <w:t>IIF’s other institutional investors</w:t>
      </w:r>
      <w:r w:rsidR="00CF54D5">
        <w:rPr>
          <w:rFonts w:ascii="Georgia" w:hAnsi="Georgia"/>
          <w:sz w:val="24"/>
          <w:szCs w:val="24"/>
        </w:rPr>
        <w:t xml:space="preserve"> </w:t>
      </w:r>
      <w:r w:rsidR="00641420">
        <w:rPr>
          <w:rFonts w:ascii="Georgia" w:hAnsi="Georgia"/>
          <w:sz w:val="24"/>
          <w:szCs w:val="24"/>
        </w:rPr>
        <w:t>that hold only limited partner rights with no abil</w:t>
      </w:r>
      <w:r w:rsidR="0016226D">
        <w:rPr>
          <w:rFonts w:ascii="Georgia" w:hAnsi="Georgia"/>
          <w:sz w:val="24"/>
          <w:szCs w:val="24"/>
        </w:rPr>
        <w:t>ity to influence or control IIF management</w:t>
      </w:r>
      <w:r w:rsidR="003D3BDC">
        <w:rPr>
          <w:rFonts w:ascii="Georgia" w:hAnsi="Georgia"/>
          <w:sz w:val="24"/>
          <w:szCs w:val="24"/>
        </w:rPr>
        <w:t xml:space="preserve"> (regardless of the size of their financial stake)</w:t>
      </w:r>
      <w:r w:rsidR="0016226D">
        <w:rPr>
          <w:rFonts w:ascii="Georgia" w:hAnsi="Georgia"/>
          <w:sz w:val="24"/>
          <w:szCs w:val="24"/>
        </w:rPr>
        <w:t xml:space="preserve">, JP Morgan </w:t>
      </w:r>
      <w:r w:rsidR="0016226D" w:rsidRPr="00937E2F">
        <w:rPr>
          <w:rFonts w:ascii="Georgia" w:hAnsi="Georgia"/>
          <w:sz w:val="24"/>
          <w:szCs w:val="24"/>
        </w:rPr>
        <w:t>is the exclusive investment manager of IIF, and IIF</w:t>
      </w:r>
      <w:r w:rsidR="003D3BDC">
        <w:rPr>
          <w:rFonts w:ascii="Georgia" w:hAnsi="Georgia"/>
          <w:sz w:val="24"/>
          <w:szCs w:val="24"/>
        </w:rPr>
        <w:t>’</w:t>
      </w:r>
      <w:r w:rsidR="0016226D" w:rsidRPr="00937E2F">
        <w:rPr>
          <w:rFonts w:ascii="Georgia" w:hAnsi="Georgia"/>
          <w:sz w:val="24"/>
          <w:szCs w:val="24"/>
        </w:rPr>
        <w:t xml:space="preserve">s three </w:t>
      </w:r>
      <w:r w:rsidR="003D3BDC">
        <w:rPr>
          <w:rFonts w:ascii="Georgia" w:hAnsi="Georgia"/>
          <w:sz w:val="24"/>
          <w:szCs w:val="24"/>
        </w:rPr>
        <w:t>“</w:t>
      </w:r>
      <w:r w:rsidR="0016226D" w:rsidRPr="00937E2F">
        <w:rPr>
          <w:rFonts w:ascii="Georgia" w:hAnsi="Georgia"/>
          <w:sz w:val="24"/>
          <w:szCs w:val="24"/>
        </w:rPr>
        <w:t>owners</w:t>
      </w:r>
      <w:r w:rsidR="003D3BDC">
        <w:rPr>
          <w:rFonts w:ascii="Georgia" w:hAnsi="Georgia"/>
          <w:sz w:val="24"/>
          <w:szCs w:val="24"/>
        </w:rPr>
        <w:t>”</w:t>
      </w:r>
      <w:r w:rsidR="0016226D" w:rsidRPr="00937E2F">
        <w:rPr>
          <w:rFonts w:ascii="Georgia" w:hAnsi="Georgia"/>
          <w:sz w:val="24"/>
          <w:szCs w:val="24"/>
        </w:rPr>
        <w:t xml:space="preserve"> have delegated </w:t>
      </w:r>
      <w:r w:rsidR="000B1707">
        <w:rPr>
          <w:rFonts w:ascii="Georgia" w:hAnsi="Georgia"/>
          <w:sz w:val="24"/>
          <w:szCs w:val="24"/>
        </w:rPr>
        <w:t>IIF’s</w:t>
      </w:r>
      <w:r w:rsidR="0016226D" w:rsidRPr="00937E2F">
        <w:rPr>
          <w:rFonts w:ascii="Georgia" w:hAnsi="Georgia"/>
          <w:sz w:val="24"/>
          <w:szCs w:val="24"/>
        </w:rPr>
        <w:t xml:space="preserve"> day-to-day management </w:t>
      </w:r>
      <w:r w:rsidR="0078136E">
        <w:rPr>
          <w:rFonts w:ascii="Georgia" w:hAnsi="Georgia"/>
          <w:sz w:val="24"/>
          <w:szCs w:val="24"/>
        </w:rPr>
        <w:t>to JP Morgan’s</w:t>
      </w:r>
      <w:r w:rsidR="0016226D" w:rsidRPr="00937E2F">
        <w:rPr>
          <w:rFonts w:ascii="Georgia" w:hAnsi="Georgia"/>
          <w:sz w:val="24"/>
          <w:szCs w:val="24"/>
        </w:rPr>
        <w:t xml:space="preserve"> team of executives</w:t>
      </w:r>
      <w:r w:rsidR="0078136E">
        <w:rPr>
          <w:rFonts w:ascii="Georgia" w:hAnsi="Georgia"/>
          <w:sz w:val="24"/>
          <w:szCs w:val="24"/>
        </w:rPr>
        <w:t xml:space="preserve"> operating out of JP Morgan’s Manhattan</w:t>
      </w:r>
      <w:r w:rsidR="00915D7A">
        <w:rPr>
          <w:rFonts w:ascii="Georgia" w:hAnsi="Georgia"/>
          <w:sz w:val="24"/>
          <w:szCs w:val="24"/>
        </w:rPr>
        <w:t xml:space="preserve"> office tower </w:t>
      </w:r>
      <w:r w:rsidR="0045624C">
        <w:rPr>
          <w:rFonts w:ascii="Georgia" w:hAnsi="Georgia"/>
          <w:sz w:val="24"/>
          <w:szCs w:val="24"/>
        </w:rPr>
        <w:t>and</w:t>
      </w:r>
      <w:r w:rsidR="00915D7A">
        <w:rPr>
          <w:rFonts w:ascii="Georgia" w:hAnsi="Georgia"/>
          <w:sz w:val="24"/>
          <w:szCs w:val="24"/>
        </w:rPr>
        <w:t xml:space="preserve"> are </w:t>
      </w:r>
      <w:r w:rsidR="003D5B23">
        <w:rPr>
          <w:rFonts w:ascii="Georgia" w:hAnsi="Georgia"/>
          <w:sz w:val="24"/>
          <w:szCs w:val="24"/>
        </w:rPr>
        <w:t>solely</w:t>
      </w:r>
      <w:r w:rsidR="00915D7A">
        <w:rPr>
          <w:rFonts w:ascii="Georgia" w:hAnsi="Georgia"/>
          <w:sz w:val="24"/>
          <w:szCs w:val="24"/>
        </w:rPr>
        <w:t xml:space="preserve"> dedicated</w:t>
      </w:r>
      <w:r w:rsidR="0016226D" w:rsidRPr="00937E2F">
        <w:rPr>
          <w:rFonts w:ascii="Georgia" w:hAnsi="Georgia"/>
          <w:sz w:val="24"/>
          <w:szCs w:val="24"/>
        </w:rPr>
        <w:t xml:space="preserve"> </w:t>
      </w:r>
      <w:r w:rsidR="00C63233">
        <w:rPr>
          <w:rFonts w:ascii="Georgia" w:hAnsi="Georgia"/>
          <w:sz w:val="24"/>
          <w:szCs w:val="24"/>
        </w:rPr>
        <w:t>to</w:t>
      </w:r>
      <w:r w:rsidR="0016226D" w:rsidRPr="00937E2F">
        <w:rPr>
          <w:rFonts w:ascii="Georgia" w:hAnsi="Georgia"/>
          <w:sz w:val="24"/>
          <w:szCs w:val="24"/>
        </w:rPr>
        <w:t xml:space="preserve"> managing IIF (which is necessary, as IIF has zero employees, and no office space outside of JP Morgan's)</w:t>
      </w:r>
      <w:r w:rsidR="0016226D">
        <w:rPr>
          <w:rFonts w:ascii="Georgia" w:hAnsi="Georgia"/>
          <w:sz w:val="24"/>
          <w:szCs w:val="24"/>
        </w:rPr>
        <w:t>.</w:t>
      </w:r>
      <w:r w:rsidR="00C22F71">
        <w:rPr>
          <w:rFonts w:ascii="Georgia" w:hAnsi="Georgia"/>
          <w:sz w:val="24"/>
          <w:szCs w:val="24"/>
        </w:rPr>
        <w:t xml:space="preserve"> </w:t>
      </w:r>
      <w:r w:rsidR="006477FF">
        <w:rPr>
          <w:rFonts w:ascii="Georgia" w:hAnsi="Georgia"/>
          <w:sz w:val="24"/>
          <w:szCs w:val="24"/>
        </w:rPr>
        <w:t>E</w:t>
      </w:r>
      <w:r w:rsidR="00C22F71">
        <w:rPr>
          <w:rFonts w:ascii="Georgia" w:hAnsi="Georgia"/>
          <w:sz w:val="24"/>
          <w:szCs w:val="24"/>
        </w:rPr>
        <w:t xml:space="preserve">ven if JP Morgan had no financial investment in IIF, </w:t>
      </w:r>
      <w:r w:rsidR="00345C31">
        <w:rPr>
          <w:rFonts w:ascii="Georgia" w:hAnsi="Georgia"/>
          <w:sz w:val="24"/>
          <w:szCs w:val="24"/>
        </w:rPr>
        <w:t>the particulars of its role as IIF’s investment manager should render JP Morgan to be affiliated with II</w:t>
      </w:r>
      <w:r w:rsidR="00350A2E">
        <w:rPr>
          <w:rFonts w:ascii="Georgia" w:hAnsi="Georgia"/>
          <w:sz w:val="24"/>
          <w:szCs w:val="24"/>
        </w:rPr>
        <w:t>F.</w:t>
      </w:r>
    </w:p>
    <w:p w14:paraId="41CF79AA" w14:textId="2B4514F2" w:rsidR="00937E2F" w:rsidRDefault="00C63233" w:rsidP="005D624A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="00740828">
        <w:rPr>
          <w:rFonts w:ascii="Georgia" w:hAnsi="Georgia"/>
          <w:sz w:val="24"/>
          <w:szCs w:val="24"/>
        </w:rPr>
        <w:t xml:space="preserve">ompounding this legal </w:t>
      </w:r>
      <w:r w:rsidR="0045624C">
        <w:rPr>
          <w:rFonts w:ascii="Georgia" w:hAnsi="Georgia"/>
          <w:sz w:val="24"/>
          <w:szCs w:val="24"/>
        </w:rPr>
        <w:t>arrangement</w:t>
      </w:r>
      <w:r w:rsidR="00740828">
        <w:rPr>
          <w:rFonts w:ascii="Georgia" w:hAnsi="Georgia"/>
          <w:sz w:val="24"/>
          <w:szCs w:val="24"/>
        </w:rPr>
        <w:t xml:space="preserve"> that conveys </w:t>
      </w:r>
      <w:r w:rsidR="0045624C">
        <w:rPr>
          <w:rFonts w:ascii="Georgia" w:hAnsi="Georgia"/>
          <w:sz w:val="24"/>
          <w:szCs w:val="24"/>
        </w:rPr>
        <w:t>upon</w:t>
      </w:r>
      <w:r w:rsidR="00740828">
        <w:rPr>
          <w:rFonts w:ascii="Georgia" w:hAnsi="Georgia"/>
          <w:sz w:val="24"/>
          <w:szCs w:val="24"/>
        </w:rPr>
        <w:t xml:space="preserve"> JP Morgan the clear ability to control IIF’s </w:t>
      </w:r>
      <w:r w:rsidR="00DD2800">
        <w:rPr>
          <w:rFonts w:ascii="Georgia" w:hAnsi="Georgia"/>
          <w:sz w:val="24"/>
          <w:szCs w:val="24"/>
        </w:rPr>
        <w:t xml:space="preserve">day-to-day </w:t>
      </w:r>
      <w:r w:rsidR="00740828">
        <w:rPr>
          <w:rFonts w:ascii="Georgia" w:hAnsi="Georgia"/>
          <w:sz w:val="24"/>
          <w:szCs w:val="24"/>
        </w:rPr>
        <w:t xml:space="preserve">operations, </w:t>
      </w:r>
      <w:r w:rsidR="00937E2F" w:rsidRPr="00937E2F">
        <w:rPr>
          <w:rFonts w:ascii="Georgia" w:hAnsi="Georgia"/>
          <w:sz w:val="24"/>
          <w:szCs w:val="24"/>
        </w:rPr>
        <w:t xml:space="preserve">JP Morgan's executives </w:t>
      </w:r>
      <w:r w:rsidR="00740828">
        <w:rPr>
          <w:rFonts w:ascii="Georgia" w:hAnsi="Georgia"/>
          <w:sz w:val="24"/>
          <w:szCs w:val="24"/>
        </w:rPr>
        <w:t>serve</w:t>
      </w:r>
      <w:r w:rsidR="00937E2F" w:rsidRPr="00937E2F">
        <w:rPr>
          <w:rFonts w:ascii="Georgia" w:hAnsi="Georgia"/>
          <w:sz w:val="24"/>
          <w:szCs w:val="24"/>
        </w:rPr>
        <w:t xml:space="preserve"> on the board </w:t>
      </w:r>
      <w:r w:rsidR="00937E2F" w:rsidRPr="00937E2F">
        <w:rPr>
          <w:rFonts w:ascii="Georgia" w:hAnsi="Georgia"/>
          <w:sz w:val="24"/>
          <w:szCs w:val="24"/>
        </w:rPr>
        <w:lastRenderedPageBreak/>
        <w:t xml:space="preserve">of directors of several of the IIF companies, including El Paso Electric (a franchise utility with captive customers). </w:t>
      </w:r>
      <w:r w:rsidR="00B21320" w:rsidRPr="00B21320">
        <w:rPr>
          <w:rFonts w:ascii="Georgia" w:hAnsi="Georgia"/>
          <w:sz w:val="24"/>
          <w:szCs w:val="24"/>
        </w:rPr>
        <w:t xml:space="preserve">JP Morgan executives Andrew </w:t>
      </w:r>
      <w:r w:rsidR="00B21320">
        <w:rPr>
          <w:rFonts w:ascii="Georgia" w:hAnsi="Georgia"/>
          <w:sz w:val="24"/>
          <w:szCs w:val="24"/>
        </w:rPr>
        <w:t>“</w:t>
      </w:r>
      <w:r w:rsidR="00B21320" w:rsidRPr="00B21320">
        <w:rPr>
          <w:rFonts w:ascii="Georgia" w:hAnsi="Georgia"/>
          <w:sz w:val="24"/>
          <w:szCs w:val="24"/>
        </w:rPr>
        <w:t>Landy</w:t>
      </w:r>
      <w:r w:rsidR="00B21320">
        <w:rPr>
          <w:rFonts w:ascii="Georgia" w:hAnsi="Georgia"/>
          <w:sz w:val="24"/>
          <w:szCs w:val="24"/>
        </w:rPr>
        <w:t>”</w:t>
      </w:r>
      <w:r w:rsidR="00B21320" w:rsidRPr="00B21320">
        <w:rPr>
          <w:rFonts w:ascii="Georgia" w:hAnsi="Georgia"/>
          <w:sz w:val="24"/>
          <w:szCs w:val="24"/>
        </w:rPr>
        <w:t xml:space="preserve"> Gilbert and Preston T. Scherer both serve on the board of El Paso Electric.</w:t>
      </w:r>
      <w:r w:rsidR="00504F2A">
        <w:rPr>
          <w:rStyle w:val="FootnoteReference"/>
          <w:rFonts w:ascii="Georgia" w:hAnsi="Georgia"/>
          <w:sz w:val="24"/>
          <w:szCs w:val="24"/>
        </w:rPr>
        <w:footnoteReference w:id="3"/>
      </w:r>
      <w:r w:rsidR="007B6AD2">
        <w:rPr>
          <w:rFonts w:ascii="Georgia" w:hAnsi="Georgia"/>
          <w:sz w:val="24"/>
          <w:szCs w:val="24"/>
        </w:rPr>
        <w:t xml:space="preserve"> </w:t>
      </w:r>
    </w:p>
    <w:p w14:paraId="5541E93F" w14:textId="68050C5D" w:rsidR="00CD5519" w:rsidRDefault="00396FE9" w:rsidP="00EC2534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When the Commission’s </w:t>
      </w:r>
      <w:proofErr w:type="spellStart"/>
      <w:r w:rsidRPr="005C0F89">
        <w:rPr>
          <w:rFonts w:ascii="Georgia" w:hAnsi="Georgia"/>
          <w:i/>
          <w:iCs/>
          <w:sz w:val="24"/>
          <w:szCs w:val="24"/>
        </w:rPr>
        <w:t>Evergy</w:t>
      </w:r>
      <w:proofErr w:type="spellEnd"/>
      <w:r>
        <w:rPr>
          <w:rFonts w:ascii="Georgia" w:hAnsi="Georgia"/>
          <w:sz w:val="24"/>
          <w:szCs w:val="24"/>
        </w:rPr>
        <w:t xml:space="preserve"> precedent is applied here, </w:t>
      </w:r>
      <w:proofErr w:type="gramStart"/>
      <w:r>
        <w:rPr>
          <w:rFonts w:ascii="Georgia" w:hAnsi="Georgia"/>
          <w:sz w:val="24"/>
          <w:szCs w:val="24"/>
        </w:rPr>
        <w:t>it is plain that JP Morgan</w:t>
      </w:r>
      <w:proofErr w:type="gramEnd"/>
      <w:r>
        <w:rPr>
          <w:rFonts w:ascii="Georgia" w:hAnsi="Georgia"/>
          <w:sz w:val="24"/>
          <w:szCs w:val="24"/>
        </w:rPr>
        <w:t xml:space="preserve"> Chase must be deemed an affiliate of IIF and all of the IIF companies, including </w:t>
      </w:r>
      <w:r w:rsidR="00E15151">
        <w:rPr>
          <w:rFonts w:ascii="Georgia" w:hAnsi="Georgia"/>
          <w:sz w:val="24"/>
          <w:szCs w:val="24"/>
        </w:rPr>
        <w:t xml:space="preserve">Mankato and </w:t>
      </w:r>
      <w:r>
        <w:rPr>
          <w:rFonts w:ascii="Georgia" w:hAnsi="Georgia"/>
          <w:sz w:val="24"/>
          <w:szCs w:val="24"/>
        </w:rPr>
        <w:t xml:space="preserve">El Paso Electric. </w:t>
      </w:r>
      <w:r w:rsidR="002073E9">
        <w:rPr>
          <w:rFonts w:ascii="Georgia" w:hAnsi="Georgia"/>
          <w:sz w:val="24"/>
          <w:szCs w:val="24"/>
        </w:rPr>
        <w:t xml:space="preserve">Public Citizen therefore </w:t>
      </w:r>
      <w:r>
        <w:rPr>
          <w:rFonts w:ascii="Georgia" w:hAnsi="Georgia"/>
          <w:sz w:val="24"/>
          <w:szCs w:val="24"/>
        </w:rPr>
        <w:t>moves</w:t>
      </w:r>
      <w:r w:rsidR="002073E9">
        <w:rPr>
          <w:rFonts w:ascii="Georgia" w:hAnsi="Georgia"/>
          <w:sz w:val="24"/>
          <w:szCs w:val="24"/>
        </w:rPr>
        <w:t xml:space="preserve"> that the Commission immediately designate JP Morgan Chase &amp; Co to be an affiliate of IIF and all IIF</w:t>
      </w:r>
      <w:r>
        <w:rPr>
          <w:rFonts w:ascii="Georgia" w:hAnsi="Georgia"/>
          <w:sz w:val="24"/>
          <w:szCs w:val="24"/>
        </w:rPr>
        <w:t>-</w:t>
      </w:r>
      <w:r w:rsidR="00CD5519">
        <w:rPr>
          <w:rFonts w:ascii="Georgia" w:hAnsi="Georgia"/>
          <w:sz w:val="24"/>
          <w:szCs w:val="24"/>
        </w:rPr>
        <w:t>controlled</w:t>
      </w:r>
      <w:r>
        <w:rPr>
          <w:rFonts w:ascii="Georgia" w:hAnsi="Georgia"/>
          <w:sz w:val="24"/>
          <w:szCs w:val="24"/>
        </w:rPr>
        <w:t xml:space="preserve"> companies with </w:t>
      </w:r>
      <w:proofErr w:type="gramStart"/>
      <w:r>
        <w:rPr>
          <w:rFonts w:ascii="Georgia" w:hAnsi="Georgia"/>
          <w:sz w:val="24"/>
          <w:szCs w:val="24"/>
        </w:rPr>
        <w:t>market based</w:t>
      </w:r>
      <w:proofErr w:type="gramEnd"/>
      <w:r>
        <w:rPr>
          <w:rFonts w:ascii="Georgia" w:hAnsi="Georgia"/>
          <w:sz w:val="24"/>
          <w:szCs w:val="24"/>
        </w:rPr>
        <w:t xml:space="preserve"> rates.</w:t>
      </w:r>
    </w:p>
    <w:p w14:paraId="20C51111" w14:textId="77777777" w:rsidR="00EC2534" w:rsidRDefault="00EC2534" w:rsidP="00EC2534">
      <w:pPr>
        <w:spacing w:line="360" w:lineRule="auto"/>
        <w:ind w:firstLine="720"/>
        <w:rPr>
          <w:rFonts w:ascii="Georgia" w:hAnsi="Georgia"/>
          <w:sz w:val="24"/>
          <w:szCs w:val="24"/>
        </w:rPr>
      </w:pPr>
    </w:p>
    <w:p w14:paraId="0CE979AA" w14:textId="2F3EAE74" w:rsidR="00CD5519" w:rsidRDefault="00CD5519" w:rsidP="00EC2534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Respectfully submitted,</w:t>
      </w:r>
    </w:p>
    <w:p w14:paraId="704DE24B" w14:textId="77777777" w:rsidR="00583A1F" w:rsidRDefault="00583A1F" w:rsidP="00EC2534">
      <w:pPr>
        <w:spacing w:line="360" w:lineRule="auto"/>
        <w:ind w:firstLine="720"/>
        <w:rPr>
          <w:rFonts w:ascii="Georgia" w:hAnsi="Georgia"/>
          <w:sz w:val="24"/>
          <w:szCs w:val="24"/>
        </w:rPr>
      </w:pPr>
    </w:p>
    <w:p w14:paraId="6919828E" w14:textId="3711366B" w:rsidR="00CD5519" w:rsidRDefault="00CD5519" w:rsidP="00CD5519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Tyson Slocum, Energy Program Director</w:t>
      </w:r>
    </w:p>
    <w:p w14:paraId="178E6801" w14:textId="6BBA0876" w:rsidR="00CD5519" w:rsidRDefault="00CD5519" w:rsidP="00CD5519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Public Citizen, Inc.</w:t>
      </w:r>
    </w:p>
    <w:p w14:paraId="76A5598A" w14:textId="54E34E20" w:rsidR="00CD5519" w:rsidRDefault="00CD5519" w:rsidP="00CD5519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215 Pennsylvania Ave SE</w:t>
      </w:r>
    </w:p>
    <w:p w14:paraId="375EBE0D" w14:textId="23F5CF79" w:rsidR="00CD5519" w:rsidRDefault="00CD5519" w:rsidP="00CD5519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Washington, DC  20003</w:t>
      </w:r>
    </w:p>
    <w:p w14:paraId="34870509" w14:textId="64CCB242" w:rsidR="00CD5519" w:rsidRDefault="00CD5519" w:rsidP="00CD5519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(202) 454-5191</w:t>
      </w:r>
    </w:p>
    <w:p w14:paraId="6619FD86" w14:textId="51BF0F31" w:rsidR="00CD5519" w:rsidRPr="00CD5519" w:rsidRDefault="00000000" w:rsidP="00CD5519">
      <w:pPr>
        <w:ind w:firstLine="720"/>
        <w:rPr>
          <w:rFonts w:ascii="Georgia" w:hAnsi="Georgia"/>
          <w:sz w:val="24"/>
          <w:szCs w:val="24"/>
        </w:rPr>
      </w:pPr>
      <w:hyperlink r:id="rId7" w:history="1">
        <w:r w:rsidR="00CD5519" w:rsidRPr="00CD5519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tslocum@citizen.org</w:t>
        </w:r>
      </w:hyperlink>
    </w:p>
    <w:p w14:paraId="25EBB8EB" w14:textId="77777777" w:rsidR="00CD5519" w:rsidRDefault="00CD5519" w:rsidP="00396FE9">
      <w:pPr>
        <w:spacing w:line="360" w:lineRule="auto"/>
        <w:ind w:firstLine="720"/>
        <w:rPr>
          <w:rFonts w:ascii="Georgia" w:hAnsi="Georgia"/>
          <w:sz w:val="24"/>
          <w:szCs w:val="24"/>
        </w:rPr>
      </w:pPr>
    </w:p>
    <w:p w14:paraId="25ED3E63" w14:textId="43029B78" w:rsidR="00F76578" w:rsidRPr="00CD5519" w:rsidRDefault="00CD5519" w:rsidP="00CD5519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Filed October 26, 2022</w:t>
      </w:r>
    </w:p>
    <w:sectPr w:rsidR="00F76578" w:rsidRPr="00CD5519" w:rsidSect="00CD5519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899D" w14:textId="77777777" w:rsidR="00B93964" w:rsidRDefault="00B93964" w:rsidP="00F76578">
      <w:r>
        <w:separator/>
      </w:r>
    </w:p>
  </w:endnote>
  <w:endnote w:type="continuationSeparator" w:id="0">
    <w:p w14:paraId="2F774818" w14:textId="77777777" w:rsidR="00B93964" w:rsidRDefault="00B93964" w:rsidP="00F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6585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52EABA" w14:textId="31030AC9" w:rsidR="00CD5519" w:rsidRDefault="00CD551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1CA80A" w14:textId="77777777" w:rsidR="00CD5519" w:rsidRDefault="00CD5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828B" w14:textId="77777777" w:rsidR="00B93964" w:rsidRDefault="00B93964" w:rsidP="00F76578">
      <w:r>
        <w:separator/>
      </w:r>
    </w:p>
  </w:footnote>
  <w:footnote w:type="continuationSeparator" w:id="0">
    <w:p w14:paraId="47C9B155" w14:textId="77777777" w:rsidR="00B93964" w:rsidRDefault="00B93964" w:rsidP="00F76578">
      <w:r>
        <w:continuationSeparator/>
      </w:r>
    </w:p>
  </w:footnote>
  <w:footnote w:id="1">
    <w:p w14:paraId="681D813B" w14:textId="77777777" w:rsidR="00F76578" w:rsidRDefault="00F76578" w:rsidP="00F765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0204">
        <w:rPr>
          <w:rFonts w:ascii="Georgia" w:hAnsi="Georgia"/>
        </w:rPr>
        <w:t>At 44 and 45, 181 FERC ¶ 61,044, Docket Nos. ER20-67-001, ER20-113-001 and ER20-116-001, https://elibrary.ferc.gov/eLibrary/filelist?accession_num=20221020-3091</w:t>
      </w:r>
    </w:p>
  </w:footnote>
  <w:footnote w:id="2">
    <w:p w14:paraId="7AC65A5A" w14:textId="4236F0D5" w:rsidR="00271943" w:rsidRDefault="002719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52052">
        <w:rPr>
          <w:rFonts w:ascii="Georgia" w:hAnsi="Georgia"/>
        </w:rPr>
        <w:t xml:space="preserve">January 6, </w:t>
      </w:r>
      <w:proofErr w:type="gramStart"/>
      <w:r w:rsidRPr="00F52052">
        <w:rPr>
          <w:rFonts w:ascii="Georgia" w:hAnsi="Georgia"/>
        </w:rPr>
        <w:t>2020</w:t>
      </w:r>
      <w:proofErr w:type="gramEnd"/>
      <w:r w:rsidRPr="00F52052">
        <w:rPr>
          <w:rFonts w:ascii="Georgia" w:hAnsi="Georgia"/>
        </w:rPr>
        <w:t xml:space="preserve"> </w:t>
      </w:r>
      <w:r w:rsidRPr="00F52052">
        <w:rPr>
          <w:rFonts w:ascii="Georgia" w:hAnsi="Georgia"/>
          <w:i/>
          <w:iCs/>
        </w:rPr>
        <w:t>Response to Deficiency Letter</w:t>
      </w:r>
      <w:r w:rsidRPr="00F52052">
        <w:rPr>
          <w:rFonts w:ascii="Georgia" w:hAnsi="Georgia"/>
        </w:rPr>
        <w:t>, FERC Docket No. EC19-120</w:t>
      </w:r>
      <w:r w:rsidR="00646EAB" w:rsidRPr="00F52052">
        <w:rPr>
          <w:rFonts w:ascii="Georgia" w:hAnsi="Georgia"/>
        </w:rPr>
        <w:t>, at page 7</w:t>
      </w:r>
      <w:r w:rsidRPr="00F52052">
        <w:rPr>
          <w:rFonts w:ascii="Georgia" w:hAnsi="Georgia"/>
        </w:rPr>
        <w:t>.</w:t>
      </w:r>
    </w:p>
  </w:footnote>
  <w:footnote w:id="3">
    <w:p w14:paraId="0D36B95D" w14:textId="12E7A16C" w:rsidR="00504F2A" w:rsidRDefault="00504F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4F2A">
        <w:rPr>
          <w:rFonts w:ascii="Georgia" w:hAnsi="Georgia"/>
        </w:rPr>
        <w:t>www.epelectric.com/company/about-epe/board-of-directors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78"/>
    <w:rsid w:val="000B1707"/>
    <w:rsid w:val="000F4965"/>
    <w:rsid w:val="0011579B"/>
    <w:rsid w:val="0016226D"/>
    <w:rsid w:val="002073E9"/>
    <w:rsid w:val="00271943"/>
    <w:rsid w:val="002A3F2D"/>
    <w:rsid w:val="00323695"/>
    <w:rsid w:val="00327CF1"/>
    <w:rsid w:val="00345C31"/>
    <w:rsid w:val="00350A2E"/>
    <w:rsid w:val="00396FE9"/>
    <w:rsid w:val="003D3BDC"/>
    <w:rsid w:val="003D5B23"/>
    <w:rsid w:val="00402E17"/>
    <w:rsid w:val="0045624C"/>
    <w:rsid w:val="00504F2A"/>
    <w:rsid w:val="005143C9"/>
    <w:rsid w:val="00583A1F"/>
    <w:rsid w:val="005C0F89"/>
    <w:rsid w:val="005D624A"/>
    <w:rsid w:val="00630DB5"/>
    <w:rsid w:val="00641420"/>
    <w:rsid w:val="006443BB"/>
    <w:rsid w:val="00646EAB"/>
    <w:rsid w:val="006477FF"/>
    <w:rsid w:val="006B6C6B"/>
    <w:rsid w:val="00716C55"/>
    <w:rsid w:val="00740828"/>
    <w:rsid w:val="0078136E"/>
    <w:rsid w:val="007A55A3"/>
    <w:rsid w:val="007B6AD2"/>
    <w:rsid w:val="007D219A"/>
    <w:rsid w:val="008004A3"/>
    <w:rsid w:val="00810A73"/>
    <w:rsid w:val="00897F3B"/>
    <w:rsid w:val="00915D7A"/>
    <w:rsid w:val="00924764"/>
    <w:rsid w:val="00937E2F"/>
    <w:rsid w:val="009708C2"/>
    <w:rsid w:val="009A427D"/>
    <w:rsid w:val="00B21320"/>
    <w:rsid w:val="00B93964"/>
    <w:rsid w:val="00C22F71"/>
    <w:rsid w:val="00C63233"/>
    <w:rsid w:val="00CD5519"/>
    <w:rsid w:val="00CF54D5"/>
    <w:rsid w:val="00D27F91"/>
    <w:rsid w:val="00D419AF"/>
    <w:rsid w:val="00DD2800"/>
    <w:rsid w:val="00DE479C"/>
    <w:rsid w:val="00E15151"/>
    <w:rsid w:val="00E1783F"/>
    <w:rsid w:val="00EA2151"/>
    <w:rsid w:val="00EC2534"/>
    <w:rsid w:val="00F0240C"/>
    <w:rsid w:val="00F52052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EFAB"/>
  <w15:chartTrackingRefBased/>
  <w15:docId w15:val="{5F1D3FA5-18DF-4A8F-B1D2-463AE1C0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F76578"/>
    <w:pPr>
      <w:keepLines/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F76578"/>
  </w:style>
  <w:style w:type="character" w:styleId="FootnoteReference">
    <w:name w:val="footnote reference"/>
    <w:aliases w:val="o,fr,Style 13,Style 12,Style 15,Style 17,Style 9,o1,fr1,o2,fr2,o3,fr3,Style 18,(NECG) Footnote Reference,Style 20,Style 7,Style 8,Style 19,Style 28,Style 11,Style 16,Styl,Footnote Reference (EIS),fnr,Footnote reference (EA),Style 30,."/>
    <w:basedOn w:val="DefaultParagraphFont"/>
    <w:uiPriority w:val="99"/>
    <w:unhideWhenUsed/>
    <w:qFormat/>
    <w:rsid w:val="00F765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D5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5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5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519"/>
  </w:style>
  <w:style w:type="paragraph" w:styleId="Footer">
    <w:name w:val="footer"/>
    <w:basedOn w:val="Normal"/>
    <w:link w:val="FooterChar"/>
    <w:uiPriority w:val="99"/>
    <w:unhideWhenUsed/>
    <w:rsid w:val="00CD5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locum@citiz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2FFA-F5F4-4A9C-B7CF-7AABB508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Slocum</dc:creator>
  <cp:keywords/>
  <dc:description/>
  <cp:lastModifiedBy>Tyson Slocum</cp:lastModifiedBy>
  <cp:revision>51</cp:revision>
  <dcterms:created xsi:type="dcterms:W3CDTF">2022-10-25T19:07:00Z</dcterms:created>
  <dcterms:modified xsi:type="dcterms:W3CDTF">2022-10-26T12:45:00Z</dcterms:modified>
</cp:coreProperties>
</file>