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0F5D2" w14:textId="3775F83A" w:rsidR="009A0431" w:rsidRPr="002D2FF8" w:rsidRDefault="009A0431" w:rsidP="002D2FF8">
      <w:pPr>
        <w:jc w:val="center"/>
        <w:rPr>
          <w:rFonts w:ascii="Georgia" w:hAnsi="Georgia"/>
          <w:sz w:val="24"/>
          <w:szCs w:val="24"/>
        </w:rPr>
      </w:pPr>
      <w:r w:rsidRPr="002D2FF8">
        <w:rPr>
          <w:rFonts w:ascii="Georgia" w:hAnsi="Georgia"/>
          <w:sz w:val="24"/>
          <w:szCs w:val="24"/>
        </w:rPr>
        <w:t>UNITED STATES OF AMERICA</w:t>
      </w:r>
    </w:p>
    <w:p w14:paraId="43C09D37" w14:textId="1D16CD6F" w:rsidR="009A0431" w:rsidRPr="002D2FF8" w:rsidRDefault="009A0431" w:rsidP="002D2FF8">
      <w:pPr>
        <w:jc w:val="center"/>
        <w:rPr>
          <w:rFonts w:ascii="Georgia" w:hAnsi="Georgia"/>
          <w:sz w:val="24"/>
          <w:szCs w:val="24"/>
        </w:rPr>
      </w:pPr>
      <w:r w:rsidRPr="002D2FF8">
        <w:rPr>
          <w:rFonts w:ascii="Georgia" w:hAnsi="Georgia"/>
          <w:sz w:val="24"/>
          <w:szCs w:val="24"/>
        </w:rPr>
        <w:t>BEFORE THE</w:t>
      </w:r>
    </w:p>
    <w:p w14:paraId="0ED3EE7F" w14:textId="432DB894" w:rsidR="009A0431" w:rsidRPr="002D2FF8" w:rsidRDefault="009A0431" w:rsidP="002D2FF8">
      <w:pPr>
        <w:jc w:val="center"/>
        <w:rPr>
          <w:rFonts w:ascii="Georgia" w:hAnsi="Georgia"/>
          <w:sz w:val="24"/>
          <w:szCs w:val="24"/>
        </w:rPr>
      </w:pPr>
      <w:r w:rsidRPr="002D2FF8">
        <w:rPr>
          <w:rFonts w:ascii="Georgia" w:hAnsi="Georgia"/>
          <w:sz w:val="24"/>
          <w:szCs w:val="24"/>
        </w:rPr>
        <w:t>FEDERAL ENERGY REGULATORY COMMISSION</w:t>
      </w:r>
    </w:p>
    <w:p w14:paraId="4C0ED783" w14:textId="706E9CF2" w:rsidR="009A0431" w:rsidRPr="002D2FF8" w:rsidRDefault="009A0431" w:rsidP="00444BDF">
      <w:pPr>
        <w:rPr>
          <w:rFonts w:ascii="Georgia" w:hAnsi="Georgia"/>
          <w:sz w:val="24"/>
          <w:szCs w:val="24"/>
        </w:rPr>
      </w:pPr>
    </w:p>
    <w:p w14:paraId="5E87E061" w14:textId="2FAE17A7" w:rsidR="009A0431" w:rsidRPr="002D2FF8" w:rsidRDefault="002D2FF8" w:rsidP="00444BDF">
      <w:pPr>
        <w:rPr>
          <w:rFonts w:ascii="Georgia" w:hAnsi="Georgia"/>
          <w:sz w:val="24"/>
          <w:szCs w:val="24"/>
        </w:rPr>
      </w:pPr>
      <w:r w:rsidRPr="002D2FF8">
        <w:rPr>
          <w:rFonts w:ascii="Georgia" w:hAnsi="Georgia"/>
          <w:sz w:val="24"/>
          <w:szCs w:val="24"/>
        </w:rPr>
        <w:t>FirstEnergy Corp.</w:t>
      </w:r>
      <w:r w:rsidRPr="002D2FF8">
        <w:rPr>
          <w:rFonts w:ascii="Georgia" w:hAnsi="Georgia"/>
          <w:sz w:val="24"/>
          <w:szCs w:val="24"/>
        </w:rPr>
        <w:tab/>
      </w:r>
      <w:r w:rsidRPr="002D2FF8">
        <w:rPr>
          <w:rFonts w:ascii="Georgia" w:hAnsi="Georgia"/>
          <w:sz w:val="24"/>
          <w:szCs w:val="24"/>
        </w:rPr>
        <w:tab/>
      </w:r>
      <w:r w:rsidRPr="002D2FF8">
        <w:rPr>
          <w:rFonts w:ascii="Georgia" w:hAnsi="Georgia"/>
          <w:sz w:val="24"/>
          <w:szCs w:val="24"/>
        </w:rPr>
        <w:tab/>
      </w:r>
      <w:r w:rsidRPr="002D2FF8">
        <w:rPr>
          <w:rFonts w:ascii="Georgia" w:hAnsi="Georgia"/>
          <w:sz w:val="24"/>
          <w:szCs w:val="24"/>
        </w:rPr>
        <w:tab/>
      </w:r>
      <w:r w:rsidRPr="002D2FF8">
        <w:rPr>
          <w:rFonts w:ascii="Georgia" w:hAnsi="Georgia"/>
          <w:sz w:val="24"/>
          <w:szCs w:val="24"/>
        </w:rPr>
        <w:tab/>
      </w:r>
      <w:r w:rsidRPr="002D2FF8">
        <w:rPr>
          <w:rFonts w:ascii="Georgia" w:hAnsi="Georgia"/>
          <w:sz w:val="24"/>
          <w:szCs w:val="24"/>
        </w:rPr>
        <w:tab/>
      </w:r>
      <w:r>
        <w:rPr>
          <w:rFonts w:ascii="Georgia" w:hAnsi="Georgia"/>
          <w:sz w:val="24"/>
          <w:szCs w:val="24"/>
        </w:rPr>
        <w:tab/>
      </w:r>
      <w:r>
        <w:rPr>
          <w:rFonts w:ascii="Georgia" w:hAnsi="Georgia"/>
          <w:sz w:val="24"/>
          <w:szCs w:val="24"/>
        </w:rPr>
        <w:tab/>
      </w:r>
      <w:r w:rsidRPr="002D2FF8">
        <w:rPr>
          <w:rFonts w:ascii="Georgia" w:hAnsi="Georgia"/>
          <w:sz w:val="24"/>
          <w:szCs w:val="24"/>
        </w:rPr>
        <w:t>Docket No. EC21-77</w:t>
      </w:r>
    </w:p>
    <w:p w14:paraId="48C435E3" w14:textId="77777777" w:rsidR="009A0431" w:rsidRPr="002D2FF8" w:rsidRDefault="009A0431" w:rsidP="00444BDF">
      <w:pPr>
        <w:rPr>
          <w:rFonts w:ascii="Georgia" w:hAnsi="Georgia"/>
          <w:sz w:val="24"/>
          <w:szCs w:val="24"/>
        </w:rPr>
      </w:pPr>
    </w:p>
    <w:p w14:paraId="32DFA92A" w14:textId="77777777" w:rsidR="002D2FF8" w:rsidRDefault="002D2FF8" w:rsidP="00444BDF">
      <w:pPr>
        <w:rPr>
          <w:rFonts w:ascii="Georgia" w:hAnsi="Georgia"/>
          <w:sz w:val="24"/>
          <w:szCs w:val="24"/>
        </w:rPr>
      </w:pPr>
    </w:p>
    <w:p w14:paraId="6E824E2B" w14:textId="79BB95B3" w:rsidR="002D2FF8" w:rsidRPr="00B64E85" w:rsidRDefault="006F5C5B" w:rsidP="00B64E85">
      <w:pPr>
        <w:jc w:val="center"/>
        <w:rPr>
          <w:rFonts w:ascii="Georgia" w:hAnsi="Georgia"/>
          <w:b/>
          <w:bCs/>
          <w:sz w:val="24"/>
          <w:szCs w:val="24"/>
        </w:rPr>
      </w:pPr>
      <w:r w:rsidRPr="00B64E85">
        <w:rPr>
          <w:rFonts w:ascii="Georgia" w:hAnsi="Georgia"/>
          <w:b/>
          <w:bCs/>
          <w:sz w:val="24"/>
          <w:szCs w:val="24"/>
        </w:rPr>
        <w:t xml:space="preserve">Joint </w:t>
      </w:r>
      <w:r w:rsidR="000133A7">
        <w:rPr>
          <w:rFonts w:ascii="Georgia" w:hAnsi="Georgia"/>
          <w:b/>
          <w:bCs/>
          <w:sz w:val="24"/>
          <w:szCs w:val="24"/>
        </w:rPr>
        <w:t>Protest</w:t>
      </w:r>
      <w:r w:rsidRPr="00B64E85">
        <w:rPr>
          <w:rFonts w:ascii="Georgia" w:hAnsi="Georgia"/>
          <w:b/>
          <w:bCs/>
          <w:sz w:val="24"/>
          <w:szCs w:val="24"/>
        </w:rPr>
        <w:t xml:space="preserve"> of Public Citizen and </w:t>
      </w:r>
      <w:r w:rsidR="00B64E85" w:rsidRPr="00B64E85">
        <w:rPr>
          <w:rFonts w:ascii="Georgia" w:hAnsi="Georgia"/>
          <w:b/>
          <w:bCs/>
          <w:sz w:val="24"/>
          <w:szCs w:val="24"/>
        </w:rPr>
        <w:t>Citizens Utility Board of Ohio</w:t>
      </w:r>
    </w:p>
    <w:p w14:paraId="7C890B2C" w14:textId="77777777" w:rsidR="002D2FF8" w:rsidRDefault="002D2FF8" w:rsidP="00444BDF">
      <w:pPr>
        <w:rPr>
          <w:rFonts w:ascii="Georgia" w:hAnsi="Georgia"/>
          <w:sz w:val="24"/>
          <w:szCs w:val="24"/>
        </w:rPr>
      </w:pPr>
    </w:p>
    <w:p w14:paraId="46D78AB3" w14:textId="65794B06" w:rsidR="00B64E85" w:rsidRDefault="00B64E85" w:rsidP="00444BDF">
      <w:pPr>
        <w:rPr>
          <w:rFonts w:ascii="Georgia" w:hAnsi="Georgia"/>
          <w:sz w:val="24"/>
          <w:szCs w:val="24"/>
        </w:rPr>
      </w:pPr>
      <w:r>
        <w:rPr>
          <w:rFonts w:ascii="Georgia" w:hAnsi="Georgia"/>
          <w:sz w:val="24"/>
          <w:szCs w:val="24"/>
        </w:rPr>
        <w:tab/>
      </w:r>
    </w:p>
    <w:p w14:paraId="79400250" w14:textId="5F45E54D" w:rsidR="00B64E85" w:rsidRDefault="00B64E85" w:rsidP="00481717">
      <w:pPr>
        <w:spacing w:line="360" w:lineRule="auto"/>
        <w:rPr>
          <w:rFonts w:ascii="Georgia" w:hAnsi="Georgia"/>
          <w:sz w:val="24"/>
          <w:szCs w:val="24"/>
        </w:rPr>
      </w:pPr>
      <w:r>
        <w:rPr>
          <w:rFonts w:ascii="Georgia" w:hAnsi="Georgia"/>
          <w:sz w:val="24"/>
          <w:szCs w:val="24"/>
        </w:rPr>
        <w:tab/>
      </w:r>
      <w:r w:rsidR="007F2F74">
        <w:rPr>
          <w:rFonts w:ascii="Georgia" w:hAnsi="Georgia"/>
          <w:sz w:val="24"/>
          <w:szCs w:val="24"/>
        </w:rPr>
        <w:t xml:space="preserve">On April 13, FirstEnergy Corp. </w:t>
      </w:r>
      <w:r w:rsidR="004601C8">
        <w:rPr>
          <w:rFonts w:ascii="Georgia" w:hAnsi="Georgia"/>
          <w:sz w:val="24"/>
          <w:szCs w:val="24"/>
        </w:rPr>
        <w:t>applied under Section 203 of the Federal Power Act</w:t>
      </w:r>
      <w:r w:rsidR="00DF423F">
        <w:rPr>
          <w:rFonts w:ascii="Georgia" w:hAnsi="Georgia"/>
          <w:sz w:val="24"/>
          <w:szCs w:val="24"/>
        </w:rPr>
        <w:t xml:space="preserve"> to allow </w:t>
      </w:r>
      <w:r w:rsidR="002D51F2">
        <w:rPr>
          <w:rFonts w:ascii="Georgia" w:hAnsi="Georgia"/>
          <w:sz w:val="24"/>
          <w:szCs w:val="24"/>
        </w:rPr>
        <w:t xml:space="preserve">entities controlled by </w:t>
      </w:r>
      <w:r w:rsidR="00EC4127" w:rsidRPr="00EC4127">
        <w:rPr>
          <w:rFonts w:ascii="Georgia" w:hAnsi="Georgia"/>
          <w:sz w:val="24"/>
          <w:szCs w:val="24"/>
        </w:rPr>
        <w:t>Carl C. Icahn</w:t>
      </w:r>
      <w:r w:rsidR="00201A27">
        <w:rPr>
          <w:rFonts w:ascii="Georgia" w:hAnsi="Georgia"/>
          <w:sz w:val="24"/>
          <w:szCs w:val="24"/>
        </w:rPr>
        <w:t xml:space="preserve"> to have two </w:t>
      </w:r>
      <w:r w:rsidR="004C4573">
        <w:rPr>
          <w:rFonts w:ascii="Georgia" w:hAnsi="Georgia"/>
          <w:sz w:val="24"/>
          <w:szCs w:val="24"/>
        </w:rPr>
        <w:t>employees</w:t>
      </w:r>
      <w:r w:rsidR="0053313B">
        <w:rPr>
          <w:rFonts w:ascii="Georgia" w:hAnsi="Georgia"/>
          <w:sz w:val="24"/>
          <w:szCs w:val="24"/>
        </w:rPr>
        <w:t xml:space="preserve"> as </w:t>
      </w:r>
      <w:r w:rsidR="00201A27">
        <w:rPr>
          <w:rFonts w:ascii="Georgia" w:hAnsi="Georgia"/>
          <w:sz w:val="24"/>
          <w:szCs w:val="24"/>
        </w:rPr>
        <w:t>voting representatives o</w:t>
      </w:r>
      <w:r w:rsidR="00E26A14">
        <w:rPr>
          <w:rFonts w:ascii="Georgia" w:hAnsi="Georgia"/>
          <w:sz w:val="24"/>
          <w:szCs w:val="24"/>
        </w:rPr>
        <w:t>n</w:t>
      </w:r>
      <w:r w:rsidR="00201A27">
        <w:rPr>
          <w:rFonts w:ascii="Georgia" w:hAnsi="Georgia"/>
          <w:sz w:val="24"/>
          <w:szCs w:val="24"/>
        </w:rPr>
        <w:t xml:space="preserve"> </w:t>
      </w:r>
      <w:r w:rsidR="00B00056">
        <w:rPr>
          <w:rFonts w:ascii="Georgia" w:hAnsi="Georgia"/>
          <w:sz w:val="24"/>
          <w:szCs w:val="24"/>
        </w:rPr>
        <w:t>FirstEnergy’s</w:t>
      </w:r>
      <w:r w:rsidR="00201A27">
        <w:rPr>
          <w:rFonts w:ascii="Georgia" w:hAnsi="Georgia"/>
          <w:sz w:val="24"/>
          <w:szCs w:val="24"/>
        </w:rPr>
        <w:t xml:space="preserve"> board of directors.</w:t>
      </w:r>
      <w:r w:rsidR="00032C1F">
        <w:rPr>
          <w:rStyle w:val="FootnoteReference"/>
          <w:rFonts w:ascii="Georgia" w:hAnsi="Georgia"/>
          <w:sz w:val="24"/>
          <w:szCs w:val="24"/>
        </w:rPr>
        <w:footnoteReference w:id="1"/>
      </w:r>
      <w:r w:rsidR="00201A27">
        <w:rPr>
          <w:rFonts w:ascii="Georgia" w:hAnsi="Georgia"/>
          <w:sz w:val="24"/>
          <w:szCs w:val="24"/>
        </w:rPr>
        <w:t xml:space="preserve"> </w:t>
      </w:r>
      <w:r w:rsidR="00FD2E4C">
        <w:rPr>
          <w:rFonts w:ascii="Georgia" w:hAnsi="Georgia"/>
          <w:sz w:val="24"/>
          <w:szCs w:val="24"/>
        </w:rPr>
        <w:t xml:space="preserve">We seek a formal Commission determination that </w:t>
      </w:r>
      <w:r w:rsidR="00DE4E5D">
        <w:rPr>
          <w:rFonts w:ascii="Georgia" w:hAnsi="Georgia"/>
          <w:sz w:val="24"/>
          <w:szCs w:val="24"/>
        </w:rPr>
        <w:t>Mr. Icahn’s investment in FirstEnergy Corp. constitutes “control” for the purposes of the Commission’s regulations</w:t>
      </w:r>
      <w:r w:rsidR="00B94FD1">
        <w:rPr>
          <w:rFonts w:ascii="Georgia" w:hAnsi="Georgia"/>
          <w:sz w:val="24"/>
          <w:szCs w:val="24"/>
        </w:rPr>
        <w:t>;</w:t>
      </w:r>
      <w:r w:rsidR="00DE4E5D">
        <w:rPr>
          <w:rFonts w:ascii="Georgia" w:hAnsi="Georgia"/>
          <w:sz w:val="24"/>
          <w:szCs w:val="24"/>
        </w:rPr>
        <w:t xml:space="preserve"> that</w:t>
      </w:r>
      <w:r w:rsidR="00874427">
        <w:rPr>
          <w:rFonts w:ascii="Georgia" w:hAnsi="Georgia"/>
          <w:sz w:val="24"/>
          <w:szCs w:val="24"/>
        </w:rPr>
        <w:t xml:space="preserve"> Mr. Icahn’s </w:t>
      </w:r>
      <w:r w:rsidR="00695FCA">
        <w:rPr>
          <w:rFonts w:ascii="Georgia" w:hAnsi="Georgia"/>
          <w:sz w:val="24"/>
          <w:szCs w:val="24"/>
        </w:rPr>
        <w:t>companies be deemed affiliates of FirstEnergy Corp</w:t>
      </w:r>
      <w:r w:rsidR="00B94FD1">
        <w:rPr>
          <w:rFonts w:ascii="Georgia" w:hAnsi="Georgia"/>
          <w:sz w:val="24"/>
          <w:szCs w:val="24"/>
        </w:rPr>
        <w:t>; and that</w:t>
      </w:r>
      <w:r w:rsidR="00F30BB3">
        <w:rPr>
          <w:rFonts w:ascii="Georgia" w:hAnsi="Georgia"/>
          <w:sz w:val="24"/>
          <w:szCs w:val="24"/>
        </w:rPr>
        <w:t xml:space="preserve"> the</w:t>
      </w:r>
      <w:r w:rsidR="00B94FD1">
        <w:rPr>
          <w:rFonts w:ascii="Georgia" w:hAnsi="Georgia"/>
          <w:sz w:val="24"/>
          <w:szCs w:val="24"/>
        </w:rPr>
        <w:t xml:space="preserve"> </w:t>
      </w:r>
      <w:r w:rsidR="00F30BB3">
        <w:rPr>
          <w:rFonts w:ascii="Georgia" w:hAnsi="Georgia"/>
          <w:sz w:val="24"/>
          <w:szCs w:val="24"/>
        </w:rPr>
        <w:t xml:space="preserve">Commission consider setting the issue for hearing of whether the transaction impairs effective state regulation </w:t>
      </w:r>
      <w:r w:rsidR="00F5578D">
        <w:rPr>
          <w:rFonts w:ascii="Georgia" w:hAnsi="Georgia"/>
          <w:sz w:val="24"/>
          <w:szCs w:val="24"/>
        </w:rPr>
        <w:t xml:space="preserve">since it appears no </w:t>
      </w:r>
      <w:r w:rsidR="00535DCF">
        <w:rPr>
          <w:rFonts w:ascii="Georgia" w:hAnsi="Georgia"/>
          <w:sz w:val="24"/>
          <w:szCs w:val="24"/>
        </w:rPr>
        <w:t xml:space="preserve">state utility regulator </w:t>
      </w:r>
      <w:r w:rsidR="00621216">
        <w:rPr>
          <w:rFonts w:ascii="Georgia" w:hAnsi="Georgia"/>
          <w:sz w:val="24"/>
          <w:szCs w:val="24"/>
        </w:rPr>
        <w:t>has asserted jurisdiction over the proposed transaction.</w:t>
      </w:r>
    </w:p>
    <w:p w14:paraId="51855784" w14:textId="7326949C" w:rsidR="00695FCA" w:rsidRDefault="00695FCA" w:rsidP="00444BDF">
      <w:pPr>
        <w:rPr>
          <w:rFonts w:ascii="Georgia" w:hAnsi="Georgia"/>
          <w:sz w:val="24"/>
          <w:szCs w:val="24"/>
        </w:rPr>
      </w:pPr>
    </w:p>
    <w:p w14:paraId="2A200F72" w14:textId="28E321E5" w:rsidR="00695FCA" w:rsidRPr="00481717" w:rsidRDefault="00695FCA" w:rsidP="00481717">
      <w:pPr>
        <w:jc w:val="center"/>
        <w:rPr>
          <w:rFonts w:ascii="Georgia" w:hAnsi="Georgia"/>
          <w:b/>
          <w:bCs/>
          <w:sz w:val="24"/>
          <w:szCs w:val="24"/>
        </w:rPr>
      </w:pPr>
      <w:r w:rsidRPr="00481717">
        <w:rPr>
          <w:rFonts w:ascii="Georgia" w:hAnsi="Georgia"/>
          <w:b/>
          <w:bCs/>
          <w:sz w:val="24"/>
          <w:szCs w:val="24"/>
        </w:rPr>
        <w:t>About Public Citizen and Citizens Utility Board of Ohio</w:t>
      </w:r>
    </w:p>
    <w:p w14:paraId="2ED40C7C" w14:textId="77777777" w:rsidR="00B00056" w:rsidRDefault="00B00056" w:rsidP="00481717">
      <w:pPr>
        <w:spacing w:line="360" w:lineRule="auto"/>
        <w:ind w:firstLine="720"/>
        <w:jc w:val="both"/>
        <w:rPr>
          <w:rFonts w:ascii="Georgia" w:hAnsi="Georgia"/>
          <w:sz w:val="24"/>
          <w:szCs w:val="24"/>
        </w:rPr>
      </w:pPr>
    </w:p>
    <w:p w14:paraId="2D0E94DC" w14:textId="03F0254F" w:rsidR="00481717" w:rsidRPr="00481717" w:rsidRDefault="00481717" w:rsidP="00481717">
      <w:pPr>
        <w:spacing w:line="360" w:lineRule="auto"/>
        <w:ind w:firstLine="720"/>
        <w:jc w:val="both"/>
        <w:rPr>
          <w:rFonts w:ascii="Georgia" w:hAnsi="Georgia"/>
          <w:sz w:val="24"/>
          <w:szCs w:val="24"/>
        </w:rPr>
      </w:pPr>
      <w:r w:rsidRPr="00481717">
        <w:rPr>
          <w:rFonts w:ascii="Georgia" w:hAnsi="Georgia"/>
          <w:sz w:val="24"/>
          <w:szCs w:val="24"/>
        </w:rPr>
        <w:t>Established in 1971, Public Citizen is a national, not-for-profit, non-partisan, research and advocacy organization representing the interests of household consumers. We are active before FERC promoting just and reasonable rates, and supporting efforts for utilities to be accountable to the public interest. Our financial details are located at our web site.</w:t>
      </w:r>
      <w:r w:rsidRPr="00481717">
        <w:rPr>
          <w:rFonts w:ascii="Georgia" w:hAnsi="Georgia"/>
          <w:sz w:val="24"/>
          <w:szCs w:val="24"/>
          <w:vertAlign w:val="superscript"/>
        </w:rPr>
        <w:footnoteReference w:id="2"/>
      </w:r>
      <w:r w:rsidRPr="00481717">
        <w:rPr>
          <w:rFonts w:ascii="Georgia" w:hAnsi="Georgia"/>
          <w:sz w:val="24"/>
          <w:szCs w:val="24"/>
        </w:rPr>
        <w:t xml:space="preserve"> </w:t>
      </w:r>
    </w:p>
    <w:p w14:paraId="2C98112E" w14:textId="246D4BDE" w:rsidR="00695FCA" w:rsidRDefault="00B00056" w:rsidP="00A34AB3">
      <w:pPr>
        <w:spacing w:line="360" w:lineRule="auto"/>
        <w:rPr>
          <w:rFonts w:ascii="Georgia" w:hAnsi="Georgia"/>
          <w:sz w:val="24"/>
          <w:szCs w:val="24"/>
        </w:rPr>
      </w:pPr>
      <w:r>
        <w:rPr>
          <w:rFonts w:ascii="Georgia" w:hAnsi="Georgia"/>
          <w:sz w:val="24"/>
          <w:szCs w:val="24"/>
        </w:rPr>
        <w:tab/>
      </w:r>
      <w:r w:rsidR="00A34AB3" w:rsidRPr="00A34AB3">
        <w:rPr>
          <w:rFonts w:ascii="Georgia" w:hAnsi="Georgia"/>
          <w:sz w:val="24"/>
          <w:szCs w:val="24"/>
        </w:rPr>
        <w:t>The Citizens Utility Board of Ohio (CUB Ohio) is a new consumer organization working on behalf of residential and small business utility customers. We are a nonpartisan nonprofit with members across the state, and we work for cheaper bills, reliable service, transparency, consumer rights, and clean, healthy energy.</w:t>
      </w:r>
    </w:p>
    <w:p w14:paraId="1367DEE0" w14:textId="77777777" w:rsidR="00B64E85" w:rsidRDefault="00B64E85" w:rsidP="00444BDF">
      <w:pPr>
        <w:rPr>
          <w:rFonts w:ascii="Georgia" w:hAnsi="Georgia"/>
          <w:sz w:val="24"/>
          <w:szCs w:val="24"/>
        </w:rPr>
      </w:pPr>
    </w:p>
    <w:p w14:paraId="5CEB2D10" w14:textId="20E0F40C" w:rsidR="00444BDF" w:rsidRDefault="00444BDF" w:rsidP="00444BDF">
      <w:pPr>
        <w:rPr>
          <w:rFonts w:ascii="Georgia" w:hAnsi="Georgia"/>
          <w:sz w:val="24"/>
          <w:szCs w:val="24"/>
        </w:rPr>
      </w:pPr>
    </w:p>
    <w:p w14:paraId="70FF3331" w14:textId="095BDFE8" w:rsidR="002A33C1" w:rsidRDefault="002A33C1" w:rsidP="00444BDF">
      <w:pPr>
        <w:rPr>
          <w:rFonts w:ascii="Georgia" w:hAnsi="Georgia"/>
          <w:sz w:val="24"/>
          <w:szCs w:val="24"/>
        </w:rPr>
      </w:pPr>
    </w:p>
    <w:p w14:paraId="24A9798F" w14:textId="14A93838" w:rsidR="002A33C1" w:rsidRDefault="002A33C1" w:rsidP="00444BDF">
      <w:pPr>
        <w:rPr>
          <w:rFonts w:ascii="Georgia" w:hAnsi="Georgia"/>
          <w:sz w:val="24"/>
          <w:szCs w:val="24"/>
        </w:rPr>
      </w:pPr>
    </w:p>
    <w:p w14:paraId="3ADE8AF2" w14:textId="77777777" w:rsidR="002A33C1" w:rsidRDefault="002A33C1" w:rsidP="00444BDF">
      <w:pPr>
        <w:rPr>
          <w:rFonts w:ascii="Georgia" w:hAnsi="Georgia"/>
          <w:sz w:val="24"/>
          <w:szCs w:val="24"/>
        </w:rPr>
      </w:pPr>
    </w:p>
    <w:p w14:paraId="5DA40A57" w14:textId="7D1B3873" w:rsidR="00B00056" w:rsidRPr="00601C8A" w:rsidRDefault="00B00056" w:rsidP="00601C8A">
      <w:pPr>
        <w:jc w:val="center"/>
        <w:rPr>
          <w:rFonts w:ascii="Georgia" w:hAnsi="Georgia"/>
          <w:b/>
          <w:bCs/>
          <w:sz w:val="24"/>
          <w:szCs w:val="24"/>
        </w:rPr>
      </w:pPr>
      <w:r w:rsidRPr="00601C8A">
        <w:rPr>
          <w:rFonts w:ascii="Georgia" w:hAnsi="Georgia"/>
          <w:b/>
          <w:bCs/>
          <w:sz w:val="24"/>
          <w:szCs w:val="24"/>
        </w:rPr>
        <w:lastRenderedPageBreak/>
        <w:t xml:space="preserve">Joint </w:t>
      </w:r>
      <w:r w:rsidR="00621216">
        <w:rPr>
          <w:rFonts w:ascii="Georgia" w:hAnsi="Georgia"/>
          <w:b/>
          <w:bCs/>
          <w:sz w:val="24"/>
          <w:szCs w:val="24"/>
        </w:rPr>
        <w:t>Protest</w:t>
      </w:r>
    </w:p>
    <w:p w14:paraId="3D9BA178" w14:textId="168E465F" w:rsidR="00B00056" w:rsidRDefault="00B00056" w:rsidP="00444BDF">
      <w:pPr>
        <w:rPr>
          <w:rFonts w:ascii="Georgia" w:hAnsi="Georgia"/>
          <w:sz w:val="24"/>
          <w:szCs w:val="24"/>
        </w:rPr>
      </w:pPr>
    </w:p>
    <w:p w14:paraId="1632007F" w14:textId="1C6C91E3" w:rsidR="00FE0286" w:rsidRDefault="00601C8A" w:rsidP="00115469">
      <w:pPr>
        <w:spacing w:line="360" w:lineRule="auto"/>
        <w:rPr>
          <w:rFonts w:ascii="Georgia" w:hAnsi="Georgia"/>
          <w:sz w:val="24"/>
          <w:szCs w:val="24"/>
        </w:rPr>
      </w:pPr>
      <w:r>
        <w:rPr>
          <w:rFonts w:ascii="Georgia" w:hAnsi="Georgia"/>
          <w:sz w:val="24"/>
          <w:szCs w:val="24"/>
        </w:rPr>
        <w:tab/>
      </w:r>
      <w:r w:rsidR="0086556E">
        <w:rPr>
          <w:rFonts w:ascii="Georgia" w:hAnsi="Georgia"/>
          <w:sz w:val="24"/>
          <w:szCs w:val="24"/>
        </w:rPr>
        <w:t xml:space="preserve">The FirstEnergy Corp. Application </w:t>
      </w:r>
      <w:r w:rsidR="00435D09">
        <w:rPr>
          <w:rFonts w:ascii="Georgia" w:hAnsi="Georgia"/>
          <w:sz w:val="24"/>
          <w:szCs w:val="24"/>
        </w:rPr>
        <w:t>seeks permission to allow “</w:t>
      </w:r>
      <w:r w:rsidR="00435D09" w:rsidRPr="00435D09">
        <w:rPr>
          <w:rFonts w:ascii="Georgia" w:hAnsi="Georgia"/>
          <w:sz w:val="24"/>
          <w:szCs w:val="24"/>
        </w:rPr>
        <w:t>two members of FirstEnergy’s Board of Directors</w:t>
      </w:r>
      <w:r w:rsidR="009970F6">
        <w:rPr>
          <w:rFonts w:ascii="Georgia" w:hAnsi="Georgia"/>
          <w:sz w:val="24"/>
          <w:szCs w:val="24"/>
        </w:rPr>
        <w:t xml:space="preserve"> </w:t>
      </w:r>
      <w:r w:rsidR="009970F6" w:rsidRPr="009970F6">
        <w:rPr>
          <w:rFonts w:ascii="Georgia" w:hAnsi="Georgia"/>
          <w:sz w:val="24"/>
          <w:szCs w:val="24"/>
        </w:rPr>
        <w:t>recently appointed by the Icahn Group</w:t>
      </w:r>
      <w:r w:rsidR="009970F6">
        <w:rPr>
          <w:rFonts w:ascii="Georgia" w:hAnsi="Georgia"/>
          <w:sz w:val="24"/>
          <w:szCs w:val="24"/>
        </w:rPr>
        <w:t xml:space="preserve">” to </w:t>
      </w:r>
      <w:r w:rsidR="001E737B">
        <w:rPr>
          <w:rFonts w:ascii="Georgia" w:hAnsi="Georgia"/>
          <w:sz w:val="24"/>
          <w:szCs w:val="24"/>
        </w:rPr>
        <w:t>“</w:t>
      </w:r>
      <w:r w:rsidR="001E737B" w:rsidRPr="001E737B">
        <w:rPr>
          <w:rFonts w:ascii="Georgia" w:hAnsi="Georgia"/>
          <w:sz w:val="24"/>
          <w:szCs w:val="24"/>
        </w:rPr>
        <w:t>receive voting rights with respect to their positions</w:t>
      </w:r>
      <w:r w:rsidR="001E737B">
        <w:rPr>
          <w:rFonts w:ascii="Georgia" w:hAnsi="Georgia"/>
          <w:sz w:val="24"/>
          <w:szCs w:val="24"/>
        </w:rPr>
        <w:t xml:space="preserve"> </w:t>
      </w:r>
      <w:r w:rsidR="001E737B" w:rsidRPr="001E737B">
        <w:rPr>
          <w:rFonts w:ascii="Georgia" w:hAnsi="Georgia"/>
          <w:sz w:val="24"/>
          <w:szCs w:val="24"/>
        </w:rPr>
        <w:t>on the FirstEnergy Board</w:t>
      </w:r>
      <w:r w:rsidR="001E737B">
        <w:rPr>
          <w:rFonts w:ascii="Georgia" w:hAnsi="Georgia"/>
          <w:sz w:val="24"/>
          <w:szCs w:val="24"/>
        </w:rPr>
        <w:t>.”</w:t>
      </w:r>
      <w:r w:rsidR="009A618D">
        <w:rPr>
          <w:rStyle w:val="FootnoteReference"/>
          <w:rFonts w:ascii="Georgia" w:hAnsi="Georgia"/>
          <w:sz w:val="24"/>
          <w:szCs w:val="24"/>
        </w:rPr>
        <w:footnoteReference w:id="3"/>
      </w:r>
      <w:r w:rsidR="00D5171A">
        <w:rPr>
          <w:rFonts w:ascii="Georgia" w:hAnsi="Georgia"/>
          <w:sz w:val="24"/>
          <w:szCs w:val="24"/>
        </w:rPr>
        <w:t xml:space="preserve"> The Application </w:t>
      </w:r>
      <w:r w:rsidR="002872A2">
        <w:rPr>
          <w:rFonts w:ascii="Georgia" w:hAnsi="Georgia"/>
          <w:sz w:val="24"/>
          <w:szCs w:val="24"/>
        </w:rPr>
        <w:t xml:space="preserve">states </w:t>
      </w:r>
      <w:r w:rsidR="00256A46">
        <w:rPr>
          <w:rFonts w:ascii="Georgia" w:hAnsi="Georgia"/>
          <w:sz w:val="24"/>
          <w:szCs w:val="24"/>
        </w:rPr>
        <w:t xml:space="preserve">that the </w:t>
      </w:r>
      <w:r w:rsidR="005B38A2">
        <w:rPr>
          <w:rFonts w:ascii="Georgia" w:hAnsi="Georgia"/>
          <w:sz w:val="24"/>
          <w:szCs w:val="24"/>
        </w:rPr>
        <w:t xml:space="preserve">Icahn Group is ultimately </w:t>
      </w:r>
      <w:r w:rsidR="002C0AAB">
        <w:rPr>
          <w:rFonts w:ascii="Georgia" w:hAnsi="Georgia"/>
          <w:sz w:val="24"/>
          <w:szCs w:val="24"/>
        </w:rPr>
        <w:t>controlled</w:t>
      </w:r>
      <w:r w:rsidR="005B38A2">
        <w:rPr>
          <w:rFonts w:ascii="Georgia" w:hAnsi="Georgia"/>
          <w:sz w:val="24"/>
          <w:szCs w:val="24"/>
        </w:rPr>
        <w:t xml:space="preserve"> by Carl C. Icahn.</w:t>
      </w:r>
      <w:r w:rsidR="005B38A2">
        <w:rPr>
          <w:rStyle w:val="FootnoteReference"/>
          <w:rFonts w:ascii="Georgia" w:hAnsi="Georgia"/>
          <w:sz w:val="24"/>
          <w:szCs w:val="24"/>
        </w:rPr>
        <w:footnoteReference w:id="4"/>
      </w:r>
      <w:r w:rsidR="005B38A2">
        <w:rPr>
          <w:rFonts w:ascii="Georgia" w:hAnsi="Georgia"/>
          <w:sz w:val="24"/>
          <w:szCs w:val="24"/>
        </w:rPr>
        <w:t xml:space="preserve"> </w:t>
      </w:r>
      <w:r w:rsidR="00D202BC">
        <w:rPr>
          <w:rFonts w:ascii="Georgia" w:hAnsi="Georgia"/>
          <w:sz w:val="24"/>
          <w:szCs w:val="24"/>
        </w:rPr>
        <w:t xml:space="preserve">The Application states that </w:t>
      </w:r>
      <w:r w:rsidR="007F384B">
        <w:rPr>
          <w:rFonts w:ascii="Georgia" w:hAnsi="Georgia"/>
          <w:sz w:val="24"/>
          <w:szCs w:val="24"/>
        </w:rPr>
        <w:t>“</w:t>
      </w:r>
      <w:r w:rsidR="002A2560">
        <w:rPr>
          <w:rFonts w:ascii="Georgia" w:hAnsi="Georgia"/>
          <w:sz w:val="24"/>
          <w:szCs w:val="24"/>
        </w:rPr>
        <w:t>t</w:t>
      </w:r>
      <w:r w:rsidR="007F384B" w:rsidRPr="007F384B">
        <w:rPr>
          <w:rFonts w:ascii="Georgia" w:hAnsi="Georgia"/>
          <w:sz w:val="24"/>
          <w:szCs w:val="24"/>
        </w:rPr>
        <w:t>he Icahn Group currently holds, and will continue to hold, less than 10% of the</w:t>
      </w:r>
      <w:r w:rsidR="007F384B">
        <w:rPr>
          <w:rFonts w:ascii="Georgia" w:hAnsi="Georgia"/>
          <w:sz w:val="24"/>
          <w:szCs w:val="24"/>
        </w:rPr>
        <w:t xml:space="preserve"> </w:t>
      </w:r>
      <w:r w:rsidR="007F384B" w:rsidRPr="007F384B">
        <w:rPr>
          <w:rFonts w:ascii="Georgia" w:hAnsi="Georgia"/>
          <w:sz w:val="24"/>
          <w:szCs w:val="24"/>
        </w:rPr>
        <w:t>outstanding voting securities of FirstEnergy</w:t>
      </w:r>
      <w:r w:rsidR="007F384B">
        <w:rPr>
          <w:rFonts w:ascii="Georgia" w:hAnsi="Georgia"/>
          <w:sz w:val="24"/>
          <w:szCs w:val="24"/>
        </w:rPr>
        <w:t>.”</w:t>
      </w:r>
      <w:r w:rsidR="00601CB7">
        <w:rPr>
          <w:rStyle w:val="FootnoteReference"/>
          <w:rFonts w:ascii="Georgia" w:hAnsi="Georgia"/>
          <w:sz w:val="24"/>
          <w:szCs w:val="24"/>
        </w:rPr>
        <w:footnoteReference w:id="5"/>
      </w:r>
      <w:r w:rsidR="00DC7731">
        <w:rPr>
          <w:rFonts w:ascii="Georgia" w:hAnsi="Georgia"/>
          <w:sz w:val="24"/>
          <w:szCs w:val="24"/>
        </w:rPr>
        <w:t xml:space="preserve"> In fact, it appears</w:t>
      </w:r>
      <w:r w:rsidR="004866DD">
        <w:rPr>
          <w:rFonts w:ascii="Georgia" w:hAnsi="Georgia"/>
          <w:sz w:val="24"/>
          <w:szCs w:val="24"/>
        </w:rPr>
        <w:t xml:space="preserve"> affiliates of Mr. Icahn own </w:t>
      </w:r>
      <w:r w:rsidR="00F60FB9">
        <w:rPr>
          <w:rFonts w:ascii="Georgia" w:hAnsi="Georgia"/>
          <w:sz w:val="24"/>
          <w:szCs w:val="24"/>
        </w:rPr>
        <w:t xml:space="preserve">only about </w:t>
      </w:r>
      <w:r w:rsidR="009959F4">
        <w:rPr>
          <w:rFonts w:ascii="Georgia" w:hAnsi="Georgia"/>
          <w:sz w:val="24"/>
          <w:szCs w:val="24"/>
        </w:rPr>
        <w:t>3</w:t>
      </w:r>
      <w:r w:rsidR="00181456">
        <w:rPr>
          <w:rFonts w:ascii="Georgia" w:hAnsi="Georgia"/>
          <w:sz w:val="24"/>
          <w:szCs w:val="24"/>
        </w:rPr>
        <w:t>.5</w:t>
      </w:r>
      <w:r w:rsidR="009959F4">
        <w:rPr>
          <w:rFonts w:ascii="Georgia" w:hAnsi="Georgia"/>
          <w:sz w:val="24"/>
          <w:szCs w:val="24"/>
        </w:rPr>
        <w:t xml:space="preserve">% of FirstEnergy’s </w:t>
      </w:r>
      <w:r w:rsidR="00C1215F">
        <w:rPr>
          <w:rFonts w:ascii="Georgia" w:hAnsi="Georgia"/>
          <w:sz w:val="24"/>
          <w:szCs w:val="24"/>
        </w:rPr>
        <w:t>shares.</w:t>
      </w:r>
      <w:r w:rsidR="00F60FB9">
        <w:rPr>
          <w:rStyle w:val="FootnoteReference"/>
          <w:rFonts w:ascii="Georgia" w:hAnsi="Georgia"/>
          <w:sz w:val="24"/>
          <w:szCs w:val="24"/>
        </w:rPr>
        <w:footnoteReference w:id="6"/>
      </w:r>
    </w:p>
    <w:p w14:paraId="606A5E25" w14:textId="7369346F" w:rsidR="002A2560" w:rsidRDefault="002A2560" w:rsidP="00115469">
      <w:pPr>
        <w:spacing w:line="360" w:lineRule="auto"/>
        <w:rPr>
          <w:rFonts w:ascii="Georgia" w:hAnsi="Georgia"/>
          <w:sz w:val="24"/>
          <w:szCs w:val="24"/>
        </w:rPr>
      </w:pPr>
      <w:r>
        <w:rPr>
          <w:rFonts w:ascii="Georgia" w:hAnsi="Georgia"/>
          <w:sz w:val="24"/>
          <w:szCs w:val="24"/>
        </w:rPr>
        <w:tab/>
        <w:t xml:space="preserve">Importantly, the Application appears to request the Commission to approve the proposed transaction allowing Mr. Icahn’s </w:t>
      </w:r>
      <w:r w:rsidR="000A0E61">
        <w:rPr>
          <w:rFonts w:ascii="Georgia" w:hAnsi="Georgia"/>
          <w:sz w:val="24"/>
          <w:szCs w:val="24"/>
        </w:rPr>
        <w:t>two representatives to FirstEnergy’s board of directors to be able to vote without formally deeming the Icahn Group to have “control” of FirstEnergy or be deemed a legal affiliate of FirstEnergy:</w:t>
      </w:r>
    </w:p>
    <w:p w14:paraId="260D69D5" w14:textId="6BA1CC3F" w:rsidR="000A0E61" w:rsidRDefault="000A0E61" w:rsidP="007F384B">
      <w:pPr>
        <w:rPr>
          <w:rFonts w:ascii="Georgia" w:hAnsi="Georgia"/>
          <w:sz w:val="24"/>
          <w:szCs w:val="24"/>
        </w:rPr>
      </w:pPr>
    </w:p>
    <w:p w14:paraId="39256BBF" w14:textId="17F7B2D9" w:rsidR="000A0E61" w:rsidRPr="000B4054" w:rsidRDefault="00F91EAD" w:rsidP="000B4054">
      <w:pPr>
        <w:ind w:left="720"/>
        <w:rPr>
          <w:rFonts w:ascii="Georgia" w:hAnsi="Georgia"/>
        </w:rPr>
      </w:pPr>
      <w:r w:rsidRPr="000B4054">
        <w:rPr>
          <w:rFonts w:ascii="Georgia" w:hAnsi="Georgia"/>
          <w:i/>
          <w:iCs/>
        </w:rPr>
        <w:t>Given the uncertainty in Commission precedent as to whether these circumstances constitute “control” for purposes of Section 203 of the FPA, the Applicants</w:t>
      </w:r>
      <w:r w:rsidR="000B4054" w:rsidRPr="000B4054">
        <w:rPr>
          <w:rFonts w:ascii="Georgia" w:hAnsi="Georgia"/>
          <w:i/>
          <w:iCs/>
        </w:rPr>
        <w:t xml:space="preserve"> </w:t>
      </w:r>
      <w:r w:rsidRPr="000B4054">
        <w:rPr>
          <w:rFonts w:ascii="Georgia" w:hAnsi="Georgia"/>
          <w:i/>
          <w:iCs/>
        </w:rPr>
        <w:t xml:space="preserve">respectfully request out of an abundance of caution that the Commission assume, </w:t>
      </w:r>
      <w:r w:rsidRPr="000B4054">
        <w:rPr>
          <w:rFonts w:ascii="Georgia" w:hAnsi="Georgia"/>
          <w:b/>
          <w:bCs/>
          <w:i/>
          <w:iCs/>
        </w:rPr>
        <w:t>without</w:t>
      </w:r>
      <w:r w:rsidR="000B4054" w:rsidRPr="000B4054">
        <w:rPr>
          <w:rFonts w:ascii="Georgia" w:hAnsi="Georgia"/>
          <w:b/>
          <w:bCs/>
          <w:i/>
          <w:iCs/>
        </w:rPr>
        <w:t xml:space="preserve"> </w:t>
      </w:r>
      <w:r w:rsidRPr="000B4054">
        <w:rPr>
          <w:rFonts w:ascii="Georgia" w:hAnsi="Georgia"/>
          <w:b/>
          <w:bCs/>
          <w:i/>
          <w:iCs/>
        </w:rPr>
        <w:t>deciding</w:t>
      </w:r>
      <w:r w:rsidRPr="000B4054">
        <w:rPr>
          <w:rFonts w:ascii="Georgia" w:hAnsi="Georgia"/>
          <w:i/>
          <w:iCs/>
        </w:rPr>
        <w:t>, that it has jurisdiction and authorize the Proposed Transaction</w:t>
      </w:r>
      <w:r w:rsidR="000B4054" w:rsidRPr="000B4054">
        <w:rPr>
          <w:rFonts w:ascii="Georgia" w:hAnsi="Georgia"/>
          <w:i/>
          <w:iCs/>
        </w:rPr>
        <w:t>.</w:t>
      </w:r>
      <w:r w:rsidR="000B4054">
        <w:rPr>
          <w:rFonts w:ascii="Georgia" w:hAnsi="Georgia"/>
        </w:rPr>
        <w:t xml:space="preserve"> [emphasis added]</w:t>
      </w:r>
      <w:r w:rsidR="00307E49">
        <w:rPr>
          <w:rStyle w:val="FootnoteReference"/>
          <w:rFonts w:ascii="Georgia" w:hAnsi="Georgia"/>
        </w:rPr>
        <w:footnoteReference w:id="7"/>
      </w:r>
    </w:p>
    <w:p w14:paraId="5CB21BC7" w14:textId="77777777" w:rsidR="00444BDF" w:rsidRPr="002D2FF8" w:rsidRDefault="00444BDF" w:rsidP="00444BDF">
      <w:pPr>
        <w:rPr>
          <w:rFonts w:ascii="Georgia" w:hAnsi="Georgia"/>
          <w:sz w:val="24"/>
          <w:szCs w:val="24"/>
        </w:rPr>
      </w:pPr>
    </w:p>
    <w:p w14:paraId="5C29FE25" w14:textId="1BC17472" w:rsidR="00444BDF" w:rsidRDefault="009E6ECE" w:rsidP="00115469">
      <w:pPr>
        <w:spacing w:line="360" w:lineRule="auto"/>
        <w:rPr>
          <w:rFonts w:ascii="Georgia" w:hAnsi="Georgia"/>
          <w:sz w:val="24"/>
          <w:szCs w:val="24"/>
        </w:rPr>
      </w:pPr>
      <w:r>
        <w:rPr>
          <w:rFonts w:ascii="Georgia" w:hAnsi="Georgia"/>
          <w:sz w:val="24"/>
          <w:szCs w:val="24"/>
        </w:rPr>
        <w:tab/>
        <w:t>Contrary</w:t>
      </w:r>
      <w:r w:rsidR="00C56CD1">
        <w:rPr>
          <w:rFonts w:ascii="Georgia" w:hAnsi="Georgia"/>
          <w:sz w:val="24"/>
          <w:szCs w:val="24"/>
        </w:rPr>
        <w:t xml:space="preserve"> to the </w:t>
      </w:r>
      <w:r w:rsidR="00057A57">
        <w:rPr>
          <w:rFonts w:ascii="Georgia" w:hAnsi="Georgia"/>
          <w:sz w:val="24"/>
          <w:szCs w:val="24"/>
        </w:rPr>
        <w:t>assertion</w:t>
      </w:r>
      <w:r w:rsidR="00C56CD1">
        <w:rPr>
          <w:rFonts w:ascii="Georgia" w:hAnsi="Georgia"/>
          <w:sz w:val="24"/>
          <w:szCs w:val="24"/>
        </w:rPr>
        <w:t xml:space="preserve"> by FirstEnergy Corp., there is no “uncertainty” about whether the Commission</w:t>
      </w:r>
      <w:r w:rsidR="004A6864">
        <w:rPr>
          <w:rFonts w:ascii="Georgia" w:hAnsi="Georgia"/>
          <w:sz w:val="24"/>
          <w:szCs w:val="24"/>
        </w:rPr>
        <w:t xml:space="preserve"> can determine that the Icahn Group has “control” of FirstEnergy Corp.</w:t>
      </w:r>
      <w:r w:rsidR="00057A57">
        <w:rPr>
          <w:rFonts w:ascii="Georgia" w:hAnsi="Georgia"/>
          <w:sz w:val="24"/>
          <w:szCs w:val="24"/>
        </w:rPr>
        <w:t xml:space="preserve"> Commission regulations</w:t>
      </w:r>
      <w:r w:rsidR="002D15A6">
        <w:rPr>
          <w:rFonts w:ascii="Georgia" w:hAnsi="Georgia"/>
          <w:sz w:val="24"/>
          <w:szCs w:val="24"/>
        </w:rPr>
        <w:t xml:space="preserve"> at </w:t>
      </w:r>
      <w:r w:rsidR="002D15A6" w:rsidRPr="00B12A48">
        <w:rPr>
          <w:rFonts w:ascii="Georgia" w:hAnsi="Georgia"/>
          <w:sz w:val="24"/>
          <w:szCs w:val="24"/>
        </w:rPr>
        <w:t>18 CFR § 35.36(a)(9)(iii)</w:t>
      </w:r>
      <w:r w:rsidR="00057A57">
        <w:rPr>
          <w:rFonts w:ascii="Georgia" w:hAnsi="Georgia"/>
          <w:sz w:val="24"/>
          <w:szCs w:val="24"/>
        </w:rPr>
        <w:t xml:space="preserve"> are clear</w:t>
      </w:r>
      <w:r w:rsidR="002D2A8C">
        <w:rPr>
          <w:rFonts w:ascii="Georgia" w:hAnsi="Georgia"/>
          <w:sz w:val="24"/>
          <w:szCs w:val="24"/>
        </w:rPr>
        <w:t>.</w:t>
      </w:r>
    </w:p>
    <w:p w14:paraId="58366EF8" w14:textId="6682FFFD" w:rsidR="00057A57" w:rsidRDefault="004A6864" w:rsidP="00115469">
      <w:pPr>
        <w:spacing w:line="360" w:lineRule="auto"/>
        <w:rPr>
          <w:rFonts w:ascii="Georgia" w:hAnsi="Georgia"/>
          <w:sz w:val="24"/>
          <w:szCs w:val="24"/>
        </w:rPr>
      </w:pPr>
      <w:r>
        <w:rPr>
          <w:rFonts w:ascii="Georgia" w:hAnsi="Georgia"/>
          <w:sz w:val="24"/>
          <w:szCs w:val="24"/>
        </w:rPr>
        <w:tab/>
      </w:r>
      <w:r w:rsidR="001379F0" w:rsidRPr="001379F0">
        <w:rPr>
          <w:rFonts w:ascii="Georgia" w:hAnsi="Georgia"/>
          <w:sz w:val="24"/>
          <w:szCs w:val="24"/>
        </w:rPr>
        <w:t xml:space="preserve">18 CFR § 35.36 (a)(9)(v) states that any entity </w:t>
      </w:r>
      <w:r w:rsidR="001379F0">
        <w:rPr>
          <w:rFonts w:ascii="Georgia" w:hAnsi="Georgia"/>
          <w:sz w:val="24"/>
          <w:szCs w:val="24"/>
        </w:rPr>
        <w:t>“</w:t>
      </w:r>
      <w:r w:rsidR="001379F0" w:rsidRPr="001379F0">
        <w:rPr>
          <w:rFonts w:ascii="Georgia" w:hAnsi="Georgia"/>
          <w:sz w:val="24"/>
          <w:szCs w:val="24"/>
        </w:rPr>
        <w:t>owning, controlling or holding with power to vote, less than 10 percent of the outstanding voting securities of a specified company creates a rebuttable presumption of lack of control.</w:t>
      </w:r>
      <w:r w:rsidR="001379F0">
        <w:rPr>
          <w:rFonts w:ascii="Georgia" w:hAnsi="Georgia"/>
          <w:sz w:val="24"/>
          <w:szCs w:val="24"/>
        </w:rPr>
        <w:t>”</w:t>
      </w:r>
      <w:r w:rsidR="00DC7731">
        <w:rPr>
          <w:rFonts w:ascii="Georgia" w:hAnsi="Georgia"/>
          <w:sz w:val="24"/>
          <w:szCs w:val="24"/>
        </w:rPr>
        <w:t xml:space="preserve"> </w:t>
      </w:r>
      <w:r w:rsidR="00C153B0">
        <w:rPr>
          <w:rFonts w:ascii="Georgia" w:hAnsi="Georgia"/>
          <w:sz w:val="24"/>
          <w:szCs w:val="24"/>
        </w:rPr>
        <w:t xml:space="preserve">Affiliates of Carl C. Icahn not only </w:t>
      </w:r>
      <w:r w:rsidR="0054202E">
        <w:rPr>
          <w:rFonts w:ascii="Georgia" w:hAnsi="Georgia"/>
          <w:sz w:val="24"/>
          <w:szCs w:val="24"/>
        </w:rPr>
        <w:t>own less than 10%, but rather their holdings of FirstEnergy stock appear to be closer to 3</w:t>
      </w:r>
      <w:r w:rsidR="005E6330">
        <w:rPr>
          <w:rFonts w:ascii="Georgia" w:hAnsi="Georgia"/>
          <w:sz w:val="24"/>
          <w:szCs w:val="24"/>
        </w:rPr>
        <w:t>.5</w:t>
      </w:r>
      <w:r w:rsidR="0054202E">
        <w:rPr>
          <w:rFonts w:ascii="Georgia" w:hAnsi="Georgia"/>
          <w:sz w:val="24"/>
          <w:szCs w:val="24"/>
        </w:rPr>
        <w:t xml:space="preserve">% of outstanding shares. </w:t>
      </w:r>
    </w:p>
    <w:p w14:paraId="22F088CD" w14:textId="7D109E3C" w:rsidR="004A6864" w:rsidRDefault="0054202E" w:rsidP="00115469">
      <w:pPr>
        <w:spacing w:line="360" w:lineRule="auto"/>
        <w:ind w:firstLine="720"/>
        <w:rPr>
          <w:rFonts w:ascii="Georgia" w:hAnsi="Georgia"/>
          <w:sz w:val="24"/>
          <w:szCs w:val="24"/>
        </w:rPr>
      </w:pPr>
      <w:r>
        <w:rPr>
          <w:rFonts w:ascii="Georgia" w:hAnsi="Georgia"/>
          <w:sz w:val="24"/>
          <w:szCs w:val="24"/>
        </w:rPr>
        <w:lastRenderedPageBreak/>
        <w:t xml:space="preserve">Despite owning </w:t>
      </w:r>
      <w:r w:rsidR="00057A57">
        <w:rPr>
          <w:rFonts w:ascii="Georgia" w:hAnsi="Georgia"/>
          <w:sz w:val="24"/>
          <w:szCs w:val="24"/>
        </w:rPr>
        <w:t>only about 3</w:t>
      </w:r>
      <w:r w:rsidR="005E6330">
        <w:rPr>
          <w:rFonts w:ascii="Georgia" w:hAnsi="Georgia"/>
          <w:sz w:val="24"/>
          <w:szCs w:val="24"/>
        </w:rPr>
        <w:t>.5</w:t>
      </w:r>
      <w:r w:rsidR="00057A57">
        <w:rPr>
          <w:rFonts w:ascii="Georgia" w:hAnsi="Georgia"/>
          <w:sz w:val="24"/>
          <w:szCs w:val="24"/>
        </w:rPr>
        <w:t xml:space="preserve">% of FirstEnergy’s stock, Mr. Icahn </w:t>
      </w:r>
      <w:r w:rsidR="002D2A8C">
        <w:rPr>
          <w:rFonts w:ascii="Georgia" w:hAnsi="Georgia"/>
          <w:sz w:val="24"/>
          <w:szCs w:val="24"/>
        </w:rPr>
        <w:t xml:space="preserve">is able to </w:t>
      </w:r>
      <w:r w:rsidR="00A045F4">
        <w:rPr>
          <w:rFonts w:ascii="Georgia" w:hAnsi="Georgia"/>
          <w:sz w:val="24"/>
          <w:szCs w:val="24"/>
        </w:rPr>
        <w:t>wield</w:t>
      </w:r>
      <w:r w:rsidR="002D2A8C">
        <w:rPr>
          <w:rFonts w:ascii="Georgia" w:hAnsi="Georgia"/>
          <w:sz w:val="24"/>
          <w:szCs w:val="24"/>
        </w:rPr>
        <w:t xml:space="preserve"> enough influence with FirstEnergy’s board and management to successfully install two new board members.</w:t>
      </w:r>
    </w:p>
    <w:p w14:paraId="083C718D" w14:textId="4978CC71" w:rsidR="002D2A8C" w:rsidRDefault="00B12A48" w:rsidP="00115469">
      <w:pPr>
        <w:spacing w:line="360" w:lineRule="auto"/>
        <w:ind w:firstLine="720"/>
        <w:rPr>
          <w:rFonts w:ascii="Georgia" w:hAnsi="Georgia"/>
          <w:sz w:val="24"/>
          <w:szCs w:val="24"/>
        </w:rPr>
      </w:pPr>
      <w:r w:rsidRPr="00B12A48">
        <w:rPr>
          <w:rFonts w:ascii="Georgia" w:hAnsi="Georgia"/>
          <w:sz w:val="24"/>
          <w:szCs w:val="24"/>
        </w:rPr>
        <w:t xml:space="preserve">18 CFR § 35.36(a)(9)(iii) states that </w:t>
      </w:r>
      <w:r w:rsidR="002D15A6">
        <w:rPr>
          <w:rFonts w:ascii="Georgia" w:hAnsi="Georgia"/>
          <w:sz w:val="24"/>
          <w:szCs w:val="24"/>
        </w:rPr>
        <w:t>“</w:t>
      </w:r>
      <w:r w:rsidRPr="00B12A48">
        <w:rPr>
          <w:rFonts w:ascii="Georgia" w:hAnsi="Georgia"/>
          <w:sz w:val="24"/>
          <w:szCs w:val="24"/>
        </w:rPr>
        <w:t>Any person or class of persons that the Commission determines, after appropriate notice and opportunity for hearing, to stand in such relation to the specified company that there is liable to be an absence of arm</w:t>
      </w:r>
      <w:r w:rsidR="002D15A6">
        <w:rPr>
          <w:rFonts w:ascii="Georgia" w:hAnsi="Georgia"/>
          <w:sz w:val="24"/>
          <w:szCs w:val="24"/>
        </w:rPr>
        <w:t>’</w:t>
      </w:r>
      <w:r w:rsidRPr="00B12A48">
        <w:rPr>
          <w:rFonts w:ascii="Georgia" w:hAnsi="Georgia"/>
          <w:sz w:val="24"/>
          <w:szCs w:val="24"/>
        </w:rPr>
        <w:t>s-length bargaining in transactions between them as to make it necessary or appropriate in the public interest or for the protection of investors or consumers that the person be treated as an affiliate.</w:t>
      </w:r>
      <w:r w:rsidR="002D15A6">
        <w:rPr>
          <w:rFonts w:ascii="Georgia" w:hAnsi="Georgia"/>
          <w:sz w:val="24"/>
          <w:szCs w:val="24"/>
        </w:rPr>
        <w:t>”</w:t>
      </w:r>
      <w:r w:rsidR="00E33B6B">
        <w:rPr>
          <w:rFonts w:ascii="Georgia" w:hAnsi="Georgia"/>
          <w:sz w:val="24"/>
          <w:szCs w:val="24"/>
        </w:rPr>
        <w:t xml:space="preserve"> It is clear that </w:t>
      </w:r>
      <w:r w:rsidR="00982B7B">
        <w:rPr>
          <w:rFonts w:ascii="Georgia" w:hAnsi="Georgia"/>
          <w:sz w:val="24"/>
          <w:szCs w:val="24"/>
        </w:rPr>
        <w:t xml:space="preserve">the ability of Mr. Icahn’s affiliates to obtain two voting representatives on FirstEnergy’s board of directors constitutes clear control </w:t>
      </w:r>
      <w:r w:rsidR="009B7212">
        <w:rPr>
          <w:rFonts w:ascii="Georgia" w:hAnsi="Georgia"/>
          <w:sz w:val="24"/>
          <w:szCs w:val="24"/>
        </w:rPr>
        <w:t>and Mr. Icahn and his companies must be deemed to be affiliates.</w:t>
      </w:r>
    </w:p>
    <w:p w14:paraId="51BE5A16" w14:textId="46D78E5C" w:rsidR="00AC343E" w:rsidRDefault="009B7212" w:rsidP="00D032A2">
      <w:pPr>
        <w:spacing w:line="360" w:lineRule="auto"/>
        <w:ind w:firstLine="720"/>
        <w:rPr>
          <w:rFonts w:ascii="Georgia" w:hAnsi="Georgia"/>
          <w:sz w:val="24"/>
          <w:szCs w:val="24"/>
        </w:rPr>
      </w:pPr>
      <w:r>
        <w:rPr>
          <w:rFonts w:ascii="Georgia" w:hAnsi="Georgia"/>
          <w:sz w:val="24"/>
          <w:szCs w:val="24"/>
        </w:rPr>
        <w:t xml:space="preserve">In addition, </w:t>
      </w:r>
      <w:r w:rsidR="00533412">
        <w:rPr>
          <w:rFonts w:ascii="Georgia" w:hAnsi="Georgia"/>
          <w:sz w:val="24"/>
          <w:szCs w:val="24"/>
        </w:rPr>
        <w:t xml:space="preserve">we challenge the claim made in </w:t>
      </w:r>
      <w:r>
        <w:rPr>
          <w:rFonts w:ascii="Georgia" w:hAnsi="Georgia"/>
          <w:sz w:val="24"/>
          <w:szCs w:val="24"/>
        </w:rPr>
        <w:t>the Application that</w:t>
      </w:r>
      <w:r w:rsidR="00533412">
        <w:rPr>
          <w:rFonts w:ascii="Georgia" w:hAnsi="Georgia"/>
          <w:sz w:val="24"/>
          <w:szCs w:val="24"/>
        </w:rPr>
        <w:t xml:space="preserve"> Icahn’s two board designees “</w:t>
      </w:r>
      <w:r w:rsidR="00444BDF" w:rsidRPr="002D2FF8">
        <w:rPr>
          <w:rFonts w:ascii="Georgia" w:hAnsi="Georgia"/>
          <w:sz w:val="24"/>
          <w:szCs w:val="24"/>
        </w:rPr>
        <w:t xml:space="preserve">shall in no event be deemed to constitute the exercise of </w:t>
      </w:r>
      <w:r w:rsidR="00444BDF" w:rsidRPr="00B2729F">
        <w:rPr>
          <w:rFonts w:ascii="Georgia" w:hAnsi="Georgia"/>
          <w:b/>
          <w:bCs/>
          <w:i/>
          <w:iCs/>
          <w:sz w:val="24"/>
          <w:szCs w:val="24"/>
        </w:rPr>
        <w:t>substantial</w:t>
      </w:r>
      <w:r w:rsidR="00533412" w:rsidRPr="00B2729F">
        <w:rPr>
          <w:rFonts w:ascii="Georgia" w:hAnsi="Georgia"/>
          <w:b/>
          <w:bCs/>
          <w:i/>
          <w:iCs/>
          <w:sz w:val="24"/>
          <w:szCs w:val="24"/>
        </w:rPr>
        <w:t xml:space="preserve"> </w:t>
      </w:r>
      <w:r w:rsidR="00444BDF" w:rsidRPr="002D2FF8">
        <w:rPr>
          <w:rFonts w:ascii="Georgia" w:hAnsi="Georgia"/>
          <w:sz w:val="24"/>
          <w:szCs w:val="24"/>
        </w:rPr>
        <w:t>influence or control over FirstEnergy or any of its subsidiaries</w:t>
      </w:r>
      <w:r w:rsidR="00533412">
        <w:rPr>
          <w:rFonts w:ascii="Georgia" w:hAnsi="Georgia"/>
          <w:sz w:val="24"/>
          <w:szCs w:val="24"/>
        </w:rPr>
        <w:t>.</w:t>
      </w:r>
      <w:r w:rsidR="00444BDF" w:rsidRPr="002D2FF8">
        <w:rPr>
          <w:rFonts w:ascii="Georgia" w:hAnsi="Georgia"/>
          <w:sz w:val="24"/>
          <w:szCs w:val="24"/>
        </w:rPr>
        <w:t>”</w:t>
      </w:r>
      <w:r w:rsidR="00B2729F">
        <w:rPr>
          <w:rFonts w:ascii="Georgia" w:hAnsi="Georgia"/>
          <w:sz w:val="24"/>
          <w:szCs w:val="24"/>
        </w:rPr>
        <w:t xml:space="preserve"> [emphasis added]</w:t>
      </w:r>
      <w:r w:rsidR="00533412">
        <w:rPr>
          <w:rStyle w:val="FootnoteReference"/>
          <w:rFonts w:ascii="Georgia" w:hAnsi="Georgia"/>
          <w:sz w:val="24"/>
          <w:szCs w:val="24"/>
        </w:rPr>
        <w:footnoteReference w:id="8"/>
      </w:r>
      <w:r w:rsidR="0083787B">
        <w:rPr>
          <w:rFonts w:ascii="Georgia" w:hAnsi="Georgia"/>
          <w:sz w:val="24"/>
          <w:szCs w:val="24"/>
        </w:rPr>
        <w:t xml:space="preserve"> This is contradicted by public reports. Last month, the </w:t>
      </w:r>
      <w:r w:rsidR="0083787B" w:rsidRPr="000C222E">
        <w:rPr>
          <w:rFonts w:ascii="Georgia" w:hAnsi="Georgia"/>
          <w:i/>
          <w:iCs/>
          <w:sz w:val="24"/>
          <w:szCs w:val="24"/>
        </w:rPr>
        <w:t>Wall Street Journal</w:t>
      </w:r>
      <w:r w:rsidR="0083787B">
        <w:rPr>
          <w:rFonts w:ascii="Georgia" w:hAnsi="Georgia"/>
          <w:sz w:val="24"/>
          <w:szCs w:val="24"/>
        </w:rPr>
        <w:t xml:space="preserve"> reported that </w:t>
      </w:r>
      <w:r w:rsidR="000C222E">
        <w:rPr>
          <w:rFonts w:ascii="Georgia" w:hAnsi="Georgia"/>
          <w:sz w:val="24"/>
          <w:szCs w:val="24"/>
        </w:rPr>
        <w:t>“</w:t>
      </w:r>
      <w:r w:rsidR="000C222E" w:rsidRPr="000C222E">
        <w:rPr>
          <w:rFonts w:ascii="Georgia" w:hAnsi="Georgia"/>
          <w:sz w:val="24"/>
          <w:szCs w:val="24"/>
        </w:rPr>
        <w:t>Mr. Icahn took a stake in FirstEnergy with an eye toward pushing it to quickly settle litigation related to the</w:t>
      </w:r>
      <w:r w:rsidR="000C222E">
        <w:rPr>
          <w:rFonts w:ascii="Georgia" w:hAnsi="Georgia"/>
          <w:sz w:val="24"/>
          <w:szCs w:val="24"/>
        </w:rPr>
        <w:t xml:space="preserve">” company’s </w:t>
      </w:r>
      <w:r w:rsidR="00756382">
        <w:rPr>
          <w:rFonts w:ascii="Georgia" w:hAnsi="Georgia"/>
          <w:sz w:val="24"/>
          <w:szCs w:val="24"/>
        </w:rPr>
        <w:t>criminal bribery scandal</w:t>
      </w:r>
      <w:r w:rsidR="000372AF">
        <w:rPr>
          <w:rFonts w:ascii="Georgia" w:hAnsi="Georgia"/>
          <w:sz w:val="24"/>
          <w:szCs w:val="24"/>
        </w:rPr>
        <w:t xml:space="preserve">, </w:t>
      </w:r>
      <w:r w:rsidR="0007553F">
        <w:rPr>
          <w:rFonts w:ascii="Georgia" w:hAnsi="Georgia"/>
          <w:sz w:val="24"/>
          <w:szCs w:val="24"/>
        </w:rPr>
        <w:t>and that</w:t>
      </w:r>
      <w:r w:rsidR="000372AF">
        <w:rPr>
          <w:rFonts w:ascii="Georgia" w:hAnsi="Georgia"/>
          <w:sz w:val="24"/>
          <w:szCs w:val="24"/>
        </w:rPr>
        <w:t xml:space="preserve"> “t</w:t>
      </w:r>
      <w:r w:rsidR="000372AF" w:rsidRPr="000372AF">
        <w:rPr>
          <w:rFonts w:ascii="Georgia" w:hAnsi="Georgia"/>
          <w:sz w:val="24"/>
          <w:szCs w:val="24"/>
        </w:rPr>
        <w:t xml:space="preserve">wo employees of the billionaire activist’s firm, Jesse Lynn and Andrew </w:t>
      </w:r>
      <w:proofErr w:type="spellStart"/>
      <w:r w:rsidR="000372AF" w:rsidRPr="000372AF">
        <w:rPr>
          <w:rFonts w:ascii="Georgia" w:hAnsi="Georgia"/>
          <w:sz w:val="24"/>
          <w:szCs w:val="24"/>
        </w:rPr>
        <w:t>Teno</w:t>
      </w:r>
      <w:proofErr w:type="spellEnd"/>
      <w:r w:rsidR="000372AF" w:rsidRPr="000372AF">
        <w:rPr>
          <w:rFonts w:ascii="Georgia" w:hAnsi="Georgia"/>
          <w:sz w:val="24"/>
          <w:szCs w:val="24"/>
        </w:rPr>
        <w:t>, will join FirstEnergy’s board and serve on committees focused on helping the company improve its compliance and settle litigation</w:t>
      </w:r>
      <w:r w:rsidR="00756382">
        <w:rPr>
          <w:rFonts w:ascii="Georgia" w:hAnsi="Georgia"/>
          <w:sz w:val="24"/>
          <w:szCs w:val="24"/>
        </w:rPr>
        <w:t>.</w:t>
      </w:r>
      <w:r w:rsidR="00756382">
        <w:rPr>
          <w:rStyle w:val="FootnoteReference"/>
          <w:rFonts w:ascii="Georgia" w:hAnsi="Georgia"/>
          <w:sz w:val="24"/>
          <w:szCs w:val="24"/>
        </w:rPr>
        <w:footnoteReference w:id="9"/>
      </w:r>
      <w:r w:rsidR="003105C7">
        <w:rPr>
          <w:rFonts w:ascii="Georgia" w:hAnsi="Georgia"/>
          <w:sz w:val="24"/>
          <w:szCs w:val="24"/>
        </w:rPr>
        <w:t xml:space="preserve"> Just days ago, FirstEnergy announced that</w:t>
      </w:r>
      <w:r w:rsidR="00BD093C">
        <w:rPr>
          <w:rFonts w:ascii="Georgia" w:hAnsi="Georgia"/>
          <w:sz w:val="24"/>
          <w:szCs w:val="24"/>
        </w:rPr>
        <w:t xml:space="preserve"> it was close to a deal to settle litigation related to the criminal bribery probe.</w:t>
      </w:r>
      <w:r w:rsidR="00BD093C">
        <w:rPr>
          <w:rStyle w:val="FootnoteReference"/>
          <w:rFonts w:ascii="Georgia" w:hAnsi="Georgia"/>
          <w:sz w:val="24"/>
          <w:szCs w:val="24"/>
        </w:rPr>
        <w:footnoteReference w:id="10"/>
      </w:r>
      <w:r w:rsidR="0007553F">
        <w:rPr>
          <w:rFonts w:ascii="Georgia" w:hAnsi="Georgia"/>
          <w:sz w:val="24"/>
          <w:szCs w:val="24"/>
        </w:rPr>
        <w:t xml:space="preserve"> Icahn’s interactions with FirstEnergy’s management</w:t>
      </w:r>
      <w:r w:rsidR="00D032A2">
        <w:rPr>
          <w:rFonts w:ascii="Georgia" w:hAnsi="Georgia"/>
          <w:sz w:val="24"/>
          <w:szCs w:val="24"/>
        </w:rPr>
        <w:t xml:space="preserve"> are clearly resulting in “substantial influence” and “control over FirstEnergy”.</w:t>
      </w:r>
    </w:p>
    <w:p w14:paraId="78303BE0" w14:textId="7F3F9BFE" w:rsidR="00952A51" w:rsidRDefault="006D46C4" w:rsidP="00D032A2">
      <w:pPr>
        <w:spacing w:line="360" w:lineRule="auto"/>
        <w:ind w:firstLine="720"/>
        <w:rPr>
          <w:rFonts w:ascii="Georgia" w:hAnsi="Georgia"/>
          <w:sz w:val="24"/>
          <w:szCs w:val="24"/>
        </w:rPr>
      </w:pPr>
      <w:r>
        <w:rPr>
          <w:rFonts w:ascii="Georgia" w:hAnsi="Georgia"/>
          <w:sz w:val="24"/>
          <w:szCs w:val="24"/>
        </w:rPr>
        <w:t>Finally, Commission regulations stipulate that, “</w:t>
      </w:r>
      <w:r w:rsidRPr="008072F9">
        <w:rPr>
          <w:rFonts w:ascii="Georgia" w:hAnsi="Georgia"/>
          <w:sz w:val="24"/>
          <w:szCs w:val="24"/>
        </w:rPr>
        <w:t xml:space="preserve">Where the affected state commissions do not have authority to act on the transaction, the Commission may set </w:t>
      </w:r>
      <w:r w:rsidRPr="00CF1529">
        <w:rPr>
          <w:rFonts w:ascii="Georgia" w:hAnsi="Georgia"/>
          <w:sz w:val="24"/>
          <w:szCs w:val="24"/>
        </w:rPr>
        <w:t>for hearing the issue of whether the transaction would impair effective state</w:t>
      </w:r>
      <w:r w:rsidRPr="008072F9">
        <w:rPr>
          <w:rFonts w:ascii="Georgia" w:hAnsi="Georgia"/>
          <w:sz w:val="24"/>
          <w:szCs w:val="24"/>
        </w:rPr>
        <w:t xml:space="preserve"> </w:t>
      </w:r>
      <w:r w:rsidRPr="008072F9">
        <w:rPr>
          <w:rFonts w:ascii="Georgia" w:hAnsi="Georgia"/>
          <w:sz w:val="24"/>
          <w:szCs w:val="24"/>
        </w:rPr>
        <w:lastRenderedPageBreak/>
        <w:t>regulation.</w:t>
      </w:r>
      <w:r>
        <w:rPr>
          <w:rFonts w:ascii="Georgia" w:hAnsi="Georgia"/>
          <w:sz w:val="24"/>
          <w:szCs w:val="24"/>
        </w:rPr>
        <w:t>”</w:t>
      </w:r>
      <w:r>
        <w:rPr>
          <w:rStyle w:val="FootnoteReference"/>
          <w:rFonts w:ascii="Georgia" w:hAnsi="Georgia"/>
          <w:sz w:val="24"/>
          <w:szCs w:val="24"/>
        </w:rPr>
        <w:footnoteReference w:id="11"/>
      </w:r>
      <w:r w:rsidR="00037EA2">
        <w:rPr>
          <w:rFonts w:ascii="Georgia" w:hAnsi="Georgia"/>
          <w:sz w:val="24"/>
          <w:szCs w:val="24"/>
        </w:rPr>
        <w:t xml:space="preserve"> </w:t>
      </w:r>
      <w:r w:rsidR="00E0274D">
        <w:rPr>
          <w:rFonts w:ascii="Georgia" w:hAnsi="Georgia"/>
          <w:sz w:val="24"/>
          <w:szCs w:val="24"/>
        </w:rPr>
        <w:t xml:space="preserve">The Application is silent on whether the transaction is subject to review and approval by </w:t>
      </w:r>
      <w:r w:rsidR="00F37235">
        <w:rPr>
          <w:rFonts w:ascii="Georgia" w:hAnsi="Georgia"/>
          <w:sz w:val="24"/>
          <w:szCs w:val="24"/>
        </w:rPr>
        <w:t xml:space="preserve">any of the five state utility regulators with jurisdiction over FirstEnergy’s franchised </w:t>
      </w:r>
      <w:r w:rsidR="00550557">
        <w:rPr>
          <w:rFonts w:ascii="Georgia" w:hAnsi="Georgia"/>
          <w:sz w:val="24"/>
          <w:szCs w:val="24"/>
        </w:rPr>
        <w:t>utilities</w:t>
      </w:r>
      <w:r w:rsidR="002366CD">
        <w:rPr>
          <w:rFonts w:ascii="Georgia" w:hAnsi="Georgia"/>
          <w:sz w:val="24"/>
          <w:szCs w:val="24"/>
        </w:rPr>
        <w:t xml:space="preserve"> </w:t>
      </w:r>
      <w:r w:rsidR="00123B0C">
        <w:rPr>
          <w:rFonts w:ascii="Georgia" w:hAnsi="Georgia"/>
          <w:sz w:val="24"/>
          <w:szCs w:val="24"/>
        </w:rPr>
        <w:t>(</w:t>
      </w:r>
      <w:r w:rsidR="00123B0C" w:rsidRPr="00123B0C">
        <w:rPr>
          <w:rFonts w:ascii="Georgia" w:hAnsi="Georgia"/>
          <w:sz w:val="24"/>
          <w:szCs w:val="24"/>
        </w:rPr>
        <w:t>Maryland, New Jersey, Ohio, Pennsylvania and West Virginia</w:t>
      </w:r>
      <w:r w:rsidR="002C22B3">
        <w:rPr>
          <w:rFonts w:ascii="Georgia" w:hAnsi="Georgia"/>
          <w:sz w:val="24"/>
          <w:szCs w:val="24"/>
        </w:rPr>
        <w:t>)</w:t>
      </w:r>
      <w:r w:rsidR="00550557">
        <w:rPr>
          <w:rFonts w:ascii="Georgia" w:hAnsi="Georgia"/>
          <w:sz w:val="24"/>
          <w:szCs w:val="24"/>
        </w:rPr>
        <w:t xml:space="preserve">. For example, </w:t>
      </w:r>
      <w:r w:rsidR="000F300C">
        <w:rPr>
          <w:rFonts w:ascii="Georgia" w:hAnsi="Georgia"/>
          <w:sz w:val="24"/>
          <w:szCs w:val="24"/>
        </w:rPr>
        <w:t xml:space="preserve">Ohio Code appears to suggest that </w:t>
      </w:r>
      <w:r w:rsidR="00792BA0">
        <w:rPr>
          <w:rFonts w:ascii="Georgia" w:hAnsi="Georgia"/>
          <w:sz w:val="24"/>
          <w:szCs w:val="24"/>
        </w:rPr>
        <w:t xml:space="preserve">the </w:t>
      </w:r>
      <w:r w:rsidR="00792BA0" w:rsidRPr="002F2CCC">
        <w:rPr>
          <w:rFonts w:ascii="Georgia" w:hAnsi="Georgia"/>
          <w:sz w:val="24"/>
          <w:szCs w:val="24"/>
        </w:rPr>
        <w:t>Public Utilities Commission of Ohio</w:t>
      </w:r>
      <w:r w:rsidR="00792BA0">
        <w:rPr>
          <w:rFonts w:ascii="Georgia" w:hAnsi="Georgia"/>
          <w:sz w:val="24"/>
          <w:szCs w:val="24"/>
        </w:rPr>
        <w:t xml:space="preserve"> (</w:t>
      </w:r>
      <w:r w:rsidR="00924243">
        <w:rPr>
          <w:rFonts w:ascii="Georgia" w:hAnsi="Georgia"/>
          <w:sz w:val="24"/>
          <w:szCs w:val="24"/>
        </w:rPr>
        <w:t>PUCO</w:t>
      </w:r>
      <w:r w:rsidR="00792BA0">
        <w:rPr>
          <w:rFonts w:ascii="Georgia" w:hAnsi="Georgia"/>
          <w:sz w:val="24"/>
          <w:szCs w:val="24"/>
        </w:rPr>
        <w:t>)</w:t>
      </w:r>
      <w:r w:rsidR="00924243">
        <w:rPr>
          <w:rFonts w:ascii="Georgia" w:hAnsi="Georgia"/>
          <w:sz w:val="24"/>
          <w:szCs w:val="24"/>
        </w:rPr>
        <w:t xml:space="preserve"> is limited </w:t>
      </w:r>
      <w:r w:rsidR="005E6330">
        <w:rPr>
          <w:rFonts w:ascii="Georgia" w:hAnsi="Georgia"/>
          <w:sz w:val="24"/>
          <w:szCs w:val="24"/>
        </w:rPr>
        <w:t>to only</w:t>
      </w:r>
      <w:r w:rsidR="00EC1FA5">
        <w:rPr>
          <w:rFonts w:ascii="Georgia" w:hAnsi="Georgia"/>
          <w:sz w:val="24"/>
          <w:szCs w:val="24"/>
        </w:rPr>
        <w:t xml:space="preserve"> review</w:t>
      </w:r>
      <w:r w:rsidR="00995569">
        <w:rPr>
          <w:rFonts w:ascii="Georgia" w:hAnsi="Georgia"/>
          <w:sz w:val="24"/>
          <w:szCs w:val="24"/>
        </w:rPr>
        <w:t>ing</w:t>
      </w:r>
      <w:r w:rsidR="00EC1FA5">
        <w:rPr>
          <w:rFonts w:ascii="Georgia" w:hAnsi="Georgia"/>
          <w:sz w:val="24"/>
          <w:szCs w:val="24"/>
        </w:rPr>
        <w:t xml:space="preserve"> transactions involving entities that own 20% or more</w:t>
      </w:r>
      <w:r w:rsidR="00485C2C">
        <w:rPr>
          <w:rFonts w:ascii="Georgia" w:hAnsi="Georgia"/>
          <w:sz w:val="24"/>
          <w:szCs w:val="24"/>
        </w:rPr>
        <w:t xml:space="preserve"> of a </w:t>
      </w:r>
      <w:r w:rsidR="00054C8A">
        <w:rPr>
          <w:rFonts w:ascii="Georgia" w:hAnsi="Georgia"/>
          <w:sz w:val="24"/>
          <w:szCs w:val="24"/>
        </w:rPr>
        <w:t>jurisdictional</w:t>
      </w:r>
      <w:r w:rsidR="00485C2C">
        <w:rPr>
          <w:rFonts w:ascii="Georgia" w:hAnsi="Georgia"/>
          <w:sz w:val="24"/>
          <w:szCs w:val="24"/>
        </w:rPr>
        <w:t xml:space="preserve"> utility</w:t>
      </w:r>
      <w:r w:rsidR="006A7BF1">
        <w:rPr>
          <w:rStyle w:val="FootnoteReference"/>
          <w:rFonts w:ascii="Georgia" w:hAnsi="Georgia"/>
          <w:sz w:val="24"/>
          <w:szCs w:val="24"/>
        </w:rPr>
        <w:footnoteReference w:id="12"/>
      </w:r>
      <w:r w:rsidR="000A6923">
        <w:rPr>
          <w:rFonts w:ascii="Cambria" w:hAnsi="Cambria"/>
          <w:sz w:val="24"/>
          <w:szCs w:val="24"/>
        </w:rPr>
        <w:t>—</w:t>
      </w:r>
      <w:r w:rsidR="000A6923">
        <w:rPr>
          <w:rFonts w:ascii="Georgia" w:hAnsi="Georgia"/>
          <w:sz w:val="24"/>
          <w:szCs w:val="24"/>
        </w:rPr>
        <w:t>and Icahn’s affiliates appear to own only 3</w:t>
      </w:r>
      <w:r w:rsidR="005E6330">
        <w:rPr>
          <w:rFonts w:ascii="Georgia" w:hAnsi="Georgia"/>
          <w:sz w:val="24"/>
          <w:szCs w:val="24"/>
        </w:rPr>
        <w:t>.5</w:t>
      </w:r>
      <w:r w:rsidR="000A6923">
        <w:rPr>
          <w:rFonts w:ascii="Georgia" w:hAnsi="Georgia"/>
          <w:sz w:val="24"/>
          <w:szCs w:val="24"/>
        </w:rPr>
        <w:t>%.</w:t>
      </w:r>
      <w:r w:rsidR="00680FB2">
        <w:rPr>
          <w:rFonts w:ascii="Georgia" w:hAnsi="Georgia"/>
          <w:sz w:val="24"/>
          <w:szCs w:val="24"/>
        </w:rPr>
        <w:t xml:space="preserve"> </w:t>
      </w:r>
      <w:r w:rsidR="006F48B0">
        <w:rPr>
          <w:rFonts w:ascii="Georgia" w:hAnsi="Georgia"/>
          <w:sz w:val="24"/>
          <w:szCs w:val="24"/>
        </w:rPr>
        <w:t>As a result, there is no current</w:t>
      </w:r>
      <w:r w:rsidR="00143F4B">
        <w:rPr>
          <w:rFonts w:ascii="Georgia" w:hAnsi="Georgia"/>
          <w:sz w:val="24"/>
          <w:szCs w:val="24"/>
        </w:rPr>
        <w:t xml:space="preserve"> proceeding in Ohio to review the transaction. </w:t>
      </w:r>
      <w:r w:rsidR="002C22B3">
        <w:rPr>
          <w:rFonts w:ascii="Georgia" w:hAnsi="Georgia"/>
          <w:sz w:val="24"/>
          <w:szCs w:val="24"/>
        </w:rPr>
        <w:t>W</w:t>
      </w:r>
      <w:r w:rsidR="00290A85">
        <w:rPr>
          <w:rFonts w:ascii="Georgia" w:hAnsi="Georgia"/>
          <w:sz w:val="24"/>
          <w:szCs w:val="24"/>
        </w:rPr>
        <w:t>e</w:t>
      </w:r>
      <w:r w:rsidR="00C344E3">
        <w:rPr>
          <w:rFonts w:ascii="Georgia" w:hAnsi="Georgia"/>
          <w:sz w:val="24"/>
          <w:szCs w:val="24"/>
        </w:rPr>
        <w:t xml:space="preserve"> have </w:t>
      </w:r>
      <w:r w:rsidR="002C22B3">
        <w:rPr>
          <w:rFonts w:ascii="Georgia" w:hAnsi="Georgia"/>
          <w:sz w:val="24"/>
          <w:szCs w:val="24"/>
        </w:rPr>
        <w:t xml:space="preserve">additionally </w:t>
      </w:r>
      <w:r w:rsidR="00C344E3">
        <w:rPr>
          <w:rFonts w:ascii="Georgia" w:hAnsi="Georgia"/>
          <w:sz w:val="24"/>
          <w:szCs w:val="24"/>
        </w:rPr>
        <w:t>confirmed</w:t>
      </w:r>
      <w:r w:rsidR="00143F4B">
        <w:rPr>
          <w:rFonts w:ascii="Georgia" w:hAnsi="Georgia"/>
          <w:sz w:val="24"/>
          <w:szCs w:val="24"/>
        </w:rPr>
        <w:t xml:space="preserve"> that</w:t>
      </w:r>
      <w:r w:rsidR="004F76A3">
        <w:rPr>
          <w:rFonts w:ascii="Georgia" w:hAnsi="Georgia"/>
          <w:sz w:val="24"/>
          <w:szCs w:val="24"/>
        </w:rPr>
        <w:t xml:space="preserve"> none of the other four states have</w:t>
      </w:r>
      <w:r w:rsidR="00143F4B">
        <w:rPr>
          <w:rFonts w:ascii="Georgia" w:hAnsi="Georgia"/>
          <w:sz w:val="24"/>
          <w:szCs w:val="24"/>
        </w:rPr>
        <w:t xml:space="preserve"> current</w:t>
      </w:r>
      <w:r w:rsidR="002A7A48">
        <w:rPr>
          <w:rFonts w:ascii="Georgia" w:hAnsi="Georgia"/>
          <w:sz w:val="24"/>
          <w:szCs w:val="24"/>
        </w:rPr>
        <w:t xml:space="preserve"> or planned</w:t>
      </w:r>
      <w:r w:rsidR="00952A51">
        <w:rPr>
          <w:rFonts w:ascii="Georgia" w:hAnsi="Georgia"/>
          <w:sz w:val="24"/>
          <w:szCs w:val="24"/>
        </w:rPr>
        <w:t xml:space="preserve"> proceeding</w:t>
      </w:r>
      <w:r w:rsidR="004F76A3">
        <w:rPr>
          <w:rFonts w:ascii="Georgia" w:hAnsi="Georgia"/>
          <w:sz w:val="24"/>
          <w:szCs w:val="24"/>
        </w:rPr>
        <w:t>s</w:t>
      </w:r>
      <w:r w:rsidR="00952A51">
        <w:rPr>
          <w:rFonts w:ascii="Georgia" w:hAnsi="Georgia"/>
          <w:sz w:val="24"/>
          <w:szCs w:val="24"/>
        </w:rPr>
        <w:t xml:space="preserve"> underway to review the proposed </w:t>
      </w:r>
      <w:r w:rsidR="00C344E3">
        <w:rPr>
          <w:rFonts w:ascii="Georgia" w:hAnsi="Georgia"/>
          <w:sz w:val="24"/>
          <w:szCs w:val="24"/>
        </w:rPr>
        <w:t>transaction</w:t>
      </w:r>
      <w:r w:rsidR="002A7A48">
        <w:rPr>
          <w:rFonts w:ascii="Georgia" w:hAnsi="Georgia"/>
          <w:sz w:val="24"/>
          <w:szCs w:val="24"/>
        </w:rPr>
        <w:t>.</w:t>
      </w:r>
      <w:r w:rsidR="00952A51">
        <w:rPr>
          <w:rFonts w:ascii="Georgia" w:hAnsi="Georgia"/>
          <w:sz w:val="24"/>
          <w:szCs w:val="24"/>
        </w:rPr>
        <w:t xml:space="preserve"> </w:t>
      </w:r>
    </w:p>
    <w:p w14:paraId="208C3C9F" w14:textId="538DAE2F" w:rsidR="00E274A0" w:rsidRDefault="004F76A3" w:rsidP="00D032A2">
      <w:pPr>
        <w:spacing w:line="360" w:lineRule="auto"/>
        <w:ind w:firstLine="720"/>
        <w:rPr>
          <w:rFonts w:ascii="Georgia" w:hAnsi="Georgia"/>
          <w:sz w:val="24"/>
          <w:szCs w:val="24"/>
        </w:rPr>
      </w:pPr>
      <w:r>
        <w:rPr>
          <w:rFonts w:ascii="Georgia" w:hAnsi="Georgia"/>
          <w:sz w:val="24"/>
          <w:szCs w:val="24"/>
        </w:rPr>
        <w:t>W</w:t>
      </w:r>
      <w:r w:rsidR="00F35D22">
        <w:rPr>
          <w:rFonts w:ascii="Georgia" w:hAnsi="Georgia"/>
          <w:sz w:val="24"/>
          <w:szCs w:val="24"/>
        </w:rPr>
        <w:t xml:space="preserve">e ask that Applicants confirm </w:t>
      </w:r>
      <w:r w:rsidR="005A2A16">
        <w:rPr>
          <w:rFonts w:ascii="Georgia" w:hAnsi="Georgia"/>
          <w:sz w:val="24"/>
          <w:szCs w:val="24"/>
        </w:rPr>
        <w:t>that</w:t>
      </w:r>
      <w:r>
        <w:rPr>
          <w:rFonts w:ascii="Georgia" w:hAnsi="Georgia"/>
          <w:sz w:val="24"/>
          <w:szCs w:val="24"/>
        </w:rPr>
        <w:t xml:space="preserve"> </w:t>
      </w:r>
      <w:r w:rsidR="005A2A16">
        <w:rPr>
          <w:rFonts w:ascii="Georgia" w:hAnsi="Georgia"/>
          <w:sz w:val="24"/>
          <w:szCs w:val="24"/>
        </w:rPr>
        <w:t>there are no current or planned state regulatory reviews of the proposed transaction, and that Applicants have not requested any state regulator to review the proposed transaction</w:t>
      </w:r>
      <w:r w:rsidR="007C082F">
        <w:rPr>
          <w:rFonts w:ascii="Georgia" w:hAnsi="Georgia"/>
          <w:sz w:val="24"/>
          <w:szCs w:val="24"/>
        </w:rPr>
        <w:t xml:space="preserve">. If no state regulators have </w:t>
      </w:r>
      <w:r w:rsidR="00B40706">
        <w:rPr>
          <w:rFonts w:ascii="Georgia" w:hAnsi="Georgia"/>
          <w:sz w:val="24"/>
          <w:szCs w:val="24"/>
        </w:rPr>
        <w:t>jurisdiction,</w:t>
      </w:r>
      <w:r w:rsidR="00ED392A">
        <w:rPr>
          <w:rFonts w:ascii="Georgia" w:hAnsi="Georgia"/>
          <w:sz w:val="24"/>
          <w:szCs w:val="24"/>
        </w:rPr>
        <w:t xml:space="preserve"> </w:t>
      </w:r>
      <w:r w:rsidR="00C1356E">
        <w:rPr>
          <w:rFonts w:ascii="Georgia" w:hAnsi="Georgia"/>
          <w:sz w:val="24"/>
          <w:szCs w:val="24"/>
        </w:rPr>
        <w:t xml:space="preserve"> we ask the Commission to consider</w:t>
      </w:r>
      <w:r w:rsidR="008D2A79">
        <w:rPr>
          <w:rFonts w:ascii="Georgia" w:hAnsi="Georgia"/>
          <w:sz w:val="24"/>
          <w:szCs w:val="24"/>
        </w:rPr>
        <w:t xml:space="preserve"> setting the issue for hearing</w:t>
      </w:r>
      <w:r w:rsidR="00A01948">
        <w:rPr>
          <w:rFonts w:ascii="Georgia" w:hAnsi="Georgia"/>
          <w:sz w:val="24"/>
          <w:szCs w:val="24"/>
        </w:rPr>
        <w:t xml:space="preserve"> of whether the transaction impairs effective state regulation.</w:t>
      </w:r>
    </w:p>
    <w:p w14:paraId="6E7B2A50" w14:textId="06133767" w:rsidR="00D032A2" w:rsidRDefault="00D032A2" w:rsidP="00D032A2">
      <w:pPr>
        <w:spacing w:line="360" w:lineRule="auto"/>
        <w:ind w:firstLine="720"/>
        <w:rPr>
          <w:rFonts w:ascii="Georgia" w:hAnsi="Georgia"/>
          <w:sz w:val="24"/>
          <w:szCs w:val="24"/>
        </w:rPr>
      </w:pPr>
    </w:p>
    <w:p w14:paraId="2A41131B" w14:textId="45CFF647" w:rsidR="00D032A2" w:rsidRDefault="00D032A2" w:rsidP="009911FF">
      <w:pPr>
        <w:spacing w:line="360" w:lineRule="auto"/>
        <w:rPr>
          <w:rFonts w:ascii="Georgia" w:hAnsi="Georgia"/>
          <w:sz w:val="24"/>
          <w:szCs w:val="24"/>
        </w:rPr>
      </w:pPr>
      <w:r>
        <w:rPr>
          <w:rFonts w:ascii="Georgia" w:hAnsi="Georgia"/>
          <w:sz w:val="24"/>
          <w:szCs w:val="24"/>
        </w:rPr>
        <w:t>Respectfully submitted,</w:t>
      </w:r>
    </w:p>
    <w:p w14:paraId="5627E3E0" w14:textId="535DD94C" w:rsidR="00A01948" w:rsidRDefault="00A01948" w:rsidP="00D032A2">
      <w:pPr>
        <w:spacing w:line="360" w:lineRule="auto"/>
        <w:ind w:firstLine="720"/>
        <w:rPr>
          <w:rFonts w:ascii="Georgia" w:hAnsi="Georgia"/>
          <w:sz w:val="24"/>
          <w:szCs w:val="24"/>
        </w:rPr>
      </w:pPr>
    </w:p>
    <w:p w14:paraId="5266190B" w14:textId="77909565" w:rsidR="00A01948" w:rsidRDefault="00A01948" w:rsidP="009911FF">
      <w:pPr>
        <w:rPr>
          <w:rFonts w:ascii="Georgia" w:hAnsi="Georgia"/>
          <w:sz w:val="24"/>
          <w:szCs w:val="24"/>
        </w:rPr>
      </w:pPr>
      <w:r>
        <w:rPr>
          <w:rFonts w:ascii="Georgia" w:hAnsi="Georgia"/>
          <w:sz w:val="24"/>
          <w:szCs w:val="24"/>
        </w:rPr>
        <w:t>Tyson Slocum, Energy Program Director</w:t>
      </w:r>
      <w:r w:rsidR="009911FF">
        <w:rPr>
          <w:rFonts w:ascii="Georgia" w:hAnsi="Georgia"/>
          <w:sz w:val="24"/>
          <w:szCs w:val="24"/>
        </w:rPr>
        <w:tab/>
      </w:r>
      <w:r w:rsidR="009911FF">
        <w:rPr>
          <w:rFonts w:ascii="Georgia" w:hAnsi="Georgia"/>
          <w:sz w:val="24"/>
          <w:szCs w:val="24"/>
        </w:rPr>
        <w:tab/>
      </w:r>
      <w:r w:rsidR="009911FF">
        <w:rPr>
          <w:rFonts w:ascii="Georgia" w:hAnsi="Georgia"/>
          <w:sz w:val="24"/>
          <w:szCs w:val="24"/>
        </w:rPr>
        <w:tab/>
      </w:r>
      <w:r w:rsidR="00027E25" w:rsidRPr="004F4BFF">
        <w:rPr>
          <w:rFonts w:ascii="Georgia" w:hAnsi="Georgia"/>
          <w:sz w:val="24"/>
          <w:szCs w:val="24"/>
        </w:rPr>
        <w:t>Tom Bullock, Executive Director</w:t>
      </w:r>
    </w:p>
    <w:p w14:paraId="0A2BB1F6" w14:textId="2E4F67C9" w:rsidR="00A01948" w:rsidRDefault="00A01948" w:rsidP="009911FF">
      <w:pPr>
        <w:rPr>
          <w:rFonts w:ascii="Georgia" w:hAnsi="Georgia"/>
          <w:sz w:val="24"/>
          <w:szCs w:val="24"/>
        </w:rPr>
      </w:pPr>
      <w:r>
        <w:rPr>
          <w:rFonts w:ascii="Georgia" w:hAnsi="Georgia"/>
          <w:sz w:val="24"/>
          <w:szCs w:val="24"/>
        </w:rPr>
        <w:t>Public Citizen, Inc.</w:t>
      </w:r>
      <w:r w:rsidR="009911FF">
        <w:rPr>
          <w:rFonts w:ascii="Georgia" w:hAnsi="Georgia"/>
          <w:sz w:val="24"/>
          <w:szCs w:val="24"/>
        </w:rPr>
        <w:tab/>
      </w:r>
      <w:r w:rsidR="009911FF">
        <w:rPr>
          <w:rFonts w:ascii="Georgia" w:hAnsi="Georgia"/>
          <w:sz w:val="24"/>
          <w:szCs w:val="24"/>
        </w:rPr>
        <w:tab/>
      </w:r>
      <w:r w:rsidR="009911FF">
        <w:rPr>
          <w:rFonts w:ascii="Georgia" w:hAnsi="Georgia"/>
          <w:sz w:val="24"/>
          <w:szCs w:val="24"/>
        </w:rPr>
        <w:tab/>
      </w:r>
      <w:r w:rsidR="009911FF">
        <w:rPr>
          <w:rFonts w:ascii="Georgia" w:hAnsi="Georgia"/>
          <w:sz w:val="24"/>
          <w:szCs w:val="24"/>
        </w:rPr>
        <w:tab/>
      </w:r>
      <w:r w:rsidR="009911FF">
        <w:rPr>
          <w:rFonts w:ascii="Georgia" w:hAnsi="Georgia"/>
          <w:sz w:val="24"/>
          <w:szCs w:val="24"/>
        </w:rPr>
        <w:tab/>
      </w:r>
      <w:r w:rsidR="009911FF">
        <w:rPr>
          <w:rFonts w:ascii="Georgia" w:hAnsi="Georgia"/>
          <w:sz w:val="24"/>
          <w:szCs w:val="24"/>
        </w:rPr>
        <w:tab/>
      </w:r>
      <w:r w:rsidR="009911FF" w:rsidRPr="00A34AB3">
        <w:rPr>
          <w:rFonts w:ascii="Georgia" w:hAnsi="Georgia"/>
          <w:sz w:val="24"/>
          <w:szCs w:val="24"/>
        </w:rPr>
        <w:t>Citizens Utility Board of Ohio</w:t>
      </w:r>
    </w:p>
    <w:p w14:paraId="2A680BE4" w14:textId="6A86B9EA" w:rsidR="00A01948" w:rsidRDefault="00A01948" w:rsidP="009911FF">
      <w:pPr>
        <w:rPr>
          <w:rFonts w:ascii="Georgia" w:hAnsi="Georgia"/>
          <w:sz w:val="24"/>
          <w:szCs w:val="24"/>
        </w:rPr>
      </w:pPr>
      <w:r>
        <w:rPr>
          <w:rFonts w:ascii="Georgia" w:hAnsi="Georgia"/>
          <w:sz w:val="24"/>
          <w:szCs w:val="24"/>
        </w:rPr>
        <w:t>215 Pennsylvania Ave SE</w:t>
      </w:r>
      <w:r w:rsidR="004F4BFF">
        <w:rPr>
          <w:rFonts w:ascii="Georgia" w:hAnsi="Georgia"/>
          <w:sz w:val="24"/>
          <w:szCs w:val="24"/>
        </w:rPr>
        <w:tab/>
      </w:r>
      <w:r w:rsidR="004F4BFF">
        <w:rPr>
          <w:rFonts w:ascii="Georgia" w:hAnsi="Georgia"/>
          <w:sz w:val="24"/>
          <w:szCs w:val="24"/>
        </w:rPr>
        <w:tab/>
      </w:r>
      <w:r w:rsidR="004F4BFF">
        <w:rPr>
          <w:rFonts w:ascii="Georgia" w:hAnsi="Georgia"/>
          <w:sz w:val="24"/>
          <w:szCs w:val="24"/>
        </w:rPr>
        <w:tab/>
      </w:r>
      <w:r w:rsidR="004F4BFF">
        <w:rPr>
          <w:rFonts w:ascii="Georgia" w:hAnsi="Georgia"/>
          <w:sz w:val="24"/>
          <w:szCs w:val="24"/>
        </w:rPr>
        <w:tab/>
      </w:r>
      <w:r w:rsidR="004F4BFF">
        <w:rPr>
          <w:rFonts w:ascii="Georgia" w:hAnsi="Georgia"/>
          <w:sz w:val="24"/>
          <w:szCs w:val="24"/>
        </w:rPr>
        <w:tab/>
      </w:r>
      <w:r w:rsidR="004F4BFF" w:rsidRPr="004F4BFF">
        <w:rPr>
          <w:rFonts w:ascii="Georgia" w:hAnsi="Georgia"/>
          <w:sz w:val="24"/>
          <w:szCs w:val="24"/>
        </w:rPr>
        <w:t>1145 Chesapeake Ave, Suite I</w:t>
      </w:r>
    </w:p>
    <w:p w14:paraId="46D4AA45" w14:textId="4A202876" w:rsidR="00A01948" w:rsidRDefault="00A01948" w:rsidP="009911FF">
      <w:pPr>
        <w:rPr>
          <w:rFonts w:ascii="Georgia" w:hAnsi="Georgia"/>
          <w:sz w:val="24"/>
          <w:szCs w:val="24"/>
        </w:rPr>
      </w:pPr>
      <w:r>
        <w:rPr>
          <w:rFonts w:ascii="Georgia" w:hAnsi="Georgia"/>
          <w:sz w:val="24"/>
          <w:szCs w:val="24"/>
        </w:rPr>
        <w:t>Washington, DC  20003</w:t>
      </w:r>
      <w:r w:rsidR="00FE0626">
        <w:rPr>
          <w:rFonts w:ascii="Georgia" w:hAnsi="Georgia"/>
          <w:sz w:val="24"/>
          <w:szCs w:val="24"/>
        </w:rPr>
        <w:tab/>
      </w:r>
      <w:r w:rsidR="00FE0626">
        <w:rPr>
          <w:rFonts w:ascii="Georgia" w:hAnsi="Georgia"/>
          <w:sz w:val="24"/>
          <w:szCs w:val="24"/>
        </w:rPr>
        <w:tab/>
      </w:r>
      <w:r w:rsidR="00FE0626">
        <w:rPr>
          <w:rFonts w:ascii="Georgia" w:hAnsi="Georgia"/>
          <w:sz w:val="24"/>
          <w:szCs w:val="24"/>
        </w:rPr>
        <w:tab/>
      </w:r>
      <w:r w:rsidR="00FE0626">
        <w:rPr>
          <w:rFonts w:ascii="Georgia" w:hAnsi="Georgia"/>
          <w:sz w:val="24"/>
          <w:szCs w:val="24"/>
        </w:rPr>
        <w:tab/>
      </w:r>
      <w:r w:rsidR="00FE0626">
        <w:rPr>
          <w:rFonts w:ascii="Georgia" w:hAnsi="Georgia"/>
          <w:sz w:val="24"/>
          <w:szCs w:val="24"/>
        </w:rPr>
        <w:tab/>
      </w:r>
      <w:r w:rsidR="00FE0626" w:rsidRPr="00FE0626">
        <w:rPr>
          <w:rFonts w:ascii="Georgia" w:hAnsi="Georgia"/>
          <w:sz w:val="24"/>
          <w:szCs w:val="24"/>
        </w:rPr>
        <w:t>Columbus, OH 43212</w:t>
      </w:r>
    </w:p>
    <w:p w14:paraId="5CC0DAB8" w14:textId="1BBBA923" w:rsidR="00A01948" w:rsidRDefault="00A01948" w:rsidP="009911FF">
      <w:pPr>
        <w:rPr>
          <w:rFonts w:ascii="Georgia" w:hAnsi="Georgia"/>
          <w:sz w:val="24"/>
          <w:szCs w:val="24"/>
        </w:rPr>
      </w:pPr>
      <w:r>
        <w:rPr>
          <w:rFonts w:ascii="Georgia" w:hAnsi="Georgia"/>
          <w:sz w:val="24"/>
          <w:szCs w:val="24"/>
        </w:rPr>
        <w:t>(202) 454-5191</w:t>
      </w:r>
      <w:r w:rsidR="00FE0626">
        <w:rPr>
          <w:rFonts w:ascii="Georgia" w:hAnsi="Georgia"/>
          <w:sz w:val="24"/>
          <w:szCs w:val="24"/>
        </w:rPr>
        <w:tab/>
      </w:r>
      <w:r w:rsidR="00FE0626">
        <w:rPr>
          <w:rFonts w:ascii="Georgia" w:hAnsi="Georgia"/>
          <w:sz w:val="24"/>
          <w:szCs w:val="24"/>
        </w:rPr>
        <w:tab/>
      </w:r>
      <w:r w:rsidR="00FE0626">
        <w:rPr>
          <w:rFonts w:ascii="Georgia" w:hAnsi="Georgia"/>
          <w:sz w:val="24"/>
          <w:szCs w:val="24"/>
        </w:rPr>
        <w:tab/>
      </w:r>
      <w:r w:rsidR="00FE0626">
        <w:rPr>
          <w:rFonts w:ascii="Georgia" w:hAnsi="Georgia"/>
          <w:sz w:val="24"/>
          <w:szCs w:val="24"/>
        </w:rPr>
        <w:tab/>
      </w:r>
      <w:r w:rsidR="00FE0626">
        <w:rPr>
          <w:rFonts w:ascii="Georgia" w:hAnsi="Georgia"/>
          <w:sz w:val="24"/>
          <w:szCs w:val="24"/>
        </w:rPr>
        <w:tab/>
      </w:r>
      <w:r w:rsidR="00FE0626">
        <w:rPr>
          <w:rFonts w:ascii="Georgia" w:hAnsi="Georgia"/>
          <w:sz w:val="24"/>
          <w:szCs w:val="24"/>
        </w:rPr>
        <w:tab/>
      </w:r>
      <w:r w:rsidR="00FE0626" w:rsidRPr="00FE0626">
        <w:rPr>
          <w:rFonts w:ascii="Georgia" w:hAnsi="Georgia"/>
          <w:sz w:val="24"/>
          <w:szCs w:val="24"/>
        </w:rPr>
        <w:t>440-554-7203</w:t>
      </w:r>
    </w:p>
    <w:p w14:paraId="0957A85F" w14:textId="7D34F336" w:rsidR="00A01948" w:rsidRPr="007255A0" w:rsidRDefault="000D56F9" w:rsidP="009911FF">
      <w:pPr>
        <w:rPr>
          <w:rFonts w:ascii="Georgia" w:hAnsi="Georgia"/>
          <w:sz w:val="24"/>
          <w:szCs w:val="24"/>
        </w:rPr>
      </w:pPr>
      <w:hyperlink r:id="rId7" w:history="1">
        <w:r w:rsidRPr="000D56F9">
          <w:rPr>
            <w:rStyle w:val="Hyperlink"/>
            <w:rFonts w:ascii="Georgia" w:hAnsi="Georgia"/>
            <w:color w:val="auto"/>
            <w:sz w:val="24"/>
            <w:szCs w:val="24"/>
            <w:u w:val="none"/>
          </w:rPr>
          <w:t>tslocum@citizen.org</w:t>
        </w:r>
      </w:hyperlink>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0D56F9">
        <w:rPr>
          <w:rFonts w:ascii="Georgia" w:hAnsi="Georgia"/>
          <w:sz w:val="24"/>
          <w:szCs w:val="24"/>
        </w:rPr>
        <w:t>tbullock@cuboh.org</w:t>
      </w:r>
    </w:p>
    <w:sectPr w:rsidR="00A01948" w:rsidRPr="007255A0" w:rsidSect="00164A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690AA" w14:textId="77777777" w:rsidR="00FF12A9" w:rsidRDefault="00FF12A9" w:rsidP="00032C1F">
      <w:r>
        <w:separator/>
      </w:r>
    </w:p>
  </w:endnote>
  <w:endnote w:type="continuationSeparator" w:id="0">
    <w:p w14:paraId="4766B3DF" w14:textId="77777777" w:rsidR="00FF12A9" w:rsidRDefault="00FF12A9" w:rsidP="0003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BEA2" w14:textId="77777777" w:rsidR="00164A9A" w:rsidRDefault="00164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150356"/>
      <w:docPartObj>
        <w:docPartGallery w:val="Page Numbers (Bottom of Page)"/>
        <w:docPartUnique/>
      </w:docPartObj>
    </w:sdtPr>
    <w:sdtEndPr>
      <w:rPr>
        <w:color w:val="7F7F7F" w:themeColor="background1" w:themeShade="7F"/>
        <w:spacing w:val="60"/>
      </w:rPr>
    </w:sdtEndPr>
    <w:sdtContent>
      <w:p w14:paraId="789C45BC" w14:textId="1F718995" w:rsidR="00164A9A" w:rsidRDefault="00164A9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54B1B91" w14:textId="77777777" w:rsidR="00164A9A" w:rsidRDefault="00164A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1D7E" w14:textId="77777777" w:rsidR="00164A9A" w:rsidRDefault="00164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7427E" w14:textId="77777777" w:rsidR="00FF12A9" w:rsidRDefault="00FF12A9" w:rsidP="00032C1F">
      <w:r>
        <w:separator/>
      </w:r>
    </w:p>
  </w:footnote>
  <w:footnote w:type="continuationSeparator" w:id="0">
    <w:p w14:paraId="7FD52D5C" w14:textId="77777777" w:rsidR="00FF12A9" w:rsidRDefault="00FF12A9" w:rsidP="00032C1F">
      <w:r>
        <w:continuationSeparator/>
      </w:r>
    </w:p>
  </w:footnote>
  <w:footnote w:id="1">
    <w:p w14:paraId="20F2AA86" w14:textId="76F8EC63" w:rsidR="00032C1F" w:rsidRDefault="00032C1F">
      <w:pPr>
        <w:pStyle w:val="FootnoteText"/>
      </w:pPr>
      <w:r>
        <w:rPr>
          <w:rStyle w:val="FootnoteReference"/>
        </w:rPr>
        <w:footnoteRef/>
      </w:r>
      <w:r>
        <w:t xml:space="preserve"> </w:t>
      </w:r>
      <w:r w:rsidRPr="0008574C">
        <w:rPr>
          <w:rFonts w:ascii="Georgia" w:hAnsi="Georgia"/>
        </w:rPr>
        <w:t>Application, at page</w:t>
      </w:r>
      <w:r w:rsidR="00601C8A">
        <w:rPr>
          <w:rFonts w:ascii="Georgia" w:hAnsi="Georgia"/>
        </w:rPr>
        <w:t>s 1-2</w:t>
      </w:r>
      <w:r w:rsidRPr="0008574C">
        <w:rPr>
          <w:rFonts w:ascii="Georgia" w:hAnsi="Georgia"/>
        </w:rPr>
        <w:t>.</w:t>
      </w:r>
    </w:p>
  </w:footnote>
  <w:footnote w:id="2">
    <w:p w14:paraId="237175EB" w14:textId="77777777" w:rsidR="00481717" w:rsidRPr="00820DDF" w:rsidRDefault="00481717" w:rsidP="00481717">
      <w:pPr>
        <w:pStyle w:val="FootnoteText"/>
        <w:rPr>
          <w:rFonts w:ascii="Georgia" w:hAnsi="Georgia"/>
        </w:rPr>
      </w:pPr>
      <w:r>
        <w:rPr>
          <w:rStyle w:val="FootnoteReference"/>
        </w:rPr>
        <w:footnoteRef/>
      </w:r>
      <w:r>
        <w:t xml:space="preserve"> </w:t>
      </w:r>
      <w:hyperlink r:id="rId1" w:history="1">
        <w:r w:rsidRPr="00B00056">
          <w:rPr>
            <w:rStyle w:val="Hyperlink"/>
            <w:rFonts w:ascii="Georgia" w:hAnsi="Georgia"/>
            <w:color w:val="auto"/>
            <w:u w:val="none"/>
          </w:rPr>
          <w:t>www.citizen.org/about/annual-report/</w:t>
        </w:r>
      </w:hyperlink>
    </w:p>
  </w:footnote>
  <w:footnote w:id="3">
    <w:p w14:paraId="2AB3F5F4" w14:textId="49B6EC50" w:rsidR="009A618D" w:rsidRDefault="009A618D">
      <w:pPr>
        <w:pStyle w:val="FootnoteText"/>
      </w:pPr>
      <w:r>
        <w:rPr>
          <w:rStyle w:val="FootnoteReference"/>
        </w:rPr>
        <w:footnoteRef/>
      </w:r>
      <w:r>
        <w:t xml:space="preserve"> </w:t>
      </w:r>
      <w:r w:rsidRPr="009A618D">
        <w:rPr>
          <w:rFonts w:ascii="Georgia" w:hAnsi="Georgia"/>
        </w:rPr>
        <w:t>Application, at pages 1-2.</w:t>
      </w:r>
    </w:p>
  </w:footnote>
  <w:footnote w:id="4">
    <w:p w14:paraId="2B29A1D1" w14:textId="15934A3C" w:rsidR="005B38A2" w:rsidRDefault="005B38A2">
      <w:pPr>
        <w:pStyle w:val="FootnoteText"/>
      </w:pPr>
      <w:r>
        <w:rPr>
          <w:rStyle w:val="FootnoteReference"/>
        </w:rPr>
        <w:footnoteRef/>
      </w:r>
      <w:r>
        <w:t xml:space="preserve"> </w:t>
      </w:r>
      <w:r w:rsidRPr="005B38A2">
        <w:rPr>
          <w:rFonts w:ascii="Georgia" w:hAnsi="Georgia"/>
        </w:rPr>
        <w:t>Application, at page 5.</w:t>
      </w:r>
    </w:p>
  </w:footnote>
  <w:footnote w:id="5">
    <w:p w14:paraId="33AA03DF" w14:textId="48DFEC4F" w:rsidR="00601CB7" w:rsidRDefault="00601CB7">
      <w:pPr>
        <w:pStyle w:val="FootnoteText"/>
      </w:pPr>
      <w:r>
        <w:rPr>
          <w:rStyle w:val="FootnoteReference"/>
        </w:rPr>
        <w:footnoteRef/>
      </w:r>
      <w:r>
        <w:t xml:space="preserve"> </w:t>
      </w:r>
      <w:r w:rsidRPr="00601CB7">
        <w:rPr>
          <w:rFonts w:ascii="Georgia" w:hAnsi="Georgia"/>
        </w:rPr>
        <w:t>Application, at page 2.</w:t>
      </w:r>
    </w:p>
  </w:footnote>
  <w:footnote w:id="6">
    <w:p w14:paraId="1135CF06" w14:textId="40F3483E" w:rsidR="00F60FB9" w:rsidRDefault="00F60FB9">
      <w:pPr>
        <w:pStyle w:val="FootnoteText"/>
      </w:pPr>
      <w:r>
        <w:rPr>
          <w:rStyle w:val="FootnoteReference"/>
        </w:rPr>
        <w:footnoteRef/>
      </w:r>
      <w:r>
        <w:t xml:space="preserve"> </w:t>
      </w:r>
      <w:r w:rsidR="007D7617" w:rsidRPr="007D7617">
        <w:rPr>
          <w:rFonts w:ascii="Georgia" w:hAnsi="Georgia"/>
        </w:rPr>
        <w:t xml:space="preserve">Jim Mackinnon, “Icahn's FirstEnergy directors now shareholders in Akron utility,” </w:t>
      </w:r>
      <w:r w:rsidR="007D7617" w:rsidRPr="007D7617">
        <w:rPr>
          <w:rFonts w:ascii="Georgia" w:hAnsi="Georgia"/>
          <w:i/>
          <w:iCs/>
        </w:rPr>
        <w:t>Akron Beacon Journal</w:t>
      </w:r>
      <w:r w:rsidR="007D7617" w:rsidRPr="007D7617">
        <w:rPr>
          <w:rFonts w:ascii="Georgia" w:hAnsi="Georgia"/>
        </w:rPr>
        <w:t>, March 26, 2021, www.beaconjournal.com/story/business/2021/03/26/new-icahn-directors-now-shareholders-akrons-firstenergy-corp/7011810002/</w:t>
      </w:r>
    </w:p>
  </w:footnote>
  <w:footnote w:id="7">
    <w:p w14:paraId="1494DF04" w14:textId="25917474" w:rsidR="00307E49" w:rsidRDefault="00307E49">
      <w:pPr>
        <w:pStyle w:val="FootnoteText"/>
      </w:pPr>
      <w:r>
        <w:rPr>
          <w:rStyle w:val="FootnoteReference"/>
        </w:rPr>
        <w:footnoteRef/>
      </w:r>
      <w:r>
        <w:t xml:space="preserve"> </w:t>
      </w:r>
      <w:r w:rsidRPr="00307E49">
        <w:rPr>
          <w:rFonts w:ascii="Georgia" w:hAnsi="Georgia"/>
        </w:rPr>
        <w:t>Application, at page 2.</w:t>
      </w:r>
    </w:p>
  </w:footnote>
  <w:footnote w:id="8">
    <w:p w14:paraId="1FF548CC" w14:textId="18E862D3" w:rsidR="00533412" w:rsidRDefault="00533412">
      <w:pPr>
        <w:pStyle w:val="FootnoteText"/>
      </w:pPr>
      <w:r>
        <w:rPr>
          <w:rStyle w:val="FootnoteReference"/>
        </w:rPr>
        <w:footnoteRef/>
      </w:r>
      <w:r>
        <w:t xml:space="preserve"> </w:t>
      </w:r>
      <w:r w:rsidRPr="00533412">
        <w:rPr>
          <w:rFonts w:ascii="Georgia" w:hAnsi="Georgia"/>
        </w:rPr>
        <w:t>Application, at page 7.</w:t>
      </w:r>
    </w:p>
  </w:footnote>
  <w:footnote w:id="9">
    <w:p w14:paraId="1031673F" w14:textId="0D57FFBD" w:rsidR="00756382" w:rsidRDefault="00756382">
      <w:pPr>
        <w:pStyle w:val="FootnoteText"/>
      </w:pPr>
      <w:r>
        <w:rPr>
          <w:rStyle w:val="FootnoteReference"/>
        </w:rPr>
        <w:footnoteRef/>
      </w:r>
      <w:r>
        <w:t xml:space="preserve"> </w:t>
      </w:r>
      <w:r w:rsidR="004A7E5F" w:rsidRPr="004A7E5F">
        <w:rPr>
          <w:rFonts w:ascii="Georgia" w:hAnsi="Georgia"/>
        </w:rPr>
        <w:t xml:space="preserve">Cara Lombardo, </w:t>
      </w:r>
      <w:r w:rsidR="004A7E5F">
        <w:rPr>
          <w:rFonts w:ascii="Georgia" w:hAnsi="Georgia"/>
        </w:rPr>
        <w:t>“</w:t>
      </w:r>
      <w:r w:rsidR="004A7E5F" w:rsidRPr="004A7E5F">
        <w:rPr>
          <w:rFonts w:ascii="Georgia" w:hAnsi="Georgia"/>
        </w:rPr>
        <w:t>Icahn Reaches Deal With Utility,</w:t>
      </w:r>
      <w:r w:rsidR="004A7E5F">
        <w:rPr>
          <w:rFonts w:ascii="Georgia" w:hAnsi="Georgia"/>
        </w:rPr>
        <w:t>”</w:t>
      </w:r>
      <w:r w:rsidR="004A7E5F" w:rsidRPr="004A7E5F">
        <w:rPr>
          <w:rFonts w:ascii="Georgia" w:hAnsi="Georgia"/>
        </w:rPr>
        <w:t xml:space="preserve"> March 17, 2021, www.wsj.com/articles/firstenergy-nears-deal-to-give-carl-icahn-two-board-seats-11615914013</w:t>
      </w:r>
    </w:p>
  </w:footnote>
  <w:footnote w:id="10">
    <w:p w14:paraId="5D5F5D42" w14:textId="31E25B60" w:rsidR="00BD093C" w:rsidRDefault="00BD093C">
      <w:pPr>
        <w:pStyle w:val="FootnoteText"/>
      </w:pPr>
      <w:r>
        <w:rPr>
          <w:rStyle w:val="FootnoteReference"/>
        </w:rPr>
        <w:footnoteRef/>
      </w:r>
      <w:r>
        <w:t xml:space="preserve"> </w:t>
      </w:r>
      <w:r w:rsidR="008F3443" w:rsidRPr="008F3443">
        <w:rPr>
          <w:rFonts w:ascii="Georgia" w:hAnsi="Georgia"/>
        </w:rPr>
        <w:t xml:space="preserve">Andrew J. Tobias, </w:t>
      </w:r>
      <w:r w:rsidR="008F3443">
        <w:rPr>
          <w:rFonts w:ascii="Georgia" w:hAnsi="Georgia"/>
        </w:rPr>
        <w:t>“</w:t>
      </w:r>
      <w:r w:rsidR="008F3443" w:rsidRPr="008F3443">
        <w:rPr>
          <w:rFonts w:ascii="Georgia" w:hAnsi="Georgia"/>
        </w:rPr>
        <w:t>FirstEnergy says it’s talking to feds about cutting deal in HB6 bribery probe,</w:t>
      </w:r>
      <w:r w:rsidR="008F3443">
        <w:rPr>
          <w:rFonts w:ascii="Georgia" w:hAnsi="Georgia"/>
        </w:rPr>
        <w:t>”</w:t>
      </w:r>
      <w:r w:rsidR="008F3443" w:rsidRPr="008F3443">
        <w:rPr>
          <w:rFonts w:ascii="Georgia" w:hAnsi="Georgia"/>
        </w:rPr>
        <w:t xml:space="preserve"> April 22, 2021, www.cleveland.com/business/2021/04/firstenergy-says-its-talking-to-feds-about-cutting-deal-in-hb6-bribery-probe.html</w:t>
      </w:r>
    </w:p>
  </w:footnote>
  <w:footnote w:id="11">
    <w:p w14:paraId="506D2DC4" w14:textId="77777777" w:rsidR="006D46C4" w:rsidRDefault="006D46C4" w:rsidP="006D46C4">
      <w:pPr>
        <w:pStyle w:val="FootnoteText"/>
      </w:pPr>
      <w:r>
        <w:rPr>
          <w:rStyle w:val="FootnoteReference"/>
        </w:rPr>
        <w:footnoteRef/>
      </w:r>
      <w:r>
        <w:t xml:space="preserve"> </w:t>
      </w:r>
      <w:r w:rsidRPr="000E4514">
        <w:rPr>
          <w:rFonts w:ascii="Georgia" w:hAnsi="Georgia"/>
        </w:rPr>
        <w:t>18 CFR § 2.26(e)(2).</w:t>
      </w:r>
    </w:p>
  </w:footnote>
  <w:footnote w:id="12">
    <w:p w14:paraId="7451B09D" w14:textId="55BA3492" w:rsidR="006A7BF1" w:rsidRDefault="006A7BF1">
      <w:pPr>
        <w:pStyle w:val="FootnoteText"/>
      </w:pPr>
      <w:r>
        <w:rPr>
          <w:rStyle w:val="FootnoteReference"/>
        </w:rPr>
        <w:footnoteRef/>
      </w:r>
      <w:r>
        <w:t xml:space="preserve"> </w:t>
      </w:r>
      <w:r w:rsidRPr="005274F0">
        <w:rPr>
          <w:rFonts w:ascii="Georgia" w:hAnsi="Georgia"/>
        </w:rPr>
        <w:t>Ohio Revised Code 4905.402(A)(1).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38AA" w14:textId="77777777" w:rsidR="00164A9A" w:rsidRDefault="00164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0A6E" w14:textId="71CDF349" w:rsidR="00064D93" w:rsidRPr="005C3DA5" w:rsidRDefault="005C3DA5" w:rsidP="005C3DA5">
    <w:pPr>
      <w:pStyle w:val="Header"/>
      <w:jc w:val="center"/>
      <w:rPr>
        <w:rFonts w:ascii="Georgia" w:hAnsi="Georgia"/>
        <w:i/>
        <w:iCs/>
      </w:rPr>
    </w:pPr>
    <w:r w:rsidRPr="005C3DA5">
      <w:rPr>
        <w:rFonts w:ascii="Georgia" w:hAnsi="Georgia"/>
        <w:i/>
        <w:iCs/>
      </w:rPr>
      <w:t>Joint Protest of Public Citizen &amp; Ohio CUB • Docket No. EC21-77 • May 4, 2021</w:t>
    </w:r>
  </w:p>
  <w:p w14:paraId="49F7BB27" w14:textId="77777777" w:rsidR="00164A9A" w:rsidRDefault="00164A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F332" w14:textId="77777777" w:rsidR="00164A9A" w:rsidRDefault="00164A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BDF"/>
    <w:rsid w:val="000133A7"/>
    <w:rsid w:val="00027E25"/>
    <w:rsid w:val="00032C1F"/>
    <w:rsid w:val="000372AF"/>
    <w:rsid w:val="00037EA2"/>
    <w:rsid w:val="00044E6C"/>
    <w:rsid w:val="00054C8A"/>
    <w:rsid w:val="00057A57"/>
    <w:rsid w:val="00064D93"/>
    <w:rsid w:val="0007553F"/>
    <w:rsid w:val="0008574C"/>
    <w:rsid w:val="000A0E61"/>
    <w:rsid w:val="000A6923"/>
    <w:rsid w:val="000B4054"/>
    <w:rsid w:val="000C222E"/>
    <w:rsid w:val="000D22E0"/>
    <w:rsid w:val="000D56F9"/>
    <w:rsid w:val="000E15EC"/>
    <w:rsid w:val="000F300C"/>
    <w:rsid w:val="00115469"/>
    <w:rsid w:val="00123B0C"/>
    <w:rsid w:val="001379F0"/>
    <w:rsid w:val="00143F4B"/>
    <w:rsid w:val="00164A9A"/>
    <w:rsid w:val="0018057A"/>
    <w:rsid w:val="00181456"/>
    <w:rsid w:val="001A115A"/>
    <w:rsid w:val="001E68F3"/>
    <w:rsid w:val="001E737B"/>
    <w:rsid w:val="00201A27"/>
    <w:rsid w:val="002366CD"/>
    <w:rsid w:val="00240E7D"/>
    <w:rsid w:val="00256A46"/>
    <w:rsid w:val="002872A2"/>
    <w:rsid w:val="00290A85"/>
    <w:rsid w:val="00292DC3"/>
    <w:rsid w:val="002A2560"/>
    <w:rsid w:val="002A33C1"/>
    <w:rsid w:val="002A7A48"/>
    <w:rsid w:val="002C0AAB"/>
    <w:rsid w:val="002C22B3"/>
    <w:rsid w:val="002D15A6"/>
    <w:rsid w:val="002D2A8C"/>
    <w:rsid w:val="002D2FF8"/>
    <w:rsid w:val="002D51F2"/>
    <w:rsid w:val="002F2CCC"/>
    <w:rsid w:val="00307E49"/>
    <w:rsid w:val="003105C7"/>
    <w:rsid w:val="00435D09"/>
    <w:rsid w:val="00444BDF"/>
    <w:rsid w:val="004601C8"/>
    <w:rsid w:val="00481717"/>
    <w:rsid w:val="00485C2C"/>
    <w:rsid w:val="004866DD"/>
    <w:rsid w:val="004A0350"/>
    <w:rsid w:val="004A6864"/>
    <w:rsid w:val="004A6D5D"/>
    <w:rsid w:val="004A7E5F"/>
    <w:rsid w:val="004C4573"/>
    <w:rsid w:val="004F4BFF"/>
    <w:rsid w:val="004F76A3"/>
    <w:rsid w:val="005274F0"/>
    <w:rsid w:val="0053313B"/>
    <w:rsid w:val="00533412"/>
    <w:rsid w:val="00535DCF"/>
    <w:rsid w:val="0054202E"/>
    <w:rsid w:val="005452B3"/>
    <w:rsid w:val="00550557"/>
    <w:rsid w:val="005A2A16"/>
    <w:rsid w:val="005B38A2"/>
    <w:rsid w:val="005B7D26"/>
    <w:rsid w:val="005C3DA5"/>
    <w:rsid w:val="005E6330"/>
    <w:rsid w:val="00601C8A"/>
    <w:rsid w:val="00601CB7"/>
    <w:rsid w:val="00614806"/>
    <w:rsid w:val="00621216"/>
    <w:rsid w:val="006339F4"/>
    <w:rsid w:val="00662EDA"/>
    <w:rsid w:val="00674ADF"/>
    <w:rsid w:val="00680FB2"/>
    <w:rsid w:val="00695FCA"/>
    <w:rsid w:val="006A7BF1"/>
    <w:rsid w:val="006D46C4"/>
    <w:rsid w:val="006F48B0"/>
    <w:rsid w:val="006F5C5B"/>
    <w:rsid w:val="00712D5F"/>
    <w:rsid w:val="00720C63"/>
    <w:rsid w:val="007255A0"/>
    <w:rsid w:val="00756382"/>
    <w:rsid w:val="00760DF4"/>
    <w:rsid w:val="00792BA0"/>
    <w:rsid w:val="007C082F"/>
    <w:rsid w:val="007D7617"/>
    <w:rsid w:val="007F2F74"/>
    <w:rsid w:val="007F384B"/>
    <w:rsid w:val="007F6C87"/>
    <w:rsid w:val="0083787B"/>
    <w:rsid w:val="0086184D"/>
    <w:rsid w:val="0086556E"/>
    <w:rsid w:val="00874427"/>
    <w:rsid w:val="008D2A79"/>
    <w:rsid w:val="008F3443"/>
    <w:rsid w:val="00907F04"/>
    <w:rsid w:val="00924243"/>
    <w:rsid w:val="00952A51"/>
    <w:rsid w:val="00982B7B"/>
    <w:rsid w:val="009911FF"/>
    <w:rsid w:val="00995569"/>
    <w:rsid w:val="009959F4"/>
    <w:rsid w:val="009970F6"/>
    <w:rsid w:val="009A0431"/>
    <w:rsid w:val="009A618D"/>
    <w:rsid w:val="009B7212"/>
    <w:rsid w:val="009E6ECE"/>
    <w:rsid w:val="00A01948"/>
    <w:rsid w:val="00A045F4"/>
    <w:rsid w:val="00A34AB3"/>
    <w:rsid w:val="00B00056"/>
    <w:rsid w:val="00B12A48"/>
    <w:rsid w:val="00B2729F"/>
    <w:rsid w:val="00B40706"/>
    <w:rsid w:val="00B64E85"/>
    <w:rsid w:val="00B94FD1"/>
    <w:rsid w:val="00BD093C"/>
    <w:rsid w:val="00C1215F"/>
    <w:rsid w:val="00C1356E"/>
    <w:rsid w:val="00C153B0"/>
    <w:rsid w:val="00C344E3"/>
    <w:rsid w:val="00C41E42"/>
    <w:rsid w:val="00C56CD1"/>
    <w:rsid w:val="00D032A2"/>
    <w:rsid w:val="00D07325"/>
    <w:rsid w:val="00D202BC"/>
    <w:rsid w:val="00D5171A"/>
    <w:rsid w:val="00DC7731"/>
    <w:rsid w:val="00DE4E5D"/>
    <w:rsid w:val="00DF423F"/>
    <w:rsid w:val="00E0274D"/>
    <w:rsid w:val="00E26A14"/>
    <w:rsid w:val="00E274A0"/>
    <w:rsid w:val="00E33B6B"/>
    <w:rsid w:val="00EC1FA5"/>
    <w:rsid w:val="00EC4127"/>
    <w:rsid w:val="00ED392A"/>
    <w:rsid w:val="00ED5BA4"/>
    <w:rsid w:val="00EF363E"/>
    <w:rsid w:val="00F30BB3"/>
    <w:rsid w:val="00F35D22"/>
    <w:rsid w:val="00F37235"/>
    <w:rsid w:val="00F5578D"/>
    <w:rsid w:val="00F60FB9"/>
    <w:rsid w:val="00F91EAD"/>
    <w:rsid w:val="00FD2E4C"/>
    <w:rsid w:val="00FE0286"/>
    <w:rsid w:val="00FE0626"/>
    <w:rsid w:val="00FF1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691F"/>
  <w15:chartTrackingRefBased/>
  <w15:docId w15:val="{C9B80A25-EC77-4DBD-9D1F-71325A0B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1E68F3"/>
    <w:pPr>
      <w:keepLines/>
      <w:widowControl w:val="0"/>
    </w:pPr>
  </w:style>
  <w:style w:type="character" w:customStyle="1" w:styleId="FootnoteTextChar">
    <w:name w:val="Footnote Text Char"/>
    <w:basedOn w:val="DefaultParagraphFont"/>
    <w:link w:val="FootnoteText"/>
    <w:uiPriority w:val="99"/>
    <w:rsid w:val="001E68F3"/>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basedOn w:val="DefaultParagraphFont"/>
    <w:uiPriority w:val="99"/>
    <w:unhideWhenUsed/>
    <w:qFormat/>
    <w:rsid w:val="00032C1F"/>
    <w:rPr>
      <w:vertAlign w:val="superscript"/>
    </w:rPr>
  </w:style>
  <w:style w:type="character" w:styleId="Hyperlink">
    <w:name w:val="Hyperlink"/>
    <w:basedOn w:val="DefaultParagraphFont"/>
    <w:uiPriority w:val="99"/>
    <w:unhideWhenUsed/>
    <w:rsid w:val="00481717"/>
    <w:rPr>
      <w:color w:val="0563C1" w:themeColor="hyperlink"/>
      <w:u w:val="single"/>
    </w:rPr>
  </w:style>
  <w:style w:type="paragraph" w:styleId="Header">
    <w:name w:val="header"/>
    <w:basedOn w:val="Normal"/>
    <w:link w:val="HeaderChar"/>
    <w:uiPriority w:val="99"/>
    <w:unhideWhenUsed/>
    <w:rsid w:val="00164A9A"/>
    <w:pPr>
      <w:tabs>
        <w:tab w:val="center" w:pos="4680"/>
        <w:tab w:val="right" w:pos="9360"/>
      </w:tabs>
    </w:pPr>
  </w:style>
  <w:style w:type="character" w:customStyle="1" w:styleId="HeaderChar">
    <w:name w:val="Header Char"/>
    <w:basedOn w:val="DefaultParagraphFont"/>
    <w:link w:val="Header"/>
    <w:uiPriority w:val="99"/>
    <w:rsid w:val="00164A9A"/>
  </w:style>
  <w:style w:type="paragraph" w:styleId="Footer">
    <w:name w:val="footer"/>
    <w:basedOn w:val="Normal"/>
    <w:link w:val="FooterChar"/>
    <w:uiPriority w:val="99"/>
    <w:unhideWhenUsed/>
    <w:rsid w:val="00164A9A"/>
    <w:pPr>
      <w:tabs>
        <w:tab w:val="center" w:pos="4680"/>
        <w:tab w:val="right" w:pos="9360"/>
      </w:tabs>
    </w:pPr>
  </w:style>
  <w:style w:type="character" w:customStyle="1" w:styleId="FooterChar">
    <w:name w:val="Footer Char"/>
    <w:basedOn w:val="DefaultParagraphFont"/>
    <w:link w:val="Footer"/>
    <w:uiPriority w:val="99"/>
    <w:rsid w:val="00164A9A"/>
  </w:style>
  <w:style w:type="character" w:styleId="UnresolvedMention">
    <w:name w:val="Unresolved Mention"/>
    <w:basedOn w:val="DefaultParagraphFont"/>
    <w:uiPriority w:val="99"/>
    <w:semiHidden/>
    <w:unhideWhenUsed/>
    <w:rsid w:val="000D5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slocum@citizen.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itizen.org/about/annual-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CF91A-4543-4B3B-B8BB-DEC393D17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4</Pages>
  <Words>1051</Words>
  <Characters>5997</Characters>
  <Application>Microsoft Office Word</Application>
  <DocSecurity>0</DocSecurity>
  <Lines>49</Lines>
  <Paragraphs>14</Paragraphs>
  <ScaleCrop>false</ScaleCrop>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Slocum</dc:creator>
  <cp:keywords/>
  <dc:description/>
  <cp:lastModifiedBy>Tyson Slocum</cp:lastModifiedBy>
  <cp:revision>144</cp:revision>
  <dcterms:created xsi:type="dcterms:W3CDTF">2021-04-20T13:57:00Z</dcterms:created>
  <dcterms:modified xsi:type="dcterms:W3CDTF">2021-05-04T11:28:00Z</dcterms:modified>
</cp:coreProperties>
</file>