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E206" w14:textId="77777777" w:rsidR="004C625D" w:rsidRPr="004C625D" w:rsidRDefault="004C625D" w:rsidP="004C625D">
      <w:pPr>
        <w:jc w:val="center"/>
        <w:rPr>
          <w:rFonts w:ascii="Georgia" w:hAnsi="Georgia"/>
          <w:sz w:val="24"/>
          <w:szCs w:val="24"/>
        </w:rPr>
      </w:pPr>
      <w:r w:rsidRPr="004C625D">
        <w:rPr>
          <w:rFonts w:ascii="Georgia" w:hAnsi="Georgia"/>
          <w:sz w:val="24"/>
          <w:szCs w:val="24"/>
        </w:rPr>
        <w:t>UNITED STATES OF AMERICA</w:t>
      </w:r>
    </w:p>
    <w:p w14:paraId="708A9B8A" w14:textId="77777777" w:rsidR="004C625D" w:rsidRPr="004C625D" w:rsidRDefault="004C625D" w:rsidP="004C625D">
      <w:pPr>
        <w:jc w:val="center"/>
        <w:rPr>
          <w:rFonts w:ascii="Georgia" w:hAnsi="Georgia"/>
          <w:sz w:val="24"/>
          <w:szCs w:val="24"/>
        </w:rPr>
      </w:pPr>
      <w:r w:rsidRPr="004C625D">
        <w:rPr>
          <w:rFonts w:ascii="Georgia" w:hAnsi="Georgia"/>
          <w:sz w:val="24"/>
          <w:szCs w:val="24"/>
        </w:rPr>
        <w:t>BEFORE THE</w:t>
      </w:r>
    </w:p>
    <w:p w14:paraId="1BE5A60A" w14:textId="77777777" w:rsidR="004C625D" w:rsidRPr="004C625D" w:rsidRDefault="004C625D" w:rsidP="004C625D">
      <w:pPr>
        <w:jc w:val="center"/>
        <w:rPr>
          <w:rFonts w:ascii="Georgia" w:hAnsi="Georgia"/>
          <w:sz w:val="24"/>
          <w:szCs w:val="24"/>
        </w:rPr>
      </w:pPr>
      <w:r w:rsidRPr="004C625D">
        <w:rPr>
          <w:rFonts w:ascii="Georgia" w:hAnsi="Georgia"/>
          <w:sz w:val="24"/>
          <w:szCs w:val="24"/>
        </w:rPr>
        <w:t>FEDERAL ENERGY REGULATORY COMMISSION</w:t>
      </w:r>
    </w:p>
    <w:p w14:paraId="5769A3B0" w14:textId="77777777" w:rsidR="004C625D" w:rsidRPr="004C625D" w:rsidRDefault="004C625D">
      <w:pPr>
        <w:rPr>
          <w:rFonts w:ascii="Georgia" w:hAnsi="Georgia"/>
          <w:sz w:val="24"/>
          <w:szCs w:val="24"/>
        </w:rPr>
      </w:pPr>
    </w:p>
    <w:p w14:paraId="46C8A021" w14:textId="34ACCC0B" w:rsidR="006443BB" w:rsidRDefault="004C625D">
      <w:pPr>
        <w:rPr>
          <w:rFonts w:ascii="Georgia" w:hAnsi="Georgia"/>
          <w:sz w:val="24"/>
          <w:szCs w:val="24"/>
        </w:rPr>
      </w:pPr>
      <w:r w:rsidRPr="004C625D">
        <w:rPr>
          <w:rFonts w:ascii="Georgia" w:hAnsi="Georgia"/>
          <w:sz w:val="24"/>
          <w:szCs w:val="24"/>
        </w:rPr>
        <w:t>New England Winter Gas-Electric Forum</w:t>
      </w:r>
      <w:r w:rsidRPr="004C625D">
        <w:rPr>
          <w:rFonts w:ascii="Georgia" w:hAnsi="Georgia"/>
          <w:sz w:val="24"/>
          <w:szCs w:val="24"/>
        </w:rPr>
        <w:tab/>
      </w:r>
      <w:r w:rsidRPr="004C625D">
        <w:rPr>
          <w:rFonts w:ascii="Georgia" w:hAnsi="Georgia"/>
          <w:sz w:val="24"/>
          <w:szCs w:val="24"/>
        </w:rPr>
        <w:tab/>
      </w:r>
      <w:r w:rsidRPr="004C625D">
        <w:rPr>
          <w:rFonts w:ascii="Georgia" w:hAnsi="Georgia"/>
          <w:sz w:val="24"/>
          <w:szCs w:val="24"/>
        </w:rPr>
        <w:tab/>
      </w:r>
      <w:r w:rsidRPr="004C625D">
        <w:rPr>
          <w:rFonts w:ascii="Georgia" w:hAnsi="Georgia"/>
          <w:sz w:val="24"/>
          <w:szCs w:val="24"/>
        </w:rPr>
        <w:tab/>
        <w:t>Docket No. AD22-9</w:t>
      </w:r>
    </w:p>
    <w:p w14:paraId="641C92D8" w14:textId="373A41EF" w:rsidR="004C625D" w:rsidRDefault="004C625D">
      <w:pPr>
        <w:rPr>
          <w:rFonts w:ascii="Georgia" w:hAnsi="Georgia"/>
          <w:sz w:val="24"/>
          <w:szCs w:val="24"/>
        </w:rPr>
      </w:pPr>
    </w:p>
    <w:p w14:paraId="51004304" w14:textId="73D73447" w:rsidR="004C625D" w:rsidRPr="0092110F" w:rsidRDefault="004C625D" w:rsidP="0018386D">
      <w:pPr>
        <w:jc w:val="center"/>
        <w:rPr>
          <w:rFonts w:ascii="Georgia" w:hAnsi="Georgia"/>
          <w:b/>
          <w:bCs/>
          <w:sz w:val="28"/>
          <w:szCs w:val="28"/>
        </w:rPr>
      </w:pPr>
      <w:r w:rsidRPr="0092110F">
        <w:rPr>
          <w:rFonts w:ascii="Georgia" w:hAnsi="Georgia"/>
          <w:b/>
          <w:bCs/>
          <w:sz w:val="28"/>
          <w:szCs w:val="28"/>
        </w:rPr>
        <w:t>Comments of Public Citizen, Inc.</w:t>
      </w:r>
    </w:p>
    <w:p w14:paraId="27D42DBC" w14:textId="77777777" w:rsidR="00036304" w:rsidRDefault="00036304">
      <w:pPr>
        <w:rPr>
          <w:rFonts w:ascii="Georgia" w:hAnsi="Georgia"/>
          <w:sz w:val="24"/>
          <w:szCs w:val="24"/>
        </w:rPr>
      </w:pPr>
    </w:p>
    <w:p w14:paraId="61551741" w14:textId="569210FE" w:rsidR="00E708FB" w:rsidRDefault="00112A55" w:rsidP="0092110F">
      <w:pPr>
        <w:spacing w:line="360" w:lineRule="auto"/>
        <w:rPr>
          <w:rFonts w:ascii="Georgia" w:hAnsi="Georgia"/>
          <w:sz w:val="24"/>
          <w:szCs w:val="24"/>
        </w:rPr>
      </w:pPr>
      <w:r>
        <w:rPr>
          <w:rFonts w:ascii="Georgia" w:hAnsi="Georgia"/>
          <w:sz w:val="24"/>
          <w:szCs w:val="24"/>
        </w:rPr>
        <w:tab/>
      </w:r>
      <w:r w:rsidR="0018386D">
        <w:rPr>
          <w:rFonts w:ascii="Georgia" w:hAnsi="Georgia"/>
          <w:sz w:val="24"/>
          <w:szCs w:val="24"/>
        </w:rPr>
        <w:t>The Commission solicited comments to better understand “</w:t>
      </w:r>
      <w:r w:rsidR="0018386D" w:rsidRPr="00BC4C09">
        <w:rPr>
          <w:rFonts w:ascii="Georgia" w:hAnsi="Georgia"/>
          <w:sz w:val="24"/>
          <w:szCs w:val="24"/>
        </w:rPr>
        <w:t>the electricity and natural gas challenges facing the New England Region.</w:t>
      </w:r>
      <w:r w:rsidR="0018386D">
        <w:rPr>
          <w:rFonts w:ascii="Georgia" w:hAnsi="Georgia"/>
          <w:sz w:val="24"/>
          <w:szCs w:val="24"/>
        </w:rPr>
        <w:t>”</w:t>
      </w:r>
      <w:r w:rsidR="0018386D">
        <w:rPr>
          <w:rStyle w:val="FootnoteReference"/>
          <w:rFonts w:ascii="Georgia" w:hAnsi="Georgia"/>
          <w:sz w:val="24"/>
          <w:szCs w:val="24"/>
        </w:rPr>
        <w:footnoteReference w:id="1"/>
      </w:r>
      <w:r w:rsidR="0018386D">
        <w:rPr>
          <w:rFonts w:ascii="Georgia" w:hAnsi="Georgia"/>
          <w:sz w:val="24"/>
          <w:szCs w:val="24"/>
        </w:rPr>
        <w:t xml:space="preserve"> </w:t>
      </w:r>
      <w:r w:rsidR="009401FE">
        <w:rPr>
          <w:rFonts w:ascii="Georgia" w:hAnsi="Georgia"/>
          <w:sz w:val="24"/>
          <w:szCs w:val="24"/>
        </w:rPr>
        <w:t xml:space="preserve">Just as </w:t>
      </w:r>
      <w:r w:rsidR="00A6549C">
        <w:rPr>
          <w:rFonts w:ascii="Georgia" w:hAnsi="Georgia"/>
          <w:sz w:val="24"/>
          <w:szCs w:val="24"/>
        </w:rPr>
        <w:t xml:space="preserve">high natural gas prices in the pre-2008 fracking era rendered </w:t>
      </w:r>
      <w:r w:rsidR="00B14E85">
        <w:rPr>
          <w:rFonts w:ascii="Georgia" w:hAnsi="Georgia"/>
          <w:sz w:val="24"/>
          <w:szCs w:val="24"/>
        </w:rPr>
        <w:t xml:space="preserve">ISO-NE, PJM and other RTOs vulnerable to punishing price spikes, </w:t>
      </w:r>
      <w:r w:rsidR="00547A4D">
        <w:rPr>
          <w:rFonts w:ascii="Georgia" w:hAnsi="Georgia"/>
          <w:sz w:val="24"/>
          <w:szCs w:val="24"/>
        </w:rPr>
        <w:t xml:space="preserve">today </w:t>
      </w:r>
      <w:r w:rsidR="00AB5428">
        <w:rPr>
          <w:rFonts w:ascii="Georgia" w:hAnsi="Georgia"/>
          <w:sz w:val="24"/>
          <w:szCs w:val="24"/>
        </w:rPr>
        <w:t xml:space="preserve">the primary cause of </w:t>
      </w:r>
      <w:r w:rsidR="005C6358">
        <w:rPr>
          <w:rFonts w:ascii="Georgia" w:hAnsi="Georgia"/>
          <w:sz w:val="24"/>
          <w:szCs w:val="24"/>
        </w:rPr>
        <w:t>New England</w:t>
      </w:r>
      <w:r w:rsidR="00547A4D">
        <w:rPr>
          <w:rFonts w:ascii="Georgia" w:hAnsi="Georgia"/>
          <w:sz w:val="24"/>
          <w:szCs w:val="24"/>
        </w:rPr>
        <w:t xml:space="preserve">’s natural gas crisis </w:t>
      </w:r>
      <w:r w:rsidR="00B93901">
        <w:rPr>
          <w:rFonts w:ascii="Georgia" w:hAnsi="Georgia"/>
          <w:sz w:val="24"/>
          <w:szCs w:val="24"/>
        </w:rPr>
        <w:t>are record natural gas exports, exposing the region to global</w:t>
      </w:r>
      <w:r w:rsidR="00766EB3">
        <w:rPr>
          <w:rFonts w:ascii="Georgia" w:hAnsi="Georgia"/>
          <w:sz w:val="24"/>
          <w:szCs w:val="24"/>
        </w:rPr>
        <w:t xml:space="preserve"> calamities and forcing power generators and households to compete with </w:t>
      </w:r>
      <w:r w:rsidR="007D3603">
        <w:rPr>
          <w:rFonts w:ascii="Georgia" w:hAnsi="Georgia"/>
          <w:sz w:val="24"/>
          <w:szCs w:val="24"/>
        </w:rPr>
        <w:t>Europe and Asia for gas</w:t>
      </w:r>
      <w:r w:rsidR="00766EB3">
        <w:rPr>
          <w:rFonts w:ascii="Georgia" w:hAnsi="Georgia"/>
          <w:sz w:val="24"/>
          <w:szCs w:val="24"/>
        </w:rPr>
        <w:t xml:space="preserve">. </w:t>
      </w:r>
      <w:r w:rsidR="0079341A">
        <w:rPr>
          <w:rFonts w:ascii="Georgia" w:hAnsi="Georgia"/>
          <w:sz w:val="24"/>
          <w:szCs w:val="24"/>
        </w:rPr>
        <w:t>New England now</w:t>
      </w:r>
      <w:r w:rsidR="005C6358">
        <w:rPr>
          <w:rFonts w:ascii="Georgia" w:hAnsi="Georgia"/>
          <w:sz w:val="24"/>
          <w:szCs w:val="24"/>
        </w:rPr>
        <w:t xml:space="preserve"> faces threats of gas supply shortages and significant price burdens for </w:t>
      </w:r>
      <w:r w:rsidR="004E16E7">
        <w:rPr>
          <w:rFonts w:ascii="Georgia" w:hAnsi="Georgia"/>
          <w:sz w:val="24"/>
          <w:szCs w:val="24"/>
        </w:rPr>
        <w:t xml:space="preserve">New England’s nearly 6 </w:t>
      </w:r>
      <w:r w:rsidR="005C6358">
        <w:rPr>
          <w:rFonts w:ascii="Georgia" w:hAnsi="Georgia"/>
          <w:sz w:val="24"/>
          <w:szCs w:val="24"/>
        </w:rPr>
        <w:t>million</w:t>
      </w:r>
      <w:r w:rsidR="004E16E7">
        <w:rPr>
          <w:rFonts w:ascii="Georgia" w:hAnsi="Georgia"/>
          <w:sz w:val="24"/>
          <w:szCs w:val="24"/>
        </w:rPr>
        <w:t xml:space="preserve"> households</w:t>
      </w:r>
      <w:r w:rsidR="0079341A">
        <w:rPr>
          <w:rFonts w:ascii="Georgia" w:hAnsi="Georgia"/>
          <w:sz w:val="24"/>
          <w:szCs w:val="24"/>
        </w:rPr>
        <w:t xml:space="preserve"> because of </w:t>
      </w:r>
      <w:r w:rsidR="00945AB9">
        <w:rPr>
          <w:rFonts w:ascii="Georgia" w:hAnsi="Georgia"/>
          <w:sz w:val="24"/>
          <w:szCs w:val="24"/>
        </w:rPr>
        <w:t>our permissive policies on gas exports</w:t>
      </w:r>
      <w:r w:rsidR="000615B6">
        <w:rPr>
          <w:rFonts w:ascii="Georgia" w:hAnsi="Georgia"/>
          <w:sz w:val="24"/>
          <w:szCs w:val="24"/>
        </w:rPr>
        <w:t xml:space="preserve">. </w:t>
      </w:r>
    </w:p>
    <w:p w14:paraId="378ABA68" w14:textId="544E0E82" w:rsidR="0018386D" w:rsidRDefault="0018386D" w:rsidP="0092110F">
      <w:pPr>
        <w:spacing w:line="360" w:lineRule="auto"/>
        <w:ind w:firstLine="720"/>
        <w:rPr>
          <w:rFonts w:ascii="Georgia" w:hAnsi="Georgia"/>
          <w:sz w:val="24"/>
          <w:szCs w:val="24"/>
          <w:u w:val="single"/>
        </w:rPr>
      </w:pPr>
      <w:r>
        <w:rPr>
          <w:rFonts w:ascii="Georgia" w:hAnsi="Georgia"/>
          <w:sz w:val="24"/>
          <w:szCs w:val="24"/>
        </w:rPr>
        <w:t>While of course action must be ta</w:t>
      </w:r>
      <w:r w:rsidR="00945AB9">
        <w:rPr>
          <w:rFonts w:ascii="Georgia" w:hAnsi="Georgia"/>
          <w:sz w:val="24"/>
          <w:szCs w:val="24"/>
        </w:rPr>
        <w:t xml:space="preserve">ken to </w:t>
      </w:r>
      <w:r w:rsidR="004D79AF">
        <w:rPr>
          <w:rFonts w:ascii="Georgia" w:hAnsi="Georgia"/>
          <w:sz w:val="24"/>
          <w:szCs w:val="24"/>
        </w:rPr>
        <w:t xml:space="preserve">empower households to </w:t>
      </w:r>
      <w:r w:rsidR="007D3603">
        <w:rPr>
          <w:rFonts w:ascii="Georgia" w:hAnsi="Georgia"/>
          <w:sz w:val="24"/>
          <w:szCs w:val="24"/>
        </w:rPr>
        <w:t xml:space="preserve">avoid exposure to </w:t>
      </w:r>
      <w:r w:rsidR="00E708FB">
        <w:rPr>
          <w:rFonts w:ascii="Georgia" w:hAnsi="Georgia"/>
          <w:sz w:val="24"/>
          <w:szCs w:val="24"/>
        </w:rPr>
        <w:t>volatility</w:t>
      </w:r>
      <w:r w:rsidR="00260058">
        <w:rPr>
          <w:rFonts w:ascii="Georgia" w:hAnsi="Georgia"/>
          <w:sz w:val="24"/>
          <w:szCs w:val="24"/>
        </w:rPr>
        <w:t xml:space="preserve">-priced fossil fuel commodities </w:t>
      </w:r>
      <w:r w:rsidR="00BF74E7">
        <w:rPr>
          <w:rFonts w:ascii="Georgia" w:hAnsi="Georgia"/>
          <w:sz w:val="24"/>
          <w:szCs w:val="24"/>
        </w:rPr>
        <w:t xml:space="preserve">by promoting renewable power, building electrification and other initiatives that </w:t>
      </w:r>
      <w:r w:rsidR="00A06E1B">
        <w:rPr>
          <w:rFonts w:ascii="Georgia" w:hAnsi="Georgia"/>
          <w:sz w:val="24"/>
          <w:szCs w:val="24"/>
        </w:rPr>
        <w:t>emphasize</w:t>
      </w:r>
      <w:r w:rsidR="00BF74E7">
        <w:rPr>
          <w:rFonts w:ascii="Georgia" w:hAnsi="Georgia"/>
          <w:sz w:val="24"/>
          <w:szCs w:val="24"/>
        </w:rPr>
        <w:t xml:space="preserve"> equitable access to </w:t>
      </w:r>
      <w:r w:rsidR="00295362">
        <w:rPr>
          <w:rFonts w:ascii="Georgia" w:hAnsi="Georgia"/>
          <w:sz w:val="24"/>
          <w:szCs w:val="24"/>
        </w:rPr>
        <w:t xml:space="preserve">clean energy, </w:t>
      </w:r>
      <w:r w:rsidR="00295362" w:rsidRPr="000538BE">
        <w:rPr>
          <w:rFonts w:ascii="Georgia" w:hAnsi="Georgia"/>
          <w:sz w:val="24"/>
          <w:szCs w:val="24"/>
          <w:u w:val="single"/>
        </w:rPr>
        <w:t xml:space="preserve">there is a critical action that ISO-NE and other </w:t>
      </w:r>
      <w:r w:rsidR="00196DB9" w:rsidRPr="000538BE">
        <w:rPr>
          <w:rFonts w:ascii="Georgia" w:hAnsi="Georgia"/>
          <w:sz w:val="24"/>
          <w:szCs w:val="24"/>
          <w:u w:val="single"/>
        </w:rPr>
        <w:t xml:space="preserve">stakeholders must take: </w:t>
      </w:r>
      <w:r w:rsidR="00D42EEE" w:rsidRPr="000538BE">
        <w:rPr>
          <w:rFonts w:ascii="Georgia" w:hAnsi="Georgia"/>
          <w:sz w:val="24"/>
          <w:szCs w:val="24"/>
          <w:u w:val="single"/>
        </w:rPr>
        <w:t>ask the</w:t>
      </w:r>
      <w:r w:rsidR="00196DB9" w:rsidRPr="000538BE">
        <w:rPr>
          <w:rFonts w:ascii="Georgia" w:hAnsi="Georgia"/>
          <w:sz w:val="24"/>
          <w:szCs w:val="24"/>
          <w:u w:val="single"/>
        </w:rPr>
        <w:t xml:space="preserve"> U.S. Department of Energy to declare that exports of natural gas </w:t>
      </w:r>
      <w:r w:rsidR="006049D7" w:rsidRPr="000538BE">
        <w:rPr>
          <w:rFonts w:ascii="Georgia" w:hAnsi="Georgia"/>
          <w:sz w:val="24"/>
          <w:szCs w:val="24"/>
          <w:u w:val="single"/>
        </w:rPr>
        <w:t xml:space="preserve">are inconsistent with the public interest, and </w:t>
      </w:r>
      <w:r w:rsidR="00E90FE6" w:rsidRPr="000538BE">
        <w:rPr>
          <w:rFonts w:ascii="Georgia" w:hAnsi="Georgia"/>
          <w:sz w:val="24"/>
          <w:szCs w:val="24"/>
          <w:u w:val="single"/>
        </w:rPr>
        <w:t>ensure that</w:t>
      </w:r>
      <w:r w:rsidR="00D42EEE" w:rsidRPr="000538BE">
        <w:rPr>
          <w:rFonts w:ascii="Georgia" w:hAnsi="Georgia"/>
          <w:sz w:val="24"/>
          <w:szCs w:val="24"/>
          <w:u w:val="single"/>
        </w:rPr>
        <w:t xml:space="preserve"> New England’s</w:t>
      </w:r>
      <w:r w:rsidR="003B4F3B" w:rsidRPr="000538BE">
        <w:rPr>
          <w:rFonts w:ascii="Georgia" w:hAnsi="Georgia"/>
          <w:sz w:val="24"/>
          <w:szCs w:val="24"/>
          <w:u w:val="single"/>
        </w:rPr>
        <w:t xml:space="preserve"> needs are prioritized over</w:t>
      </w:r>
      <w:r w:rsidR="00CF67FE" w:rsidRPr="000538BE">
        <w:rPr>
          <w:rFonts w:ascii="Georgia" w:hAnsi="Georgia"/>
          <w:sz w:val="24"/>
          <w:szCs w:val="24"/>
          <w:u w:val="single"/>
        </w:rPr>
        <w:t xml:space="preserve"> exports.</w:t>
      </w:r>
      <w:r w:rsidR="008F7AF0">
        <w:rPr>
          <w:rStyle w:val="FootnoteReference"/>
          <w:rFonts w:ascii="Georgia" w:hAnsi="Georgia"/>
          <w:sz w:val="24"/>
          <w:szCs w:val="24"/>
          <w:u w:val="single"/>
        </w:rPr>
        <w:footnoteReference w:id="2"/>
      </w:r>
    </w:p>
    <w:p w14:paraId="2B730F20" w14:textId="2E42206E" w:rsidR="00F23828" w:rsidRDefault="00F23828" w:rsidP="0092110F">
      <w:pPr>
        <w:spacing w:line="360" w:lineRule="auto"/>
        <w:ind w:firstLine="720"/>
        <w:rPr>
          <w:rFonts w:ascii="Georgia" w:hAnsi="Georgia"/>
          <w:sz w:val="24"/>
          <w:szCs w:val="24"/>
        </w:rPr>
      </w:pPr>
      <w:r>
        <w:rPr>
          <w:rFonts w:ascii="Georgia" w:hAnsi="Georgia"/>
          <w:sz w:val="24"/>
          <w:szCs w:val="24"/>
          <w:u w:val="single"/>
        </w:rPr>
        <w:t xml:space="preserve">In addition, ISO-NE and other market participants should request Commission action under </w:t>
      </w:r>
      <w:r w:rsidR="001625EA" w:rsidRPr="001625EA">
        <w:rPr>
          <w:rFonts w:ascii="Georgia" w:hAnsi="Georgia"/>
          <w:sz w:val="24"/>
          <w:szCs w:val="24"/>
          <w:u w:val="single"/>
        </w:rPr>
        <w:t>15 USC §</w:t>
      </w:r>
      <w:r w:rsidR="001625EA" w:rsidRPr="001625EA">
        <w:rPr>
          <w:rFonts w:ascii="Times New Roman" w:hAnsi="Times New Roman" w:cs="Times New Roman"/>
          <w:sz w:val="24"/>
          <w:szCs w:val="24"/>
          <w:u w:val="single"/>
        </w:rPr>
        <w:t> </w:t>
      </w:r>
      <w:r w:rsidR="001625EA" w:rsidRPr="001625EA">
        <w:rPr>
          <w:rFonts w:ascii="Georgia" w:hAnsi="Georgia"/>
          <w:sz w:val="24"/>
          <w:szCs w:val="24"/>
          <w:u w:val="single"/>
        </w:rPr>
        <w:t>717t</w:t>
      </w:r>
      <w:r w:rsidR="001625EA" w:rsidRPr="001625EA">
        <w:rPr>
          <w:rFonts w:ascii="Georgia" w:hAnsi="Georgia" w:cs="Georgia"/>
          <w:sz w:val="24"/>
          <w:szCs w:val="24"/>
          <w:u w:val="single"/>
        </w:rPr>
        <w:t>–</w:t>
      </w:r>
      <w:r w:rsidR="001625EA" w:rsidRPr="001625EA">
        <w:rPr>
          <w:rFonts w:ascii="Georgia" w:hAnsi="Georgia"/>
          <w:sz w:val="24"/>
          <w:szCs w:val="24"/>
          <w:u w:val="single"/>
        </w:rPr>
        <w:t>2(a)(4)</w:t>
      </w:r>
      <w:r w:rsidR="002B7FDF">
        <w:rPr>
          <w:rFonts w:ascii="Georgia" w:hAnsi="Georgia"/>
          <w:sz w:val="24"/>
          <w:szCs w:val="24"/>
          <w:u w:val="single"/>
        </w:rPr>
        <w:t xml:space="preserve"> and establish an RTO for spot natural gas trading in New England in order to improve </w:t>
      </w:r>
      <w:r w:rsidR="00630034">
        <w:rPr>
          <w:rFonts w:ascii="Georgia" w:hAnsi="Georgia"/>
          <w:sz w:val="24"/>
          <w:szCs w:val="24"/>
          <w:u w:val="single"/>
        </w:rPr>
        <w:t>market transparency.</w:t>
      </w:r>
    </w:p>
    <w:p w14:paraId="392A5D77" w14:textId="77777777" w:rsidR="005B4E63" w:rsidRDefault="005B4E63" w:rsidP="00E708FB">
      <w:pPr>
        <w:ind w:firstLine="720"/>
        <w:rPr>
          <w:rFonts w:ascii="Georgia" w:hAnsi="Georgia"/>
          <w:sz w:val="24"/>
          <w:szCs w:val="24"/>
        </w:rPr>
      </w:pPr>
    </w:p>
    <w:p w14:paraId="33291C31" w14:textId="0111DC7D" w:rsidR="004C69C2" w:rsidRPr="0092110F" w:rsidRDefault="004C69C2" w:rsidP="004C69C2">
      <w:pPr>
        <w:pStyle w:val="NormalWeb"/>
        <w:spacing w:before="0" w:beforeAutospacing="0" w:after="0" w:afterAutospacing="0"/>
        <w:jc w:val="center"/>
        <w:rPr>
          <w:rFonts w:ascii="Georgia" w:hAnsi="Georgia"/>
          <w:b/>
          <w:bCs/>
          <w:sz w:val="28"/>
          <w:szCs w:val="28"/>
        </w:rPr>
      </w:pPr>
      <w:r w:rsidRPr="0092110F">
        <w:rPr>
          <w:rFonts w:ascii="Georgia" w:hAnsi="Georgia"/>
          <w:b/>
          <w:bCs/>
          <w:sz w:val="28"/>
          <w:szCs w:val="28"/>
        </w:rPr>
        <w:t xml:space="preserve">Record </w:t>
      </w:r>
      <w:r w:rsidRPr="0092110F">
        <w:rPr>
          <w:rFonts w:ascii="Georgia" w:hAnsi="Georgia"/>
          <w:b/>
          <w:bCs/>
          <w:sz w:val="28"/>
          <w:szCs w:val="28"/>
        </w:rPr>
        <w:t>Natural Gas</w:t>
      </w:r>
      <w:r w:rsidRPr="0092110F">
        <w:rPr>
          <w:rFonts w:ascii="Georgia" w:hAnsi="Georgia"/>
          <w:b/>
          <w:bCs/>
          <w:sz w:val="28"/>
          <w:szCs w:val="28"/>
        </w:rPr>
        <w:t xml:space="preserve"> Exports Result in Spiking Domestic Prices</w:t>
      </w:r>
    </w:p>
    <w:p w14:paraId="3EA75F30" w14:textId="25444BE7" w:rsidR="006E0737" w:rsidRDefault="004C69C2" w:rsidP="004C69C2">
      <w:pPr>
        <w:rPr>
          <w:rFonts w:ascii="Georgia" w:hAnsi="Georgia"/>
          <w:sz w:val="24"/>
          <w:szCs w:val="24"/>
        </w:rPr>
      </w:pPr>
      <w:r>
        <w:rPr>
          <w:rFonts w:ascii="Georgia" w:hAnsi="Georgia"/>
          <w:sz w:val="24"/>
          <w:szCs w:val="24"/>
        </w:rPr>
        <w:tab/>
      </w:r>
    </w:p>
    <w:p w14:paraId="0B9A0D7B" w14:textId="3CC40802" w:rsidR="006E0737" w:rsidRDefault="00F67A58" w:rsidP="0092110F">
      <w:pPr>
        <w:spacing w:line="360" w:lineRule="auto"/>
        <w:ind w:firstLine="720"/>
        <w:rPr>
          <w:rFonts w:ascii="Georgia" w:hAnsi="Georgia"/>
          <w:sz w:val="24"/>
          <w:szCs w:val="24"/>
        </w:rPr>
      </w:pPr>
      <w:r>
        <w:rPr>
          <w:rFonts w:ascii="Georgia" w:hAnsi="Georgia"/>
          <w:sz w:val="24"/>
          <w:szCs w:val="24"/>
        </w:rPr>
        <w:t>Today</w:t>
      </w:r>
      <w:r w:rsidR="004C69C2">
        <w:rPr>
          <w:rFonts w:ascii="Georgia" w:hAnsi="Georgia"/>
          <w:sz w:val="24"/>
          <w:szCs w:val="24"/>
        </w:rPr>
        <w:t xml:space="preserve"> the United States </w:t>
      </w:r>
      <w:r>
        <w:rPr>
          <w:rFonts w:ascii="Georgia" w:hAnsi="Georgia"/>
          <w:sz w:val="24"/>
          <w:szCs w:val="24"/>
        </w:rPr>
        <w:t>i</w:t>
      </w:r>
      <w:r w:rsidR="004C69C2">
        <w:rPr>
          <w:rFonts w:ascii="Georgia" w:hAnsi="Georgia"/>
          <w:sz w:val="24"/>
          <w:szCs w:val="24"/>
        </w:rPr>
        <w:t xml:space="preserve">s both the world’s largest natural gas producer </w:t>
      </w:r>
      <w:r w:rsidR="004C69C2">
        <w:rPr>
          <w:rFonts w:ascii="Georgia" w:hAnsi="Georgia"/>
          <w:i/>
          <w:iCs/>
          <w:sz w:val="24"/>
          <w:szCs w:val="24"/>
        </w:rPr>
        <w:t>and</w:t>
      </w:r>
      <w:r w:rsidR="004C69C2">
        <w:rPr>
          <w:rFonts w:ascii="Georgia" w:hAnsi="Georgia"/>
          <w:sz w:val="24"/>
          <w:szCs w:val="24"/>
        </w:rPr>
        <w:t xml:space="preserve"> the world’s largest natural gas exporter.</w:t>
      </w:r>
      <w:r w:rsidR="00F76EBF">
        <w:rPr>
          <w:rFonts w:ascii="Georgia" w:hAnsi="Georgia"/>
          <w:sz w:val="24"/>
          <w:szCs w:val="24"/>
        </w:rPr>
        <w:t xml:space="preserve"> Twenty percent of our record domestic gas production is now exported</w:t>
      </w:r>
      <w:r>
        <w:rPr>
          <w:rFonts w:ascii="Georgia" w:hAnsi="Georgia"/>
          <w:sz w:val="24"/>
          <w:szCs w:val="24"/>
        </w:rPr>
        <w:t xml:space="preserve"> out of the United States</w:t>
      </w:r>
      <w:r w:rsidR="00F76EBF">
        <w:rPr>
          <w:rFonts w:ascii="Georgia" w:hAnsi="Georgia"/>
          <w:sz w:val="24"/>
          <w:szCs w:val="24"/>
        </w:rPr>
        <w:t>.</w:t>
      </w:r>
      <w:r w:rsidR="00306576">
        <w:rPr>
          <w:rStyle w:val="FootnoteReference"/>
          <w:rFonts w:ascii="Georgia" w:hAnsi="Georgia"/>
          <w:sz w:val="24"/>
          <w:szCs w:val="24"/>
        </w:rPr>
        <w:footnoteReference w:id="3"/>
      </w:r>
    </w:p>
    <w:p w14:paraId="334F984E" w14:textId="3790EFF5" w:rsidR="008A56AE" w:rsidRDefault="003E67CB" w:rsidP="0092110F">
      <w:pPr>
        <w:spacing w:line="360" w:lineRule="auto"/>
        <w:ind w:firstLine="720"/>
        <w:rPr>
          <w:rFonts w:ascii="Georgia" w:hAnsi="Georgia"/>
          <w:sz w:val="24"/>
          <w:szCs w:val="24"/>
        </w:rPr>
      </w:pPr>
      <w:r>
        <w:rPr>
          <w:rFonts w:ascii="Georgia" w:hAnsi="Georgia"/>
          <w:sz w:val="24"/>
          <w:szCs w:val="24"/>
        </w:rPr>
        <w:lastRenderedPageBreak/>
        <w:t xml:space="preserve">New England is a net exporter of natural gas, </w:t>
      </w:r>
      <w:r w:rsidR="00BE08F2">
        <w:rPr>
          <w:rFonts w:ascii="Georgia" w:hAnsi="Georgia"/>
          <w:sz w:val="24"/>
          <w:szCs w:val="24"/>
        </w:rPr>
        <w:t>as exports have surged</w:t>
      </w:r>
      <w:r w:rsidR="00C07706">
        <w:rPr>
          <w:rFonts w:ascii="Georgia" w:hAnsi="Georgia"/>
          <w:sz w:val="24"/>
          <w:szCs w:val="24"/>
        </w:rPr>
        <w:t xml:space="preserve"> in excess of imports since 2019. Total pipeline exports of natural gas out of New England and into Canada exceed the amount of gas used by the </w:t>
      </w:r>
      <w:r w:rsidR="00141CEE">
        <w:rPr>
          <w:rFonts w:ascii="Georgia" w:hAnsi="Georgia"/>
          <w:sz w:val="24"/>
          <w:szCs w:val="24"/>
        </w:rPr>
        <w:t xml:space="preserve">entire Massachusetts </w:t>
      </w:r>
      <w:r w:rsidR="00C07706">
        <w:rPr>
          <w:rFonts w:ascii="Georgia" w:hAnsi="Georgia"/>
          <w:sz w:val="24"/>
          <w:szCs w:val="24"/>
        </w:rPr>
        <w:t>power sector</w:t>
      </w:r>
      <w:r w:rsidR="00141CEE">
        <w:rPr>
          <w:rFonts w:ascii="Georgia" w:hAnsi="Georgia"/>
          <w:sz w:val="24"/>
          <w:szCs w:val="24"/>
        </w:rPr>
        <w:t>.</w:t>
      </w:r>
      <w:r w:rsidR="00605BDD">
        <w:rPr>
          <w:rStyle w:val="FootnoteReference"/>
          <w:rFonts w:ascii="Georgia" w:hAnsi="Georgia"/>
          <w:sz w:val="24"/>
          <w:szCs w:val="24"/>
        </w:rPr>
        <w:footnoteReference w:id="4"/>
      </w:r>
      <w:r w:rsidR="00C07706">
        <w:rPr>
          <w:rFonts w:ascii="Georgia" w:hAnsi="Georgia"/>
          <w:sz w:val="24"/>
          <w:szCs w:val="24"/>
        </w:rPr>
        <w:t xml:space="preserve"> </w:t>
      </w:r>
    </w:p>
    <w:p w14:paraId="231555B2" w14:textId="42705AD0" w:rsidR="007E4222" w:rsidRPr="004C69C2" w:rsidRDefault="0069549B" w:rsidP="0092110F">
      <w:pPr>
        <w:spacing w:line="360" w:lineRule="auto"/>
        <w:ind w:firstLine="720"/>
        <w:rPr>
          <w:rFonts w:ascii="Georgia" w:hAnsi="Georgia"/>
          <w:sz w:val="24"/>
          <w:szCs w:val="24"/>
        </w:rPr>
      </w:pPr>
      <w:r>
        <w:rPr>
          <w:rFonts w:ascii="Georgia" w:hAnsi="Georgia"/>
          <w:sz w:val="24"/>
          <w:szCs w:val="24"/>
        </w:rPr>
        <w:t xml:space="preserve">New England </w:t>
      </w:r>
      <w:r w:rsidR="00AA7F87">
        <w:rPr>
          <w:rFonts w:ascii="Georgia" w:hAnsi="Georgia"/>
          <w:sz w:val="24"/>
          <w:szCs w:val="24"/>
        </w:rPr>
        <w:t xml:space="preserve">also </w:t>
      </w:r>
      <w:r>
        <w:rPr>
          <w:rFonts w:ascii="Georgia" w:hAnsi="Georgia"/>
          <w:sz w:val="24"/>
          <w:szCs w:val="24"/>
        </w:rPr>
        <w:t>compete</w:t>
      </w:r>
      <w:r w:rsidR="00AA7F87">
        <w:rPr>
          <w:rFonts w:ascii="Georgia" w:hAnsi="Georgia"/>
          <w:sz w:val="24"/>
          <w:szCs w:val="24"/>
        </w:rPr>
        <w:t>s</w:t>
      </w:r>
      <w:r>
        <w:rPr>
          <w:rFonts w:ascii="Georgia" w:hAnsi="Georgia"/>
          <w:sz w:val="24"/>
          <w:szCs w:val="24"/>
        </w:rPr>
        <w:t xml:space="preserve"> </w:t>
      </w:r>
      <w:r w:rsidR="00342811">
        <w:rPr>
          <w:rFonts w:ascii="Georgia" w:hAnsi="Georgia"/>
          <w:sz w:val="24"/>
          <w:szCs w:val="24"/>
        </w:rPr>
        <w:t xml:space="preserve">for fuel </w:t>
      </w:r>
      <w:r>
        <w:rPr>
          <w:rFonts w:ascii="Georgia" w:hAnsi="Georgia"/>
          <w:sz w:val="24"/>
          <w:szCs w:val="24"/>
        </w:rPr>
        <w:t>with the Cove Point LNG export terminal</w:t>
      </w:r>
      <w:r w:rsidR="00810161">
        <w:rPr>
          <w:rFonts w:ascii="Georgia" w:hAnsi="Georgia"/>
          <w:sz w:val="24"/>
          <w:szCs w:val="24"/>
        </w:rPr>
        <w:t xml:space="preserve"> in Maryland. Cove Point</w:t>
      </w:r>
      <w:r w:rsidR="00342811">
        <w:rPr>
          <w:rFonts w:ascii="Georgia" w:hAnsi="Georgia"/>
          <w:sz w:val="24"/>
          <w:szCs w:val="24"/>
        </w:rPr>
        <w:t xml:space="preserve"> LNG</w:t>
      </w:r>
      <w:r w:rsidR="00810161">
        <w:rPr>
          <w:rFonts w:ascii="Georgia" w:hAnsi="Georgia"/>
          <w:sz w:val="24"/>
          <w:szCs w:val="24"/>
        </w:rPr>
        <w:t xml:space="preserve">, owned by Berkshire Hathaway, Brookfield </w:t>
      </w:r>
      <w:r w:rsidR="003F684C">
        <w:rPr>
          <w:rFonts w:ascii="Georgia" w:hAnsi="Georgia"/>
          <w:sz w:val="24"/>
          <w:szCs w:val="24"/>
        </w:rPr>
        <w:t>Asset Management and Dominion Resources, exports</w:t>
      </w:r>
      <w:r w:rsidR="00923A28">
        <w:rPr>
          <w:rFonts w:ascii="Georgia" w:hAnsi="Georgia"/>
          <w:sz w:val="24"/>
          <w:szCs w:val="24"/>
        </w:rPr>
        <w:t xml:space="preserve"> </w:t>
      </w:r>
      <w:r w:rsidR="00923A28" w:rsidRPr="00923A28">
        <w:rPr>
          <w:rFonts w:ascii="Georgia" w:hAnsi="Georgia"/>
          <w:sz w:val="24"/>
          <w:szCs w:val="24"/>
        </w:rPr>
        <w:t>700</w:t>
      </w:r>
      <w:r w:rsidR="00923A28">
        <w:rPr>
          <w:rFonts w:ascii="Georgia" w:hAnsi="Georgia"/>
          <w:sz w:val="24"/>
          <w:szCs w:val="24"/>
        </w:rPr>
        <w:t xml:space="preserve"> million cubic feet per day </w:t>
      </w:r>
      <w:r w:rsidR="003F684C">
        <w:rPr>
          <w:rFonts w:ascii="Georgia" w:hAnsi="Georgia"/>
          <w:sz w:val="24"/>
          <w:szCs w:val="24"/>
        </w:rPr>
        <w:t xml:space="preserve">of </w:t>
      </w:r>
      <w:r w:rsidR="00923A28">
        <w:rPr>
          <w:rFonts w:ascii="Georgia" w:hAnsi="Georgia"/>
          <w:sz w:val="24"/>
          <w:szCs w:val="24"/>
        </w:rPr>
        <w:t xml:space="preserve">LNG. </w:t>
      </w:r>
      <w:r w:rsidR="007401A9">
        <w:rPr>
          <w:rFonts w:ascii="Georgia" w:hAnsi="Georgia"/>
          <w:sz w:val="24"/>
          <w:szCs w:val="24"/>
        </w:rPr>
        <w:t>Cove Point is directly connected to the Marcellus Shale</w:t>
      </w:r>
      <w:r w:rsidR="003102A8">
        <w:rPr>
          <w:rFonts w:ascii="Georgia" w:hAnsi="Georgia"/>
          <w:sz w:val="24"/>
          <w:szCs w:val="24"/>
        </w:rPr>
        <w:t xml:space="preserve">, supplied by fracked production via </w:t>
      </w:r>
      <w:r w:rsidR="00343AA4" w:rsidRPr="00343AA4">
        <w:rPr>
          <w:rFonts w:ascii="Georgia" w:hAnsi="Georgia"/>
          <w:sz w:val="24"/>
          <w:szCs w:val="24"/>
        </w:rPr>
        <w:t>Coterra Energy and Antero Resources</w:t>
      </w:r>
      <w:r w:rsidR="00A86613">
        <w:rPr>
          <w:rFonts w:ascii="Georgia" w:hAnsi="Georgia"/>
          <w:sz w:val="24"/>
          <w:szCs w:val="24"/>
        </w:rPr>
        <w:t>,</w:t>
      </w:r>
      <w:r w:rsidR="00FC50BF">
        <w:rPr>
          <w:rFonts w:ascii="Georgia" w:hAnsi="Georgia"/>
          <w:sz w:val="24"/>
          <w:szCs w:val="24"/>
        </w:rPr>
        <w:t xml:space="preserve"> and</w:t>
      </w:r>
      <w:r w:rsidR="00A86613">
        <w:rPr>
          <w:rFonts w:ascii="Georgia" w:hAnsi="Georgia"/>
          <w:sz w:val="24"/>
          <w:szCs w:val="24"/>
        </w:rPr>
        <w:t xml:space="preserve"> fed by </w:t>
      </w:r>
      <w:r w:rsidR="00972569">
        <w:rPr>
          <w:rFonts w:ascii="Georgia" w:hAnsi="Georgia"/>
          <w:sz w:val="24"/>
          <w:szCs w:val="24"/>
        </w:rPr>
        <w:t xml:space="preserve">Williams’ </w:t>
      </w:r>
      <w:r w:rsidR="00497BC9" w:rsidRPr="00497BC9">
        <w:rPr>
          <w:rFonts w:ascii="Georgia" w:hAnsi="Georgia"/>
          <w:sz w:val="24"/>
          <w:szCs w:val="24"/>
        </w:rPr>
        <w:t xml:space="preserve">Transco and </w:t>
      </w:r>
      <w:r w:rsidR="003576A7">
        <w:rPr>
          <w:rFonts w:ascii="Georgia" w:hAnsi="Georgia"/>
          <w:sz w:val="24"/>
          <w:szCs w:val="24"/>
        </w:rPr>
        <w:t xml:space="preserve">TC Energy’s </w:t>
      </w:r>
      <w:r w:rsidR="00497BC9" w:rsidRPr="00497BC9">
        <w:rPr>
          <w:rFonts w:ascii="Georgia" w:hAnsi="Georgia"/>
          <w:sz w:val="24"/>
          <w:szCs w:val="24"/>
        </w:rPr>
        <w:t xml:space="preserve">Columbia Gas </w:t>
      </w:r>
      <w:r w:rsidR="00230D5F">
        <w:rPr>
          <w:rFonts w:ascii="Georgia" w:hAnsi="Georgia"/>
          <w:sz w:val="24"/>
          <w:szCs w:val="24"/>
        </w:rPr>
        <w:t>pipelines.</w:t>
      </w:r>
      <w:r w:rsidR="0023579D">
        <w:rPr>
          <w:rStyle w:val="FootnoteReference"/>
          <w:rFonts w:ascii="Georgia" w:hAnsi="Georgia"/>
          <w:sz w:val="24"/>
          <w:szCs w:val="24"/>
        </w:rPr>
        <w:footnoteReference w:id="5"/>
      </w:r>
      <w:r w:rsidR="000F2F13">
        <w:rPr>
          <w:rFonts w:ascii="Georgia" w:hAnsi="Georgia"/>
          <w:sz w:val="24"/>
          <w:szCs w:val="24"/>
        </w:rPr>
        <w:t xml:space="preserve"> </w:t>
      </w:r>
      <w:r w:rsidR="002E45CE">
        <w:rPr>
          <w:rFonts w:ascii="Georgia" w:hAnsi="Georgia"/>
          <w:sz w:val="24"/>
          <w:szCs w:val="24"/>
        </w:rPr>
        <w:t>New England is therefore forced to compete with</w:t>
      </w:r>
      <w:r w:rsidR="000F2F13">
        <w:rPr>
          <w:rFonts w:ascii="Georgia" w:hAnsi="Georgia"/>
          <w:sz w:val="24"/>
          <w:szCs w:val="24"/>
        </w:rPr>
        <w:t xml:space="preserve"> exports to Canada via </w:t>
      </w:r>
      <w:r w:rsidR="0035082B">
        <w:rPr>
          <w:rFonts w:ascii="Georgia" w:hAnsi="Georgia"/>
          <w:sz w:val="24"/>
          <w:szCs w:val="24"/>
        </w:rPr>
        <w:t xml:space="preserve">the </w:t>
      </w:r>
      <w:r w:rsidR="0035082B" w:rsidRPr="0035082B">
        <w:rPr>
          <w:rFonts w:ascii="Georgia" w:hAnsi="Georgia"/>
          <w:sz w:val="24"/>
          <w:szCs w:val="24"/>
        </w:rPr>
        <w:t>Maritimes &amp; Northeast Pipeline (owned by Spectra Energy Partners, Emera and ExxonMobil)</w:t>
      </w:r>
      <w:r w:rsidR="0035082B">
        <w:rPr>
          <w:rFonts w:ascii="Georgia" w:hAnsi="Georgia"/>
          <w:sz w:val="24"/>
          <w:szCs w:val="24"/>
        </w:rPr>
        <w:t xml:space="preserve"> at Calais, Maine and the routing of gas from the Marcellus to </w:t>
      </w:r>
      <w:r w:rsidR="002E45CE">
        <w:rPr>
          <w:rFonts w:ascii="Georgia" w:hAnsi="Georgia"/>
          <w:sz w:val="24"/>
          <w:szCs w:val="24"/>
        </w:rPr>
        <w:t>Cove Point</w:t>
      </w:r>
      <w:r w:rsidR="002B32B7">
        <w:rPr>
          <w:rFonts w:ascii="Georgia" w:hAnsi="Georgia"/>
          <w:sz w:val="24"/>
          <w:szCs w:val="24"/>
        </w:rPr>
        <w:t xml:space="preserve"> LNG.</w:t>
      </w:r>
    </w:p>
    <w:p w14:paraId="135CE51B" w14:textId="11955ED4" w:rsidR="00D712B8" w:rsidRDefault="001C3EFE" w:rsidP="0092110F">
      <w:pPr>
        <w:spacing w:line="360" w:lineRule="auto"/>
        <w:ind w:firstLine="720"/>
        <w:rPr>
          <w:rFonts w:ascii="Georgia" w:hAnsi="Georgia"/>
          <w:sz w:val="24"/>
          <w:szCs w:val="24"/>
        </w:rPr>
      </w:pPr>
      <w:r>
        <w:rPr>
          <w:rFonts w:ascii="Georgia" w:hAnsi="Georgia"/>
          <w:sz w:val="24"/>
          <w:szCs w:val="24"/>
        </w:rPr>
        <w:t xml:space="preserve">The Commission’s most recent </w:t>
      </w:r>
      <w:r w:rsidRPr="001C3EFE">
        <w:rPr>
          <w:rFonts w:ascii="Georgia" w:hAnsi="Georgia"/>
          <w:i/>
          <w:iCs/>
          <w:sz w:val="24"/>
          <w:szCs w:val="24"/>
        </w:rPr>
        <w:t>Winter Energy Market and Reliability Assessment</w:t>
      </w:r>
      <w:r>
        <w:rPr>
          <w:rFonts w:ascii="Georgia" w:hAnsi="Georgia"/>
          <w:sz w:val="24"/>
          <w:szCs w:val="24"/>
        </w:rPr>
        <w:t xml:space="preserve"> concludes that “</w:t>
      </w:r>
      <w:r w:rsidRPr="00BF363D">
        <w:rPr>
          <w:rFonts w:ascii="Georgia" w:hAnsi="Georgia"/>
          <w:sz w:val="24"/>
          <w:szCs w:val="24"/>
        </w:rPr>
        <w:t>continued growth in net</w:t>
      </w:r>
      <w:r>
        <w:rPr>
          <w:rFonts w:ascii="Georgia" w:hAnsi="Georgia"/>
          <w:sz w:val="24"/>
          <w:szCs w:val="24"/>
        </w:rPr>
        <w:t xml:space="preserve"> </w:t>
      </w:r>
      <w:r w:rsidRPr="00BF363D">
        <w:rPr>
          <w:rFonts w:ascii="Georgia" w:hAnsi="Georgia"/>
          <w:sz w:val="24"/>
          <w:szCs w:val="24"/>
        </w:rPr>
        <w:t>exports, including from liquified natural gas (LNG) export facilities, will place additional pressure on natural</w:t>
      </w:r>
      <w:r>
        <w:rPr>
          <w:rFonts w:ascii="Georgia" w:hAnsi="Georgia"/>
          <w:sz w:val="24"/>
          <w:szCs w:val="24"/>
        </w:rPr>
        <w:t xml:space="preserve"> </w:t>
      </w:r>
      <w:r w:rsidRPr="00BF363D">
        <w:rPr>
          <w:rFonts w:ascii="Georgia" w:hAnsi="Georgia"/>
          <w:sz w:val="24"/>
          <w:szCs w:val="24"/>
        </w:rPr>
        <w:t>gas prices this winter</w:t>
      </w:r>
      <w:r>
        <w:rPr>
          <w:rFonts w:ascii="Georgia" w:hAnsi="Georgia"/>
          <w:sz w:val="24"/>
          <w:szCs w:val="24"/>
        </w:rPr>
        <w:t xml:space="preserve"> . . </w:t>
      </w:r>
      <w:r w:rsidRPr="00053544">
        <w:rPr>
          <w:rFonts w:ascii="Georgia" w:hAnsi="Georgia"/>
          <w:sz w:val="24"/>
          <w:szCs w:val="24"/>
        </w:rPr>
        <w:t>.</w:t>
      </w:r>
      <w:r>
        <w:rPr>
          <w:rFonts w:ascii="Georgia" w:hAnsi="Georgia"/>
          <w:sz w:val="24"/>
          <w:szCs w:val="24"/>
        </w:rPr>
        <w:t xml:space="preserve"> </w:t>
      </w:r>
      <w:r w:rsidRPr="00BE3685">
        <w:rPr>
          <w:rFonts w:ascii="Georgia" w:hAnsi="Georgia"/>
          <w:sz w:val="24"/>
          <w:szCs w:val="24"/>
        </w:rPr>
        <w:t>Traditionally, domestic fundamentals drive U.S. natural gas prices; this winter, international markets will likely</w:t>
      </w:r>
      <w:r>
        <w:rPr>
          <w:rFonts w:ascii="Georgia" w:hAnsi="Georgia"/>
          <w:sz w:val="24"/>
          <w:szCs w:val="24"/>
        </w:rPr>
        <w:t xml:space="preserve"> </w:t>
      </w:r>
      <w:r w:rsidRPr="00BE3685">
        <w:rPr>
          <w:rFonts w:ascii="Georgia" w:hAnsi="Georgia"/>
          <w:sz w:val="24"/>
          <w:szCs w:val="24"/>
        </w:rPr>
        <w:t>also affect U.S. natural gas markets and prices</w:t>
      </w:r>
      <w:r>
        <w:rPr>
          <w:rFonts w:ascii="Georgia" w:hAnsi="Georgia"/>
          <w:sz w:val="24"/>
          <w:szCs w:val="24"/>
        </w:rPr>
        <w:t xml:space="preserve"> . . . </w:t>
      </w:r>
      <w:r w:rsidRPr="00D25C8A">
        <w:rPr>
          <w:rFonts w:ascii="Georgia" w:hAnsi="Georgia"/>
          <w:sz w:val="24"/>
          <w:szCs w:val="24"/>
        </w:rPr>
        <w:t>the</w:t>
      </w:r>
      <w:r>
        <w:rPr>
          <w:rFonts w:ascii="Georgia" w:hAnsi="Georgia"/>
          <w:sz w:val="24"/>
          <w:szCs w:val="24"/>
        </w:rPr>
        <w:t xml:space="preserve"> </w:t>
      </w:r>
      <w:r w:rsidRPr="00D25C8A">
        <w:rPr>
          <w:rFonts w:ascii="Georgia" w:hAnsi="Georgia"/>
          <w:sz w:val="24"/>
          <w:szCs w:val="24"/>
        </w:rPr>
        <w:t>expansion of LNG export capability has integrated formerly disparate North American regional natural gas</w:t>
      </w:r>
      <w:r>
        <w:rPr>
          <w:rFonts w:ascii="Georgia" w:hAnsi="Georgia"/>
          <w:sz w:val="24"/>
          <w:szCs w:val="24"/>
        </w:rPr>
        <w:t xml:space="preserve"> </w:t>
      </w:r>
      <w:r w:rsidRPr="002457BC">
        <w:rPr>
          <w:rFonts w:ascii="Georgia" w:hAnsi="Georgia"/>
          <w:sz w:val="24"/>
          <w:szCs w:val="24"/>
        </w:rPr>
        <w:t>markets into the global market</w:t>
      </w:r>
      <w:r>
        <w:rPr>
          <w:rFonts w:ascii="Georgia" w:hAnsi="Georgia"/>
          <w:sz w:val="24"/>
          <w:szCs w:val="24"/>
        </w:rPr>
        <w:t xml:space="preserve"> . . . </w:t>
      </w:r>
      <w:r w:rsidRPr="008C64BC">
        <w:rPr>
          <w:rFonts w:ascii="Georgia" w:hAnsi="Georgia"/>
          <w:sz w:val="24"/>
          <w:szCs w:val="24"/>
        </w:rPr>
        <w:t>In New England, high global LNG prices are contributing to higher winter natural gas futures prices</w:t>
      </w:r>
      <w:r>
        <w:rPr>
          <w:rFonts w:ascii="Georgia" w:hAnsi="Georgia"/>
          <w:sz w:val="24"/>
          <w:szCs w:val="24"/>
        </w:rPr>
        <w:t>.”</w:t>
      </w:r>
      <w:r>
        <w:rPr>
          <w:rStyle w:val="FootnoteReference"/>
          <w:rFonts w:ascii="Georgia" w:hAnsi="Georgia"/>
          <w:sz w:val="24"/>
          <w:szCs w:val="24"/>
        </w:rPr>
        <w:footnoteReference w:id="6"/>
      </w:r>
    </w:p>
    <w:p w14:paraId="116FA696" w14:textId="77777777" w:rsidR="00751C06" w:rsidRDefault="00751C06" w:rsidP="0092110F">
      <w:pPr>
        <w:pStyle w:val="NormalWeb"/>
        <w:spacing w:before="0" w:beforeAutospacing="0" w:after="0" w:afterAutospacing="0" w:line="360" w:lineRule="auto"/>
        <w:rPr>
          <w:rFonts w:ascii="Georgia" w:hAnsi="Georgia"/>
          <w:sz w:val="24"/>
          <w:szCs w:val="24"/>
        </w:rPr>
      </w:pPr>
      <w:r>
        <w:rPr>
          <w:rFonts w:ascii="Georgia" w:hAnsi="Georgia"/>
          <w:sz w:val="24"/>
          <w:szCs w:val="24"/>
        </w:rPr>
        <w:t xml:space="preserve">The </w:t>
      </w:r>
      <w:r w:rsidRPr="00F84F81">
        <w:rPr>
          <w:rFonts w:ascii="Georgia" w:hAnsi="Georgia"/>
          <w:i/>
          <w:iCs/>
          <w:sz w:val="24"/>
          <w:szCs w:val="24"/>
        </w:rPr>
        <w:t>Wall Street Journal</w:t>
      </w:r>
      <w:r>
        <w:rPr>
          <w:rFonts w:ascii="Georgia" w:hAnsi="Georgia"/>
          <w:sz w:val="24"/>
          <w:szCs w:val="24"/>
        </w:rPr>
        <w:t xml:space="preserve"> reported “</w:t>
      </w:r>
      <w:r w:rsidRPr="00F84F81">
        <w:rPr>
          <w:rFonts w:ascii="Georgia" w:hAnsi="Georgia"/>
          <w:sz w:val="24"/>
          <w:szCs w:val="24"/>
        </w:rPr>
        <w:t xml:space="preserve">that natural-gas exports are pushing domestic prices higher . . . The pinch shows a growing tension between exporters and buyers who have enjoyed cheap gas for more than a decade. Some manufacturing and chemical companies have built entire businesses around low U.S. gas prices . . . Utilities from the Pacific Northwest to New England have filed regulatory requests to raise rates for natural gas this winter, citing a supply squeeze as a result of higher global demand . . . the U.S. is exporting a larger share of its natural gas than it ever has and shale producers </w:t>
      </w:r>
      <w:r w:rsidRPr="00F84F81">
        <w:rPr>
          <w:rFonts w:ascii="Georgia" w:hAnsi="Georgia"/>
          <w:sz w:val="24"/>
          <w:szCs w:val="24"/>
        </w:rPr>
        <w:lastRenderedPageBreak/>
        <w:t>aren’t quickly ramping up in response to high prices . . . some of the biggest natural-gas</w:t>
      </w:r>
      <w:r>
        <w:rPr>
          <w:rFonts w:ascii="Georgia" w:hAnsi="Georgia"/>
          <w:sz w:val="24"/>
          <w:szCs w:val="24"/>
        </w:rPr>
        <w:t xml:space="preserve"> </w:t>
      </w:r>
      <w:r w:rsidRPr="00F84F81">
        <w:rPr>
          <w:rFonts w:ascii="Georgia" w:hAnsi="Georgia"/>
          <w:sz w:val="24"/>
          <w:szCs w:val="24"/>
        </w:rPr>
        <w:t>producers have vowed to keep investments in production growth low.</w:t>
      </w:r>
      <w:r>
        <w:rPr>
          <w:rFonts w:ascii="Georgia" w:hAnsi="Georgia"/>
          <w:sz w:val="24"/>
          <w:szCs w:val="24"/>
        </w:rPr>
        <w:t>”</w:t>
      </w:r>
      <w:r>
        <w:rPr>
          <w:rStyle w:val="FootnoteReference"/>
          <w:rFonts w:ascii="Georgia" w:hAnsi="Georgia"/>
          <w:sz w:val="24"/>
          <w:szCs w:val="24"/>
        </w:rPr>
        <w:footnoteReference w:id="7"/>
      </w:r>
      <w:r w:rsidRPr="00154352">
        <w:rPr>
          <w:noProof/>
        </w:rPr>
        <w:t xml:space="preserve"> </w:t>
      </w:r>
    </w:p>
    <w:p w14:paraId="7878C235" w14:textId="77777777" w:rsidR="00751C06" w:rsidRDefault="00751C06" w:rsidP="0092110F">
      <w:pPr>
        <w:pStyle w:val="NormalWeb"/>
        <w:spacing w:before="0" w:beforeAutospacing="0" w:after="0" w:afterAutospacing="0" w:line="360" w:lineRule="auto"/>
        <w:ind w:firstLine="720"/>
        <w:rPr>
          <w:rFonts w:ascii="Georgia" w:hAnsi="Georgia"/>
          <w:sz w:val="24"/>
          <w:szCs w:val="24"/>
        </w:rPr>
      </w:pPr>
      <w:r w:rsidRPr="007E365F">
        <w:rPr>
          <w:rFonts w:ascii="Georgia" w:hAnsi="Georgia"/>
          <w:sz w:val="24"/>
          <w:szCs w:val="24"/>
        </w:rPr>
        <w:t>The National Energy Assistance Directors' Association estimates that household heating costs for the upcoming winter will be 34.3% higher for families using natural gas and 6.9% higher for those relying on electricity.</w:t>
      </w:r>
      <w:r>
        <w:rPr>
          <w:rStyle w:val="FootnoteReference"/>
          <w:rFonts w:ascii="Georgia" w:hAnsi="Georgia"/>
          <w:sz w:val="24"/>
          <w:szCs w:val="24"/>
        </w:rPr>
        <w:footnoteReference w:id="8"/>
      </w:r>
    </w:p>
    <w:p w14:paraId="1120348A" w14:textId="77777777" w:rsidR="00384827" w:rsidRDefault="00384827"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 xml:space="preserve">These high prices are creating significant economic hardship for tens of millions of American families. </w:t>
      </w:r>
      <w:r w:rsidRPr="002727C0">
        <w:rPr>
          <w:rFonts w:ascii="Georgia" w:hAnsi="Georgia"/>
          <w:sz w:val="24"/>
          <w:szCs w:val="24"/>
        </w:rPr>
        <w:t xml:space="preserve">Twenty-six percent of respondents to a U.S. Census Bureau survey taken </w:t>
      </w:r>
      <w:r>
        <w:rPr>
          <w:rFonts w:ascii="Georgia" w:hAnsi="Georgia"/>
          <w:sz w:val="24"/>
          <w:szCs w:val="24"/>
        </w:rPr>
        <w:t>in the summer of 2022</w:t>
      </w:r>
      <w:r w:rsidRPr="002727C0">
        <w:rPr>
          <w:rFonts w:ascii="Georgia" w:hAnsi="Georgia"/>
          <w:sz w:val="24"/>
          <w:szCs w:val="24"/>
        </w:rPr>
        <w:t xml:space="preserve"> said they had forgone necessities like food or medicine to pay their energy bills sometime during the preceding year</w:t>
      </w:r>
      <w:r>
        <w:rPr>
          <w:rFonts w:ascii="Georgia" w:hAnsi="Georgia"/>
          <w:sz w:val="24"/>
          <w:szCs w:val="24"/>
        </w:rPr>
        <w:t>.</w:t>
      </w:r>
      <w:r>
        <w:rPr>
          <w:rStyle w:val="FootnoteReference"/>
          <w:rFonts w:ascii="Georgia" w:hAnsi="Georgia"/>
          <w:sz w:val="24"/>
          <w:szCs w:val="24"/>
        </w:rPr>
        <w:footnoteReference w:id="9"/>
      </w:r>
      <w:r>
        <w:rPr>
          <w:rFonts w:ascii="Georgia" w:hAnsi="Georgia"/>
          <w:sz w:val="24"/>
          <w:szCs w:val="24"/>
        </w:rPr>
        <w:t xml:space="preserve"> Rising energy costs―anchored by higher natural gas prices stemming in part from record LNG exports―are the biggest factor driving inflation in the U.S.</w:t>
      </w:r>
      <w:r>
        <w:rPr>
          <w:rStyle w:val="FootnoteReference"/>
          <w:rFonts w:ascii="Georgia" w:hAnsi="Georgia"/>
          <w:sz w:val="24"/>
          <w:szCs w:val="24"/>
        </w:rPr>
        <w:footnoteReference w:id="10"/>
      </w:r>
    </w:p>
    <w:p w14:paraId="05E08378" w14:textId="77777777" w:rsidR="00384827" w:rsidRDefault="00384827" w:rsidP="00751C06">
      <w:pPr>
        <w:pStyle w:val="NormalWeb"/>
        <w:spacing w:before="0" w:beforeAutospacing="0" w:after="0" w:afterAutospacing="0"/>
        <w:rPr>
          <w:rFonts w:ascii="Georgia" w:hAnsi="Georgia"/>
          <w:sz w:val="24"/>
          <w:szCs w:val="24"/>
        </w:rPr>
      </w:pPr>
    </w:p>
    <w:p w14:paraId="1B602288" w14:textId="7DFB20B9" w:rsidR="00A312DF" w:rsidRPr="0092110F" w:rsidRDefault="008A56AE" w:rsidP="00A312DF">
      <w:pPr>
        <w:pStyle w:val="NormalWeb"/>
        <w:spacing w:before="0" w:beforeAutospacing="0" w:after="0" w:afterAutospacing="0"/>
        <w:jc w:val="center"/>
        <w:rPr>
          <w:rFonts w:ascii="Georgia" w:hAnsi="Georgia"/>
          <w:b/>
          <w:bCs/>
          <w:sz w:val="28"/>
          <w:szCs w:val="28"/>
        </w:rPr>
      </w:pPr>
      <w:r w:rsidRPr="0092110F">
        <w:rPr>
          <w:rFonts w:ascii="Georgia" w:hAnsi="Georgia"/>
          <w:b/>
          <w:bCs/>
          <w:sz w:val="28"/>
          <w:szCs w:val="28"/>
        </w:rPr>
        <w:t>Department of Energy</w:t>
      </w:r>
      <w:r w:rsidR="00A312DF" w:rsidRPr="0092110F">
        <w:rPr>
          <w:rFonts w:ascii="Georgia" w:hAnsi="Georgia"/>
          <w:b/>
          <w:bCs/>
          <w:sz w:val="28"/>
          <w:szCs w:val="28"/>
        </w:rPr>
        <w:t xml:space="preserve"> Export Authorization Background</w:t>
      </w:r>
    </w:p>
    <w:p w14:paraId="521981C3" w14:textId="77777777" w:rsidR="00A312DF" w:rsidRDefault="00A312DF" w:rsidP="00A312DF">
      <w:pPr>
        <w:pStyle w:val="NormalWeb"/>
        <w:spacing w:before="0" w:beforeAutospacing="0" w:after="0" w:afterAutospacing="0"/>
        <w:rPr>
          <w:rFonts w:ascii="Georgia" w:hAnsi="Georgia"/>
          <w:sz w:val="24"/>
          <w:szCs w:val="24"/>
        </w:rPr>
      </w:pPr>
    </w:p>
    <w:p w14:paraId="3794052F" w14:textId="77777777" w:rsidR="00A312DF" w:rsidRDefault="00A312DF" w:rsidP="0092110F">
      <w:pPr>
        <w:pStyle w:val="NormalWeb"/>
        <w:spacing w:before="0" w:beforeAutospacing="0" w:after="0" w:afterAutospacing="0" w:line="360" w:lineRule="auto"/>
        <w:ind w:firstLine="720"/>
        <w:rPr>
          <w:rFonts w:ascii="Georgia" w:hAnsi="Georgia"/>
          <w:sz w:val="24"/>
          <w:szCs w:val="24"/>
        </w:rPr>
      </w:pPr>
      <w:r w:rsidRPr="00F91061">
        <w:rPr>
          <w:rFonts w:ascii="Georgia" w:hAnsi="Georgia"/>
          <w:sz w:val="24"/>
          <w:szCs w:val="24"/>
        </w:rPr>
        <w:t>DOE</w:t>
      </w:r>
      <w:r>
        <w:rPr>
          <w:rFonts w:ascii="Georgia" w:hAnsi="Georgia"/>
          <w:sz w:val="24"/>
          <w:szCs w:val="24"/>
        </w:rPr>
        <w:t xml:space="preserve"> is </w:t>
      </w:r>
      <w:r w:rsidRPr="00F91061">
        <w:rPr>
          <w:rFonts w:ascii="Georgia" w:hAnsi="Georgia"/>
          <w:sz w:val="24"/>
          <w:szCs w:val="24"/>
        </w:rPr>
        <w:t>responsible for authorizing exports of</w:t>
      </w:r>
      <w:r>
        <w:rPr>
          <w:rFonts w:ascii="Georgia" w:hAnsi="Georgia"/>
          <w:sz w:val="24"/>
          <w:szCs w:val="24"/>
        </w:rPr>
        <w:t xml:space="preserve"> U.S.</w:t>
      </w:r>
      <w:r w:rsidRPr="00F91061">
        <w:rPr>
          <w:rFonts w:ascii="Georgia" w:hAnsi="Georgia"/>
          <w:sz w:val="24"/>
          <w:szCs w:val="24"/>
        </w:rPr>
        <w:t xml:space="preserve"> produced natural gas,</w:t>
      </w:r>
      <w:r>
        <w:rPr>
          <w:rFonts w:ascii="Georgia" w:hAnsi="Georgia"/>
          <w:sz w:val="24"/>
          <w:szCs w:val="24"/>
        </w:rPr>
        <w:t xml:space="preserve"> </w:t>
      </w:r>
      <w:r w:rsidRPr="00F91061">
        <w:rPr>
          <w:rFonts w:ascii="Georgia" w:hAnsi="Georgia"/>
          <w:sz w:val="24"/>
          <w:szCs w:val="24"/>
        </w:rPr>
        <w:t>including LNG, to</w:t>
      </w:r>
      <w:r>
        <w:rPr>
          <w:rFonts w:ascii="Georgia" w:hAnsi="Georgia"/>
          <w:sz w:val="24"/>
          <w:szCs w:val="24"/>
        </w:rPr>
        <w:t xml:space="preserve"> </w:t>
      </w:r>
      <w:r w:rsidRPr="00F91061">
        <w:rPr>
          <w:rFonts w:ascii="Georgia" w:hAnsi="Georgia"/>
          <w:sz w:val="24"/>
          <w:szCs w:val="24"/>
        </w:rPr>
        <w:t>foreign nations pursuant to section 3 of</w:t>
      </w:r>
      <w:r>
        <w:rPr>
          <w:rFonts w:ascii="Georgia" w:hAnsi="Georgia"/>
          <w:sz w:val="24"/>
          <w:szCs w:val="24"/>
        </w:rPr>
        <w:t xml:space="preserve"> </w:t>
      </w:r>
      <w:r w:rsidRPr="00F91061">
        <w:rPr>
          <w:rFonts w:ascii="Georgia" w:hAnsi="Georgia"/>
          <w:sz w:val="24"/>
          <w:szCs w:val="24"/>
        </w:rPr>
        <w:t>the Natural Gas Act</w:t>
      </w:r>
      <w:r>
        <w:rPr>
          <w:rFonts w:ascii="Georgia" w:hAnsi="Georgia"/>
          <w:sz w:val="24"/>
          <w:szCs w:val="24"/>
        </w:rPr>
        <w:t>.</w:t>
      </w:r>
      <w:r>
        <w:rPr>
          <w:rStyle w:val="FootnoteReference"/>
          <w:rFonts w:ascii="Georgia" w:hAnsi="Georgia"/>
          <w:sz w:val="24"/>
          <w:szCs w:val="24"/>
        </w:rPr>
        <w:footnoteReference w:id="11"/>
      </w:r>
      <w:r w:rsidRPr="00F91061">
        <w:rPr>
          <w:rFonts w:ascii="Georgia" w:hAnsi="Georgia"/>
          <w:sz w:val="24"/>
          <w:szCs w:val="24"/>
        </w:rPr>
        <w:t xml:space="preserve"> </w:t>
      </w:r>
      <w:r>
        <w:rPr>
          <w:rFonts w:ascii="Georgia" w:hAnsi="Georgia"/>
          <w:sz w:val="24"/>
          <w:szCs w:val="24"/>
        </w:rPr>
        <w:t xml:space="preserve">1992 amendments to the Natural Gas Act deemed exports to </w:t>
      </w:r>
      <w:r w:rsidRPr="00F91061">
        <w:rPr>
          <w:rFonts w:ascii="Georgia" w:hAnsi="Georgia"/>
          <w:sz w:val="24"/>
          <w:szCs w:val="24"/>
        </w:rPr>
        <w:t>countries with which the U</w:t>
      </w:r>
      <w:r>
        <w:rPr>
          <w:rFonts w:ascii="Georgia" w:hAnsi="Georgia"/>
          <w:sz w:val="24"/>
          <w:szCs w:val="24"/>
        </w:rPr>
        <w:t>.</w:t>
      </w:r>
      <w:r w:rsidRPr="00F91061">
        <w:rPr>
          <w:rFonts w:ascii="Georgia" w:hAnsi="Georgia"/>
          <w:sz w:val="24"/>
          <w:szCs w:val="24"/>
        </w:rPr>
        <w:t>S</w:t>
      </w:r>
      <w:r>
        <w:rPr>
          <w:rFonts w:ascii="Georgia" w:hAnsi="Georgia"/>
          <w:sz w:val="24"/>
          <w:szCs w:val="24"/>
        </w:rPr>
        <w:t>.</w:t>
      </w:r>
      <w:r w:rsidRPr="00F91061">
        <w:rPr>
          <w:rFonts w:ascii="Georgia" w:hAnsi="Georgia"/>
          <w:sz w:val="24"/>
          <w:szCs w:val="24"/>
        </w:rPr>
        <w:t xml:space="preserve"> has a free trade</w:t>
      </w:r>
      <w:r>
        <w:rPr>
          <w:rFonts w:ascii="Georgia" w:hAnsi="Georgia"/>
          <w:sz w:val="24"/>
          <w:szCs w:val="24"/>
        </w:rPr>
        <w:t xml:space="preserve"> </w:t>
      </w:r>
      <w:r w:rsidRPr="00F91061">
        <w:rPr>
          <w:rFonts w:ascii="Georgia" w:hAnsi="Georgia"/>
          <w:sz w:val="24"/>
          <w:szCs w:val="24"/>
        </w:rPr>
        <w:t>agreement requiring national</w:t>
      </w:r>
      <w:r>
        <w:rPr>
          <w:rFonts w:ascii="Georgia" w:hAnsi="Georgia"/>
          <w:sz w:val="24"/>
          <w:szCs w:val="24"/>
        </w:rPr>
        <w:t xml:space="preserve"> </w:t>
      </w:r>
      <w:r w:rsidRPr="00F91061">
        <w:rPr>
          <w:rFonts w:ascii="Georgia" w:hAnsi="Georgia"/>
          <w:sz w:val="24"/>
          <w:szCs w:val="24"/>
        </w:rPr>
        <w:t>treatment for trade in natural gas</w:t>
      </w:r>
      <w:r>
        <w:rPr>
          <w:rFonts w:ascii="Georgia" w:hAnsi="Georgia"/>
          <w:sz w:val="24"/>
          <w:szCs w:val="24"/>
        </w:rPr>
        <w:t xml:space="preserve"> are automatically deemed to be in the public interest. The U.S. has such free trade agreements with 18 countries, only two of which (South Korea and Singapore) are in Asia, with none in Europe.</w:t>
      </w:r>
      <w:r>
        <w:rPr>
          <w:rStyle w:val="FootnoteReference"/>
          <w:rFonts w:ascii="Georgia" w:hAnsi="Georgia"/>
          <w:sz w:val="24"/>
          <w:szCs w:val="24"/>
        </w:rPr>
        <w:footnoteReference w:id="12"/>
      </w:r>
      <w:r>
        <w:rPr>
          <w:rFonts w:ascii="Georgia" w:hAnsi="Georgia"/>
          <w:sz w:val="24"/>
          <w:szCs w:val="24"/>
        </w:rPr>
        <w:t xml:space="preserve"> From 2016 through August 2022, only 25% of all LNG exports are to nations with which we have a free trade agreement.</w:t>
      </w:r>
      <w:r>
        <w:rPr>
          <w:rStyle w:val="FootnoteReference"/>
          <w:rFonts w:ascii="Georgia" w:hAnsi="Georgia"/>
          <w:sz w:val="24"/>
          <w:szCs w:val="24"/>
        </w:rPr>
        <w:footnoteReference w:id="13"/>
      </w:r>
      <w:r>
        <w:rPr>
          <w:rFonts w:ascii="Georgia" w:hAnsi="Georgia"/>
          <w:sz w:val="24"/>
          <w:szCs w:val="24"/>
        </w:rPr>
        <w:t xml:space="preserve"> </w:t>
      </w:r>
    </w:p>
    <w:p w14:paraId="0AB1E91D" w14:textId="77777777" w:rsidR="00A312DF"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The bulk of LNG exports (75%) are to nations with which we do not have a free trade agreement, and therefore require DOE to only authorize them “</w:t>
      </w:r>
      <w:r w:rsidRPr="00F91061">
        <w:rPr>
          <w:rFonts w:ascii="Georgia" w:hAnsi="Georgia"/>
          <w:sz w:val="24"/>
          <w:szCs w:val="24"/>
        </w:rPr>
        <w:t>it</w:t>
      </w:r>
      <w:r>
        <w:rPr>
          <w:rFonts w:ascii="Georgia" w:hAnsi="Georgia"/>
          <w:sz w:val="24"/>
          <w:szCs w:val="24"/>
        </w:rPr>
        <w:t xml:space="preserve"> </w:t>
      </w:r>
      <w:r w:rsidRPr="00F91061">
        <w:rPr>
          <w:rFonts w:ascii="Georgia" w:hAnsi="Georgia"/>
          <w:sz w:val="24"/>
          <w:szCs w:val="24"/>
        </w:rPr>
        <w:t>finds that the proposed exportation or</w:t>
      </w:r>
      <w:r>
        <w:rPr>
          <w:rFonts w:ascii="Georgia" w:hAnsi="Georgia"/>
          <w:sz w:val="24"/>
          <w:szCs w:val="24"/>
        </w:rPr>
        <w:t xml:space="preserve"> </w:t>
      </w:r>
      <w:r w:rsidRPr="00F91061">
        <w:rPr>
          <w:rFonts w:ascii="Georgia" w:hAnsi="Georgia"/>
          <w:sz w:val="24"/>
          <w:szCs w:val="24"/>
        </w:rPr>
        <w:t>importation will not be consistent with</w:t>
      </w:r>
      <w:r>
        <w:rPr>
          <w:rFonts w:ascii="Georgia" w:hAnsi="Georgia"/>
          <w:sz w:val="24"/>
          <w:szCs w:val="24"/>
        </w:rPr>
        <w:t xml:space="preserve"> </w:t>
      </w:r>
      <w:r w:rsidRPr="00F91061">
        <w:rPr>
          <w:rFonts w:ascii="Georgia" w:hAnsi="Georgia"/>
          <w:sz w:val="24"/>
          <w:szCs w:val="24"/>
        </w:rPr>
        <w:t>the public interest.</w:t>
      </w:r>
      <w:r>
        <w:rPr>
          <w:rFonts w:ascii="Georgia" w:hAnsi="Georgia"/>
          <w:sz w:val="24"/>
          <w:szCs w:val="24"/>
        </w:rPr>
        <w:t>”</w:t>
      </w:r>
    </w:p>
    <w:p w14:paraId="109B70A8" w14:textId="77777777" w:rsidR="00A312DF"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lastRenderedPageBreak/>
        <w:t>Seven currently operating LNG terminals (</w:t>
      </w:r>
      <w:r w:rsidRPr="005E64B9">
        <w:rPr>
          <w:rFonts w:ascii="Georgia" w:hAnsi="Georgia"/>
          <w:sz w:val="24"/>
          <w:szCs w:val="24"/>
        </w:rPr>
        <w:t>Sabine Pass, Cove Point, Elba Island, Corpus Christi</w:t>
      </w:r>
      <w:r>
        <w:rPr>
          <w:rFonts w:ascii="Georgia" w:hAnsi="Georgia"/>
          <w:sz w:val="24"/>
          <w:szCs w:val="24"/>
        </w:rPr>
        <w:t xml:space="preserve"> I and II</w:t>
      </w:r>
      <w:r w:rsidRPr="005E64B9">
        <w:rPr>
          <w:rFonts w:ascii="Georgia" w:hAnsi="Georgia"/>
          <w:sz w:val="24"/>
          <w:szCs w:val="24"/>
        </w:rPr>
        <w:t>, Cameron, Freeport and Calcasieu Pass</w:t>
      </w:r>
      <w:r>
        <w:rPr>
          <w:rFonts w:ascii="Georgia" w:hAnsi="Georgia"/>
          <w:sz w:val="24"/>
          <w:szCs w:val="24"/>
        </w:rPr>
        <w:t>) have received authorizations from DOE to export to non-free trade agreement countries, and will have combined export capacity of 14 billion cubic feet per day before the end of 2022. Three additional terminals authorized to export and under construction (</w:t>
      </w:r>
      <w:r w:rsidRPr="004F34D0">
        <w:rPr>
          <w:rFonts w:ascii="Georgia" w:hAnsi="Georgia"/>
          <w:sz w:val="24"/>
          <w:szCs w:val="24"/>
        </w:rPr>
        <w:t xml:space="preserve">Plaquemines, Corpus Christi </w:t>
      </w:r>
      <w:r>
        <w:rPr>
          <w:rFonts w:ascii="Georgia" w:hAnsi="Georgia"/>
          <w:sz w:val="24"/>
          <w:szCs w:val="24"/>
        </w:rPr>
        <w:t xml:space="preserve">III </w:t>
      </w:r>
      <w:r w:rsidRPr="004F34D0">
        <w:rPr>
          <w:rFonts w:ascii="Georgia" w:hAnsi="Georgia"/>
          <w:sz w:val="24"/>
          <w:szCs w:val="24"/>
        </w:rPr>
        <w:t>and Golden Pass</w:t>
      </w:r>
      <w:r>
        <w:rPr>
          <w:rFonts w:ascii="Georgia" w:hAnsi="Georgia"/>
          <w:sz w:val="24"/>
          <w:szCs w:val="24"/>
        </w:rPr>
        <w:t xml:space="preserve"> will boost export capacity to nearly 20 million </w:t>
      </w:r>
      <w:r w:rsidRPr="00F46DE4">
        <w:rPr>
          <w:rFonts w:ascii="Georgia" w:hAnsi="Georgia"/>
          <w:sz w:val="24"/>
          <w:szCs w:val="24"/>
        </w:rPr>
        <w:t>Bcf/d</w:t>
      </w:r>
      <w:r>
        <w:rPr>
          <w:rFonts w:ascii="Georgia" w:hAnsi="Georgia"/>
          <w:sz w:val="24"/>
          <w:szCs w:val="24"/>
        </w:rPr>
        <w:t xml:space="preserve"> by 2025.</w:t>
      </w:r>
      <w:r>
        <w:rPr>
          <w:rStyle w:val="FootnoteReference"/>
          <w:rFonts w:ascii="Georgia" w:hAnsi="Georgia"/>
          <w:sz w:val="24"/>
          <w:szCs w:val="24"/>
        </w:rPr>
        <w:footnoteReference w:id="14"/>
      </w:r>
    </w:p>
    <w:p w14:paraId="75AC3C90" w14:textId="77777777" w:rsidR="00A312DF"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 xml:space="preserve">As a result, the U.S. catapulted from zero LNG exports prior to 2016 to the largest LNG exporter in the world today. </w:t>
      </w:r>
      <w:r w:rsidRPr="00BC3709">
        <w:rPr>
          <w:rFonts w:ascii="Georgia" w:hAnsi="Georgia"/>
          <w:sz w:val="24"/>
          <w:szCs w:val="24"/>
        </w:rPr>
        <w:t xml:space="preserve">More than 20% of natural gas produced in the U.S. was exported in the first </w:t>
      </w:r>
      <w:r>
        <w:rPr>
          <w:rFonts w:ascii="Georgia" w:hAnsi="Georgia"/>
          <w:sz w:val="24"/>
          <w:szCs w:val="24"/>
        </w:rPr>
        <w:t>six</w:t>
      </w:r>
      <w:r w:rsidRPr="00BC3709">
        <w:rPr>
          <w:rFonts w:ascii="Georgia" w:hAnsi="Georgia"/>
          <w:sz w:val="24"/>
          <w:szCs w:val="24"/>
        </w:rPr>
        <w:t xml:space="preserve"> months of 2022, up from 11.5% in 2</w:t>
      </w:r>
      <w:r>
        <w:rPr>
          <w:rFonts w:ascii="Georgia" w:hAnsi="Georgia"/>
          <w:sz w:val="24"/>
          <w:szCs w:val="24"/>
        </w:rPr>
        <w:t>017</w:t>
      </w:r>
      <w:r w:rsidRPr="00BC3709">
        <w:rPr>
          <w:rFonts w:ascii="Georgia" w:hAnsi="Georgia"/>
          <w:sz w:val="24"/>
          <w:szCs w:val="24"/>
        </w:rPr>
        <w:t>.</w:t>
      </w:r>
    </w:p>
    <w:p w14:paraId="46AB812A" w14:textId="77777777" w:rsidR="00366A47"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Courts have long interpreted the intent of the Natural Gas Act public interest determination “</w:t>
      </w:r>
      <w:r w:rsidRPr="0064765D">
        <w:rPr>
          <w:rFonts w:ascii="Georgia" w:hAnsi="Georgia"/>
          <w:sz w:val="24"/>
          <w:szCs w:val="24"/>
        </w:rPr>
        <w:t xml:space="preserve">was to protect consumers against exploitation at the </w:t>
      </w:r>
      <w:r>
        <w:rPr>
          <w:rFonts w:ascii="Georgia" w:hAnsi="Georgia"/>
          <w:sz w:val="24"/>
          <w:szCs w:val="24"/>
        </w:rPr>
        <w:t>h</w:t>
      </w:r>
      <w:r w:rsidRPr="0064765D">
        <w:rPr>
          <w:rFonts w:ascii="Georgia" w:hAnsi="Georgia"/>
          <w:sz w:val="24"/>
          <w:szCs w:val="24"/>
        </w:rPr>
        <w:t>ands of natural gas companies</w:t>
      </w:r>
      <w:r>
        <w:rPr>
          <w:rFonts w:ascii="Georgia" w:hAnsi="Georgia"/>
          <w:sz w:val="24"/>
          <w:szCs w:val="24"/>
        </w:rPr>
        <w:t>.”</w:t>
      </w:r>
      <w:r>
        <w:rPr>
          <w:rStyle w:val="FootnoteReference"/>
          <w:rFonts w:ascii="Georgia" w:hAnsi="Georgia"/>
          <w:sz w:val="24"/>
          <w:szCs w:val="24"/>
        </w:rPr>
        <w:footnoteReference w:id="15"/>
      </w:r>
      <w:r w:rsidR="00366A47">
        <w:rPr>
          <w:rFonts w:ascii="Georgia" w:hAnsi="Georgia"/>
          <w:sz w:val="24"/>
          <w:szCs w:val="24"/>
        </w:rPr>
        <w:tab/>
      </w:r>
    </w:p>
    <w:p w14:paraId="0B5B8037" w14:textId="77777777" w:rsidR="00AE3F04"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 xml:space="preserve">Congress left it to the executive branch to define what factors would determine exports to be consistent with the public interest. DOE assesses several variables, including net </w:t>
      </w:r>
      <w:r w:rsidRPr="003C0F54">
        <w:rPr>
          <w:rFonts w:ascii="Georgia" w:hAnsi="Georgia"/>
          <w:sz w:val="24"/>
          <w:szCs w:val="24"/>
        </w:rPr>
        <w:t>economic</w:t>
      </w:r>
      <w:r>
        <w:rPr>
          <w:rFonts w:ascii="Georgia" w:hAnsi="Georgia"/>
          <w:sz w:val="24"/>
          <w:szCs w:val="24"/>
        </w:rPr>
        <w:t xml:space="preserve"> </w:t>
      </w:r>
      <w:r w:rsidRPr="003C0F54">
        <w:rPr>
          <w:rFonts w:ascii="Georgia" w:hAnsi="Georgia"/>
          <w:sz w:val="24"/>
          <w:szCs w:val="24"/>
        </w:rPr>
        <w:t xml:space="preserve">impacts, international impacts, </w:t>
      </w:r>
      <w:r>
        <w:rPr>
          <w:rFonts w:ascii="Georgia" w:hAnsi="Georgia"/>
          <w:sz w:val="24"/>
          <w:szCs w:val="24"/>
        </w:rPr>
        <w:t xml:space="preserve">the </w:t>
      </w:r>
      <w:r w:rsidRPr="003C0F54">
        <w:rPr>
          <w:rFonts w:ascii="Georgia" w:hAnsi="Georgia"/>
          <w:sz w:val="24"/>
          <w:szCs w:val="24"/>
        </w:rPr>
        <w:t>security</w:t>
      </w:r>
      <w:r>
        <w:rPr>
          <w:rFonts w:ascii="Georgia" w:hAnsi="Georgia"/>
          <w:sz w:val="24"/>
          <w:szCs w:val="24"/>
        </w:rPr>
        <w:t xml:space="preserve"> </w:t>
      </w:r>
      <w:r w:rsidRPr="003C0F54">
        <w:rPr>
          <w:rFonts w:ascii="Georgia" w:hAnsi="Georgia"/>
          <w:sz w:val="24"/>
          <w:szCs w:val="24"/>
        </w:rPr>
        <w:t xml:space="preserve">of </w:t>
      </w:r>
      <w:r>
        <w:rPr>
          <w:rFonts w:ascii="Georgia" w:hAnsi="Georgia"/>
          <w:sz w:val="24"/>
          <w:szCs w:val="24"/>
        </w:rPr>
        <w:t xml:space="preserve">domestic </w:t>
      </w:r>
      <w:r w:rsidRPr="003C0F54">
        <w:rPr>
          <w:rFonts w:ascii="Georgia" w:hAnsi="Georgia"/>
          <w:sz w:val="24"/>
          <w:szCs w:val="24"/>
        </w:rPr>
        <w:t>natural gas supply, and</w:t>
      </w:r>
      <w:r>
        <w:rPr>
          <w:rFonts w:ascii="Georgia" w:hAnsi="Georgia"/>
          <w:sz w:val="24"/>
          <w:szCs w:val="24"/>
        </w:rPr>
        <w:t xml:space="preserve"> </w:t>
      </w:r>
      <w:r w:rsidRPr="003C0F54">
        <w:rPr>
          <w:rFonts w:ascii="Georgia" w:hAnsi="Georgia"/>
          <w:sz w:val="24"/>
          <w:szCs w:val="24"/>
        </w:rPr>
        <w:t>environmental impacts</w:t>
      </w:r>
      <w:r>
        <w:rPr>
          <w:rFonts w:ascii="Georgia" w:hAnsi="Georgia"/>
          <w:sz w:val="24"/>
          <w:szCs w:val="24"/>
        </w:rPr>
        <w:t>.</w:t>
      </w:r>
      <w:r>
        <w:rPr>
          <w:rStyle w:val="FootnoteReference"/>
          <w:rFonts w:ascii="Georgia" w:hAnsi="Georgia"/>
          <w:sz w:val="24"/>
          <w:szCs w:val="24"/>
        </w:rPr>
        <w:footnoteReference w:id="16"/>
      </w:r>
      <w:r w:rsidR="00AE3F04">
        <w:rPr>
          <w:rFonts w:ascii="Georgia" w:hAnsi="Georgia"/>
          <w:sz w:val="24"/>
          <w:szCs w:val="24"/>
        </w:rPr>
        <w:tab/>
      </w:r>
    </w:p>
    <w:p w14:paraId="46467C8F" w14:textId="77777777" w:rsidR="00630034"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 xml:space="preserve">Over the years, DOE has commissioned macroeconomic studies to determine whether LNG exports provide net economic benefits, in order to be consistent with the public interest. These studies attempt to estimate the impact exports have on domestic energy prices, and the economic contributions that LNG exports have for employment and other contributions to gross domestic product. </w:t>
      </w:r>
    </w:p>
    <w:p w14:paraId="24CBE633" w14:textId="77777777" w:rsidR="0092110F"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 xml:space="preserve">The most recent of these reports was conducted in 2018 during the Trump Administration, when LNG exports were still in relative infancy. </w:t>
      </w:r>
      <w:r w:rsidRPr="00603393">
        <w:rPr>
          <w:rFonts w:ascii="Georgia" w:hAnsi="Georgia"/>
          <w:i/>
          <w:iCs/>
          <w:sz w:val="24"/>
          <w:szCs w:val="24"/>
        </w:rPr>
        <w:t>Macroeconomic Outcomes of Market Determined Levels of U.S. LNG Exports</w:t>
      </w:r>
      <w:r>
        <w:rPr>
          <w:rFonts w:ascii="Georgia" w:hAnsi="Georgia"/>
          <w:sz w:val="24"/>
          <w:szCs w:val="24"/>
        </w:rPr>
        <w:t xml:space="preserve"> was prepared by</w:t>
      </w:r>
      <w:r w:rsidRPr="00CC58EB">
        <w:rPr>
          <w:rFonts w:ascii="Georgia" w:hAnsi="Georgia"/>
          <w:sz w:val="24"/>
          <w:szCs w:val="24"/>
        </w:rPr>
        <w:t xml:space="preserve"> NERA Economic Consulting</w:t>
      </w:r>
      <w:r>
        <w:rPr>
          <w:rFonts w:ascii="Georgia" w:hAnsi="Georgia"/>
          <w:sz w:val="24"/>
          <w:szCs w:val="24"/>
        </w:rPr>
        <w:t xml:space="preserve"> for DOE.</w:t>
      </w:r>
      <w:r>
        <w:rPr>
          <w:rStyle w:val="FootnoteReference"/>
          <w:rFonts w:ascii="Georgia" w:hAnsi="Georgia"/>
          <w:sz w:val="24"/>
          <w:szCs w:val="24"/>
        </w:rPr>
        <w:footnoteReference w:id="17"/>
      </w:r>
      <w:r>
        <w:rPr>
          <w:rFonts w:ascii="Georgia" w:hAnsi="Georgia"/>
          <w:sz w:val="24"/>
          <w:szCs w:val="24"/>
        </w:rPr>
        <w:t xml:space="preserve"> This study has aged poorly, as it assumed that c</w:t>
      </w:r>
      <w:r w:rsidRPr="00745EC1">
        <w:rPr>
          <w:rFonts w:ascii="Georgia" w:hAnsi="Georgia"/>
          <w:sz w:val="24"/>
          <w:szCs w:val="24"/>
        </w:rPr>
        <w:t>onsumer welfare</w:t>
      </w:r>
      <w:r>
        <w:rPr>
          <w:rFonts w:ascii="Georgia" w:hAnsi="Georgia"/>
          <w:sz w:val="24"/>
          <w:szCs w:val="24"/>
        </w:rPr>
        <w:t>―which it defines as the</w:t>
      </w:r>
      <w:r w:rsidRPr="00745EC1">
        <w:rPr>
          <w:rFonts w:ascii="Georgia" w:hAnsi="Georgia"/>
          <w:sz w:val="24"/>
          <w:szCs w:val="24"/>
        </w:rPr>
        <w:t xml:space="preserve"> present value measure of the standard of living of all </w:t>
      </w:r>
      <w:r>
        <w:rPr>
          <w:rFonts w:ascii="Georgia" w:hAnsi="Georgia"/>
          <w:sz w:val="24"/>
          <w:szCs w:val="24"/>
        </w:rPr>
        <w:t xml:space="preserve">U.S. </w:t>
      </w:r>
      <w:r w:rsidRPr="00745EC1">
        <w:rPr>
          <w:rFonts w:ascii="Georgia" w:hAnsi="Georgia"/>
          <w:sz w:val="24"/>
          <w:szCs w:val="24"/>
        </w:rPr>
        <w:t>households</w:t>
      </w:r>
      <w:r>
        <w:rPr>
          <w:rFonts w:ascii="Georgia" w:hAnsi="Georgia"/>
          <w:sz w:val="24"/>
          <w:szCs w:val="24"/>
        </w:rPr>
        <w:t xml:space="preserve">―was directly and beneficially linked with higher LNG </w:t>
      </w:r>
      <w:r>
        <w:rPr>
          <w:rFonts w:ascii="Georgia" w:hAnsi="Georgia"/>
          <w:sz w:val="24"/>
          <w:szCs w:val="24"/>
        </w:rPr>
        <w:lastRenderedPageBreak/>
        <w:t>exports.</w:t>
      </w:r>
      <w:r>
        <w:rPr>
          <w:rStyle w:val="FootnoteReference"/>
          <w:rFonts w:ascii="Georgia" w:hAnsi="Georgia"/>
          <w:sz w:val="24"/>
          <w:szCs w:val="24"/>
        </w:rPr>
        <w:footnoteReference w:id="18"/>
      </w:r>
      <w:r>
        <w:rPr>
          <w:rFonts w:ascii="Georgia" w:hAnsi="Georgia"/>
          <w:sz w:val="24"/>
          <w:szCs w:val="24"/>
        </w:rPr>
        <w:t xml:space="preserve"> The 2018 study gave only a 3% probability that significant LNG exports would result in domestic prices above $10/MMBtu, concluding that “i</w:t>
      </w:r>
      <w:r w:rsidRPr="00852767">
        <w:rPr>
          <w:rFonts w:ascii="Georgia" w:hAnsi="Georgia"/>
          <w:sz w:val="24"/>
          <w:szCs w:val="24"/>
        </w:rPr>
        <w:t>ncreasing U.S. LNG exports under any given set of assumptions about U.S. natural gas</w:t>
      </w:r>
      <w:r>
        <w:rPr>
          <w:rFonts w:ascii="Georgia" w:hAnsi="Georgia"/>
          <w:sz w:val="24"/>
          <w:szCs w:val="24"/>
        </w:rPr>
        <w:t xml:space="preserve"> </w:t>
      </w:r>
      <w:r w:rsidRPr="00852767">
        <w:rPr>
          <w:rFonts w:ascii="Georgia" w:hAnsi="Georgia"/>
          <w:sz w:val="24"/>
          <w:szCs w:val="24"/>
        </w:rPr>
        <w:t>resources and their production leads to only small increases in U.S. natural gas prices</w:t>
      </w:r>
      <w:r>
        <w:rPr>
          <w:rFonts w:ascii="Georgia" w:hAnsi="Georgia"/>
          <w:sz w:val="24"/>
          <w:szCs w:val="24"/>
        </w:rPr>
        <w:t>.”</w:t>
      </w:r>
      <w:r>
        <w:rPr>
          <w:rStyle w:val="FootnoteReference"/>
          <w:rFonts w:ascii="Georgia" w:hAnsi="Georgia"/>
          <w:sz w:val="24"/>
          <w:szCs w:val="24"/>
        </w:rPr>
        <w:footnoteReference w:id="19"/>
      </w:r>
      <w:r>
        <w:rPr>
          <w:rFonts w:ascii="Georgia" w:hAnsi="Georgia"/>
          <w:sz w:val="24"/>
          <w:szCs w:val="24"/>
        </w:rPr>
        <w:t xml:space="preserve"> </w:t>
      </w:r>
      <w:r w:rsidRPr="00B2753B">
        <w:rPr>
          <w:rFonts w:ascii="Georgia" w:hAnsi="Georgia"/>
          <w:sz w:val="24"/>
          <w:szCs w:val="24"/>
        </w:rPr>
        <w:t xml:space="preserve">Furthermore, the study claims that </w:t>
      </w:r>
      <w:r>
        <w:rPr>
          <w:rFonts w:ascii="Georgia" w:hAnsi="Georgia"/>
          <w:sz w:val="24"/>
          <w:szCs w:val="24"/>
        </w:rPr>
        <w:t>“</w:t>
      </w:r>
      <w:r w:rsidRPr="00B2753B">
        <w:rPr>
          <w:rFonts w:ascii="Georgia" w:hAnsi="Georgia"/>
          <w:sz w:val="24"/>
          <w:szCs w:val="24"/>
        </w:rPr>
        <w:t>as U.S. LNG exports increase . . . households who hold shares in companies that own liquefaction plants receive additional income from take-or-pay tolling charges for LNG exports. These additional sources of income for U.S. consumers outweigh the income loss associated with higher energy prices.</w:t>
      </w:r>
      <w:r>
        <w:rPr>
          <w:rFonts w:ascii="Georgia" w:hAnsi="Georgia"/>
          <w:sz w:val="24"/>
          <w:szCs w:val="24"/>
        </w:rPr>
        <w:t>”</w:t>
      </w:r>
      <w:r>
        <w:rPr>
          <w:rStyle w:val="FootnoteReference"/>
          <w:rFonts w:ascii="Georgia" w:hAnsi="Georgia"/>
          <w:sz w:val="24"/>
          <w:szCs w:val="24"/>
        </w:rPr>
        <w:footnoteReference w:id="20"/>
      </w:r>
      <w:r>
        <w:rPr>
          <w:rFonts w:ascii="Georgia" w:hAnsi="Georgia"/>
          <w:sz w:val="24"/>
          <w:szCs w:val="24"/>
        </w:rPr>
        <w:t xml:space="preserve"> </w:t>
      </w:r>
    </w:p>
    <w:p w14:paraId="36D12C6B" w14:textId="04B8135F" w:rsidR="00A312DF" w:rsidRDefault="00A312DF" w:rsidP="0092110F">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DOE relies upon the conclusions of this 2018 study to help determine whether exports will be consistent with the public interest.</w:t>
      </w:r>
    </w:p>
    <w:p w14:paraId="4B08A264" w14:textId="77777777" w:rsidR="0092110F" w:rsidRDefault="0092110F" w:rsidP="008A56AE">
      <w:pPr>
        <w:pStyle w:val="NormalWeb"/>
        <w:spacing w:before="0" w:beforeAutospacing="0" w:after="0" w:afterAutospacing="0"/>
        <w:jc w:val="center"/>
        <w:rPr>
          <w:rFonts w:ascii="Georgia" w:hAnsi="Georgia"/>
          <w:b/>
          <w:bCs/>
          <w:sz w:val="24"/>
          <w:szCs w:val="24"/>
        </w:rPr>
      </w:pPr>
    </w:p>
    <w:p w14:paraId="039A4FB8" w14:textId="48FBA6A9" w:rsidR="008A56AE" w:rsidRPr="0092110F" w:rsidRDefault="00A45B55" w:rsidP="008A56AE">
      <w:pPr>
        <w:pStyle w:val="NormalWeb"/>
        <w:spacing w:before="0" w:beforeAutospacing="0" w:after="0" w:afterAutospacing="0"/>
        <w:jc w:val="center"/>
        <w:rPr>
          <w:rFonts w:ascii="Georgia" w:hAnsi="Georgia"/>
          <w:b/>
          <w:bCs/>
          <w:sz w:val="28"/>
          <w:szCs w:val="28"/>
        </w:rPr>
      </w:pPr>
      <w:r w:rsidRPr="0092110F">
        <w:rPr>
          <w:rFonts w:ascii="Georgia" w:hAnsi="Georgia"/>
          <w:b/>
          <w:bCs/>
          <w:sz w:val="28"/>
          <w:szCs w:val="28"/>
        </w:rPr>
        <w:t xml:space="preserve">ISO-NE and Stakeholders Must Ask </w:t>
      </w:r>
      <w:r w:rsidR="008A56AE" w:rsidRPr="0092110F">
        <w:rPr>
          <w:rFonts w:ascii="Georgia" w:hAnsi="Georgia"/>
          <w:b/>
          <w:bCs/>
          <w:sz w:val="28"/>
          <w:szCs w:val="28"/>
        </w:rPr>
        <w:t xml:space="preserve">DOE </w:t>
      </w:r>
      <w:r w:rsidRPr="0092110F">
        <w:rPr>
          <w:rFonts w:ascii="Georgia" w:hAnsi="Georgia"/>
          <w:b/>
          <w:bCs/>
          <w:sz w:val="28"/>
          <w:szCs w:val="28"/>
        </w:rPr>
        <w:t>To</w:t>
      </w:r>
      <w:r w:rsidR="008A56AE" w:rsidRPr="0092110F">
        <w:rPr>
          <w:rFonts w:ascii="Georgia" w:hAnsi="Georgia"/>
          <w:b/>
          <w:bCs/>
          <w:sz w:val="28"/>
          <w:szCs w:val="28"/>
        </w:rPr>
        <w:t xml:space="preserve"> Revise Its Public Interest Review of LNG Exports</w:t>
      </w:r>
    </w:p>
    <w:p w14:paraId="51F0E889" w14:textId="77777777" w:rsidR="008A56AE" w:rsidRDefault="008A56AE" w:rsidP="008A56AE">
      <w:pPr>
        <w:pStyle w:val="NormalWeb"/>
        <w:spacing w:before="0" w:beforeAutospacing="0" w:after="0" w:afterAutospacing="0"/>
        <w:rPr>
          <w:rFonts w:ascii="Georgia" w:hAnsi="Georgia"/>
          <w:sz w:val="24"/>
          <w:szCs w:val="24"/>
        </w:rPr>
      </w:pPr>
    </w:p>
    <w:p w14:paraId="0CEDA05C" w14:textId="32B1666F" w:rsidR="008A56AE" w:rsidRDefault="004F6E9C" w:rsidP="00496B21">
      <w:pPr>
        <w:pStyle w:val="NormalWeb"/>
        <w:spacing w:before="0" w:beforeAutospacing="0" w:after="0" w:afterAutospacing="0" w:line="360" w:lineRule="auto"/>
        <w:ind w:firstLine="720"/>
        <w:rPr>
          <w:rFonts w:ascii="Georgia" w:hAnsi="Georgia"/>
          <w:sz w:val="24"/>
          <w:szCs w:val="24"/>
        </w:rPr>
      </w:pPr>
      <w:r>
        <w:rPr>
          <w:rFonts w:ascii="Georgia" w:hAnsi="Georgia"/>
          <w:sz w:val="24"/>
          <w:szCs w:val="24"/>
        </w:rPr>
        <w:t>Despite the statutory requirement that the U.S. Department of Energy only authorize those natural gas exports that are consistent with the public interest, the agency</w:t>
      </w:r>
      <w:r w:rsidR="008A56AE">
        <w:rPr>
          <w:rFonts w:ascii="Georgia" w:hAnsi="Georgia"/>
          <w:sz w:val="24"/>
          <w:szCs w:val="24"/>
        </w:rPr>
        <w:t xml:space="preserve"> currently performs </w:t>
      </w:r>
      <w:r w:rsidR="005B5AF4">
        <w:rPr>
          <w:rFonts w:ascii="Georgia" w:hAnsi="Georgia"/>
          <w:sz w:val="24"/>
          <w:szCs w:val="24"/>
        </w:rPr>
        <w:t xml:space="preserve">no </w:t>
      </w:r>
      <w:r w:rsidR="00A45B55">
        <w:rPr>
          <w:rFonts w:ascii="Georgia" w:hAnsi="Georgia"/>
          <w:sz w:val="24"/>
          <w:szCs w:val="24"/>
        </w:rPr>
        <w:t xml:space="preserve">analysis </w:t>
      </w:r>
      <w:r>
        <w:rPr>
          <w:rFonts w:ascii="Georgia" w:hAnsi="Georgia"/>
          <w:sz w:val="24"/>
          <w:szCs w:val="24"/>
        </w:rPr>
        <w:t>on th</w:t>
      </w:r>
      <w:r w:rsidR="007C239A">
        <w:rPr>
          <w:rFonts w:ascii="Georgia" w:hAnsi="Georgia"/>
          <w:sz w:val="24"/>
          <w:szCs w:val="24"/>
        </w:rPr>
        <w:t xml:space="preserve">e harmful impacts exports are having on </w:t>
      </w:r>
      <w:r w:rsidR="002C695F">
        <w:rPr>
          <w:rFonts w:ascii="Georgia" w:hAnsi="Georgia"/>
          <w:sz w:val="24"/>
          <w:szCs w:val="24"/>
        </w:rPr>
        <w:t>fuel availability and pricing in the New England market.</w:t>
      </w:r>
      <w:r w:rsidR="00A45B55">
        <w:rPr>
          <w:rFonts w:ascii="Georgia" w:hAnsi="Georgia"/>
          <w:sz w:val="24"/>
          <w:szCs w:val="24"/>
        </w:rPr>
        <w:t xml:space="preserve"> </w:t>
      </w:r>
      <w:r w:rsidR="00A60C90">
        <w:rPr>
          <w:rFonts w:ascii="Georgia" w:hAnsi="Georgia"/>
          <w:sz w:val="24"/>
          <w:szCs w:val="24"/>
        </w:rPr>
        <w:t xml:space="preserve">It is imperative that ISO-NE and other stakeholders write to the U.S. Department of Energy and request immediate </w:t>
      </w:r>
      <w:r w:rsidR="009B3908">
        <w:rPr>
          <w:rFonts w:ascii="Georgia" w:hAnsi="Georgia"/>
          <w:sz w:val="24"/>
          <w:szCs w:val="24"/>
        </w:rPr>
        <w:t>action by the agency to determine that natural gas exports are</w:t>
      </w:r>
      <w:r w:rsidR="000F0E96">
        <w:rPr>
          <w:rFonts w:ascii="Georgia" w:hAnsi="Georgia"/>
          <w:sz w:val="24"/>
          <w:szCs w:val="24"/>
        </w:rPr>
        <w:t xml:space="preserve"> harming the public interest, and take action to ensure that domestic fuel needs in New England are prioritized over exports.</w:t>
      </w:r>
    </w:p>
    <w:p w14:paraId="277FC83E" w14:textId="77777777" w:rsidR="000F0E96" w:rsidRDefault="000F0E96" w:rsidP="000F0E96">
      <w:pPr>
        <w:pStyle w:val="NormalWeb"/>
        <w:spacing w:before="0" w:beforeAutospacing="0" w:after="0" w:afterAutospacing="0"/>
        <w:rPr>
          <w:rFonts w:ascii="Georgia" w:hAnsi="Georgia"/>
          <w:sz w:val="24"/>
          <w:szCs w:val="24"/>
        </w:rPr>
      </w:pPr>
    </w:p>
    <w:p w14:paraId="670A592A" w14:textId="5C5D6C41" w:rsidR="000F0E96" w:rsidRPr="00496B21" w:rsidRDefault="000F0E96" w:rsidP="00355791">
      <w:pPr>
        <w:pStyle w:val="NormalWeb"/>
        <w:spacing w:before="0" w:beforeAutospacing="0" w:after="0" w:afterAutospacing="0"/>
        <w:jc w:val="center"/>
        <w:rPr>
          <w:rFonts w:ascii="Georgia" w:hAnsi="Georgia"/>
          <w:b/>
          <w:bCs/>
          <w:sz w:val="28"/>
          <w:szCs w:val="28"/>
        </w:rPr>
      </w:pPr>
      <w:r w:rsidRPr="00496B21">
        <w:rPr>
          <w:rFonts w:ascii="Georgia" w:hAnsi="Georgia"/>
          <w:b/>
          <w:bCs/>
          <w:sz w:val="28"/>
          <w:szCs w:val="28"/>
        </w:rPr>
        <w:t>ISO-NE and Stakeholders Must Urge Commission Action to Improve Transparency for Natural Gas Spot Markets</w:t>
      </w:r>
    </w:p>
    <w:p w14:paraId="5EE13A2A" w14:textId="77777777" w:rsidR="000F0E96" w:rsidRDefault="000F0E96" w:rsidP="000F0E96">
      <w:pPr>
        <w:pStyle w:val="NormalWeb"/>
        <w:spacing w:before="0" w:beforeAutospacing="0" w:after="0" w:afterAutospacing="0"/>
        <w:rPr>
          <w:rFonts w:ascii="Georgia" w:hAnsi="Georgia"/>
          <w:sz w:val="24"/>
          <w:szCs w:val="24"/>
        </w:rPr>
      </w:pPr>
    </w:p>
    <w:p w14:paraId="3E41C651" w14:textId="2D0CA0E2" w:rsidR="00EA51A6" w:rsidRDefault="00EA51A6" w:rsidP="00EA51A6">
      <w:pPr>
        <w:spacing w:line="360" w:lineRule="auto"/>
        <w:ind w:firstLine="720"/>
        <w:rPr>
          <w:rFonts w:ascii="Georgia" w:hAnsi="Georgia"/>
          <w:sz w:val="24"/>
          <w:szCs w:val="24"/>
        </w:rPr>
      </w:pPr>
      <w:r w:rsidRPr="009D0B30">
        <w:rPr>
          <w:rFonts w:ascii="Georgia" w:hAnsi="Georgia"/>
          <w:sz w:val="24"/>
          <w:szCs w:val="24"/>
        </w:rPr>
        <w:t xml:space="preserve">A natural gas index </w:t>
      </w:r>
      <w:r>
        <w:rPr>
          <w:rFonts w:ascii="Georgia" w:hAnsi="Georgia"/>
          <w:sz w:val="24"/>
          <w:szCs w:val="24"/>
        </w:rPr>
        <w:t xml:space="preserve">price </w:t>
      </w:r>
      <w:r w:rsidRPr="009D0B30">
        <w:rPr>
          <w:rFonts w:ascii="Georgia" w:hAnsi="Georgia"/>
          <w:sz w:val="24"/>
          <w:szCs w:val="24"/>
        </w:rPr>
        <w:t>is derived from</w:t>
      </w:r>
      <w:r>
        <w:rPr>
          <w:rFonts w:ascii="Georgia" w:hAnsi="Georgia"/>
          <w:sz w:val="24"/>
          <w:szCs w:val="24"/>
        </w:rPr>
        <w:t xml:space="preserve"> trades</w:t>
      </w:r>
      <w:r w:rsidRPr="009D0B30">
        <w:rPr>
          <w:rFonts w:ascii="Georgia" w:hAnsi="Georgia"/>
          <w:sz w:val="24"/>
          <w:szCs w:val="24"/>
        </w:rPr>
        <w:t xml:space="preserve"> within </w:t>
      </w:r>
      <w:r>
        <w:rPr>
          <w:rFonts w:ascii="Georgia" w:hAnsi="Georgia"/>
          <w:sz w:val="24"/>
          <w:szCs w:val="24"/>
        </w:rPr>
        <w:t>specific</w:t>
      </w:r>
      <w:r w:rsidRPr="009D0B30">
        <w:rPr>
          <w:rFonts w:ascii="Georgia" w:hAnsi="Georgia"/>
          <w:sz w:val="24"/>
          <w:szCs w:val="24"/>
        </w:rPr>
        <w:t xml:space="preserve"> geographical boundaries that market participants voluntarily report to a price index developer.</w:t>
      </w:r>
      <w:r>
        <w:rPr>
          <w:rFonts w:ascii="Georgia" w:hAnsi="Georgia"/>
          <w:sz w:val="24"/>
          <w:szCs w:val="24"/>
        </w:rPr>
        <w:t xml:space="preserve"> Price index developers are private, for-profit companies that classify most of the voluntarily-</w:t>
      </w:r>
      <w:r>
        <w:rPr>
          <w:rFonts w:ascii="Georgia" w:hAnsi="Georgia"/>
          <w:sz w:val="24"/>
          <w:szCs w:val="24"/>
        </w:rPr>
        <w:lastRenderedPageBreak/>
        <w:t>reported data as proprietary, that the index developers then commodify and sell only to those that can afford the very expensive subscription fees.</w:t>
      </w:r>
      <w:r w:rsidR="00355791">
        <w:rPr>
          <w:rStyle w:val="FootnoteReference"/>
          <w:rFonts w:ascii="Georgia" w:hAnsi="Georgia"/>
          <w:sz w:val="24"/>
          <w:szCs w:val="24"/>
        </w:rPr>
        <w:footnoteReference w:id="21"/>
      </w:r>
    </w:p>
    <w:p w14:paraId="56003F39" w14:textId="77777777" w:rsidR="00332A1F" w:rsidRDefault="00EA51A6" w:rsidP="00332A1F">
      <w:pPr>
        <w:spacing w:line="360" w:lineRule="auto"/>
        <w:rPr>
          <w:rFonts w:ascii="Georgia" w:hAnsi="Georgia"/>
          <w:sz w:val="24"/>
          <w:szCs w:val="24"/>
        </w:rPr>
      </w:pPr>
      <w:r>
        <w:rPr>
          <w:rFonts w:ascii="Georgia" w:hAnsi="Georgia"/>
          <w:sz w:val="24"/>
          <w:szCs w:val="24"/>
        </w:rPr>
        <w:tab/>
        <w:t xml:space="preserve">These voluntarily-reported transactions determine the price of natural gas for millions of households and businesses across the country, as </w:t>
      </w:r>
      <w:r w:rsidRPr="000C73B8">
        <w:rPr>
          <w:rFonts w:ascii="Georgia" w:hAnsi="Georgia"/>
          <w:sz w:val="24"/>
          <w:szCs w:val="24"/>
        </w:rPr>
        <w:t>market participants reference index prices in their physical and financial transactions</w:t>
      </w:r>
      <w:r>
        <w:rPr>
          <w:rFonts w:ascii="Georgia" w:hAnsi="Georgia"/>
          <w:sz w:val="24"/>
          <w:szCs w:val="24"/>
        </w:rPr>
        <w:t>:</w:t>
      </w:r>
      <w:r w:rsidRPr="000C73B8">
        <w:rPr>
          <w:rFonts w:ascii="Georgia" w:hAnsi="Georgia"/>
          <w:sz w:val="24"/>
          <w:szCs w:val="24"/>
        </w:rPr>
        <w:t xml:space="preserve"> natural gas pipelines and Regional Transmission Organizations </w:t>
      </w:r>
      <w:r>
        <w:rPr>
          <w:rFonts w:ascii="Georgia" w:hAnsi="Georgia"/>
          <w:sz w:val="24"/>
          <w:szCs w:val="24"/>
        </w:rPr>
        <w:t>feature</w:t>
      </w:r>
      <w:r w:rsidRPr="000C73B8">
        <w:rPr>
          <w:rFonts w:ascii="Georgia" w:hAnsi="Georgia"/>
          <w:sz w:val="24"/>
          <w:szCs w:val="24"/>
        </w:rPr>
        <w:t xml:space="preserve"> natural gas indices in their FERC-jurisdictional tariffs for various terms and conditions of service</w:t>
      </w:r>
      <w:r>
        <w:rPr>
          <w:rFonts w:ascii="Georgia" w:hAnsi="Georgia"/>
          <w:sz w:val="24"/>
          <w:szCs w:val="24"/>
        </w:rPr>
        <w:t>;</w:t>
      </w:r>
      <w:r w:rsidRPr="000C73B8">
        <w:rPr>
          <w:rFonts w:ascii="Georgia" w:hAnsi="Georgia"/>
          <w:sz w:val="24"/>
          <w:szCs w:val="24"/>
        </w:rPr>
        <w:t xml:space="preserve"> </w:t>
      </w:r>
      <w:r>
        <w:rPr>
          <w:rFonts w:ascii="Georgia" w:hAnsi="Georgia"/>
          <w:sz w:val="24"/>
          <w:szCs w:val="24"/>
        </w:rPr>
        <w:t>s</w:t>
      </w:r>
      <w:r w:rsidRPr="000C73B8">
        <w:rPr>
          <w:rFonts w:ascii="Georgia" w:hAnsi="Georgia"/>
          <w:sz w:val="24"/>
          <w:szCs w:val="24"/>
        </w:rPr>
        <w:t xml:space="preserve">tate </w:t>
      </w:r>
      <w:r>
        <w:rPr>
          <w:rFonts w:ascii="Georgia" w:hAnsi="Georgia"/>
          <w:sz w:val="24"/>
          <w:szCs w:val="24"/>
        </w:rPr>
        <w:t>utility commissions</w:t>
      </w:r>
      <w:r w:rsidRPr="000C73B8">
        <w:rPr>
          <w:rFonts w:ascii="Georgia" w:hAnsi="Georgia"/>
          <w:sz w:val="24"/>
          <w:szCs w:val="24"/>
        </w:rPr>
        <w:t xml:space="preserve"> </w:t>
      </w:r>
      <w:r>
        <w:rPr>
          <w:rFonts w:ascii="Georgia" w:hAnsi="Georgia"/>
          <w:sz w:val="24"/>
          <w:szCs w:val="24"/>
        </w:rPr>
        <w:t>rely on</w:t>
      </w:r>
      <w:r w:rsidRPr="000C73B8">
        <w:rPr>
          <w:rFonts w:ascii="Georgia" w:hAnsi="Georgia"/>
          <w:sz w:val="24"/>
          <w:szCs w:val="24"/>
        </w:rPr>
        <w:t xml:space="preserve"> natural gas indices as benchmarks when </w:t>
      </w:r>
      <w:r>
        <w:rPr>
          <w:rFonts w:ascii="Georgia" w:hAnsi="Georgia"/>
          <w:sz w:val="24"/>
          <w:szCs w:val="24"/>
        </w:rPr>
        <w:t>setting rates; and</w:t>
      </w:r>
      <w:r w:rsidRPr="000C73B8">
        <w:rPr>
          <w:rFonts w:ascii="Georgia" w:hAnsi="Georgia"/>
          <w:sz w:val="24"/>
          <w:szCs w:val="24"/>
        </w:rPr>
        <w:t xml:space="preserve"> many natural gas financial derivative contracts used in hedging and speculation settle against the natural gas price indices.</w:t>
      </w:r>
      <w:r>
        <w:rPr>
          <w:rStyle w:val="FootnoteReference"/>
          <w:rFonts w:ascii="Georgia" w:hAnsi="Georgia"/>
          <w:sz w:val="24"/>
          <w:szCs w:val="24"/>
        </w:rPr>
        <w:footnoteReference w:id="22"/>
      </w:r>
      <w:r>
        <w:rPr>
          <w:rFonts w:ascii="Georgia" w:hAnsi="Georgia"/>
          <w:sz w:val="24"/>
          <w:szCs w:val="24"/>
        </w:rPr>
        <w:t xml:space="preserve"> In a way, hundreds of billions of dollars of energy transactions rely upon voluntarily-reported price indexes</w:t>
      </w:r>
      <w:r>
        <w:rPr>
          <w:rFonts w:ascii="Cambria" w:hAnsi="Cambria"/>
          <w:sz w:val="24"/>
          <w:szCs w:val="24"/>
        </w:rPr>
        <w:t>—</w:t>
      </w:r>
      <w:r>
        <w:rPr>
          <w:rFonts w:ascii="Georgia" w:hAnsi="Georgia"/>
          <w:sz w:val="24"/>
          <w:szCs w:val="24"/>
        </w:rPr>
        <w:t>a 21</w:t>
      </w:r>
      <w:r w:rsidRPr="00BD1ED1">
        <w:rPr>
          <w:rFonts w:ascii="Georgia" w:hAnsi="Georgia"/>
          <w:sz w:val="24"/>
          <w:szCs w:val="24"/>
          <w:vertAlign w:val="superscript"/>
        </w:rPr>
        <w:t>st</w:t>
      </w:r>
      <w:r>
        <w:rPr>
          <w:rFonts w:ascii="Georgia" w:hAnsi="Georgia"/>
          <w:sz w:val="24"/>
          <w:szCs w:val="24"/>
        </w:rPr>
        <w:t xml:space="preserve"> century version of a smoke-filled, price-fixing establishment</w:t>
      </w:r>
      <w:r w:rsidR="00332A1F">
        <w:rPr>
          <w:rFonts w:ascii="Georgia" w:hAnsi="Georgia"/>
          <w:sz w:val="24"/>
          <w:szCs w:val="24"/>
        </w:rPr>
        <w:t xml:space="preserve">. Such natural gas markets―including those in New England―are a </w:t>
      </w:r>
      <w:r w:rsidR="003B5518">
        <w:rPr>
          <w:rFonts w:ascii="Georgia" w:hAnsi="Georgia"/>
          <w:sz w:val="24"/>
          <w:szCs w:val="24"/>
        </w:rPr>
        <w:t xml:space="preserve">profoundly non-transparent, uncompetitive natural gas pricing system. </w:t>
      </w:r>
    </w:p>
    <w:p w14:paraId="5D83FA48" w14:textId="393C3669" w:rsidR="003B5518" w:rsidRDefault="003B5518" w:rsidP="00332A1F">
      <w:pPr>
        <w:spacing w:line="360" w:lineRule="auto"/>
        <w:ind w:firstLine="720"/>
        <w:rPr>
          <w:rFonts w:ascii="Georgia" w:hAnsi="Georgia"/>
          <w:sz w:val="24"/>
          <w:szCs w:val="24"/>
        </w:rPr>
      </w:pPr>
      <w:r>
        <w:rPr>
          <w:rFonts w:ascii="Georgia" w:hAnsi="Georgia"/>
          <w:sz w:val="24"/>
          <w:szCs w:val="24"/>
        </w:rPr>
        <w:t>Voluntary price indexes</w:t>
      </w:r>
      <w:r>
        <w:rPr>
          <w:rFonts w:ascii="Cambria" w:hAnsi="Cambria"/>
          <w:sz w:val="24"/>
          <w:szCs w:val="24"/>
        </w:rPr>
        <w:t xml:space="preserve">, </w:t>
      </w:r>
      <w:r>
        <w:rPr>
          <w:rFonts w:ascii="Georgia" w:hAnsi="Georgia"/>
          <w:sz w:val="24"/>
          <w:szCs w:val="24"/>
        </w:rPr>
        <w:t xml:space="preserve">whether for natural gas or the </w:t>
      </w:r>
      <w:r w:rsidRPr="00F5173C">
        <w:rPr>
          <w:rFonts w:ascii="Georgia" w:hAnsi="Georgia"/>
          <w:sz w:val="24"/>
          <w:szCs w:val="24"/>
        </w:rPr>
        <w:t>London Interbank Offered Rate</w:t>
      </w:r>
      <w:r>
        <w:rPr>
          <w:rFonts w:ascii="Georgia" w:hAnsi="Georgia"/>
          <w:sz w:val="24"/>
          <w:szCs w:val="24"/>
        </w:rPr>
        <w:t xml:space="preserve"> (LIBOR)</w:t>
      </w:r>
      <w:r>
        <w:rPr>
          <w:rFonts w:ascii="Cambria" w:hAnsi="Cambria"/>
          <w:sz w:val="24"/>
          <w:szCs w:val="24"/>
        </w:rPr>
        <w:t xml:space="preserve">, </w:t>
      </w:r>
      <w:r>
        <w:rPr>
          <w:rFonts w:ascii="Georgia" w:hAnsi="Georgia"/>
          <w:sz w:val="24"/>
          <w:szCs w:val="24"/>
        </w:rPr>
        <w:t>have systemically been vulnerable to market manipulation, as they feature bilateral transactions that are too illiquid and uncompetitive to be reliable or trustworthy reflections of market prices. Instead of codifying safe harbor protections, the Commission should scrap this NOPR and initiate a proceeding to find a replacement for voluntarily-reported price indexes.</w:t>
      </w:r>
    </w:p>
    <w:p w14:paraId="2B257F23" w14:textId="5C134A40" w:rsidR="003B5518" w:rsidRDefault="003B5518" w:rsidP="003B5518">
      <w:pPr>
        <w:spacing w:line="360" w:lineRule="auto"/>
        <w:ind w:firstLine="720"/>
        <w:rPr>
          <w:rFonts w:ascii="Georgia" w:hAnsi="Georgia"/>
          <w:sz w:val="24"/>
          <w:szCs w:val="24"/>
        </w:rPr>
      </w:pPr>
      <w:r>
        <w:rPr>
          <w:rFonts w:ascii="Georgia" w:hAnsi="Georgia"/>
          <w:sz w:val="24"/>
          <w:szCs w:val="24"/>
        </w:rPr>
        <w:t xml:space="preserve">Federal law provides a clear alternative for FERC to pursue, as </w:t>
      </w:r>
      <w:bookmarkStart w:id="0" w:name="_Hlk73423692"/>
      <w:r w:rsidRPr="00127E61">
        <w:rPr>
          <w:rFonts w:ascii="Georgia" w:hAnsi="Georgia"/>
          <w:b/>
          <w:bCs/>
          <w:sz w:val="24"/>
          <w:szCs w:val="24"/>
          <w:u w:val="single"/>
        </w:rPr>
        <w:t>15 USC §</w:t>
      </w:r>
      <w:r w:rsidRPr="00127E61">
        <w:rPr>
          <w:rFonts w:ascii="Times New Roman" w:hAnsi="Times New Roman" w:cs="Times New Roman"/>
          <w:b/>
          <w:bCs/>
          <w:sz w:val="24"/>
          <w:szCs w:val="24"/>
          <w:u w:val="single"/>
        </w:rPr>
        <w:t> </w:t>
      </w:r>
      <w:r w:rsidRPr="00127E61">
        <w:rPr>
          <w:rFonts w:ascii="Georgia" w:hAnsi="Georgia"/>
          <w:b/>
          <w:bCs/>
          <w:sz w:val="24"/>
          <w:szCs w:val="24"/>
          <w:u w:val="single"/>
        </w:rPr>
        <w:t>717t</w:t>
      </w:r>
      <w:r w:rsidRPr="00127E61">
        <w:rPr>
          <w:rFonts w:ascii="Georgia" w:hAnsi="Georgia" w:cs="Georgia"/>
          <w:b/>
          <w:bCs/>
          <w:sz w:val="24"/>
          <w:szCs w:val="24"/>
          <w:u w:val="single"/>
        </w:rPr>
        <w:t>–</w:t>
      </w:r>
      <w:r w:rsidRPr="00127E61">
        <w:rPr>
          <w:rFonts w:ascii="Georgia" w:hAnsi="Georgia"/>
          <w:b/>
          <w:bCs/>
          <w:sz w:val="24"/>
          <w:szCs w:val="24"/>
          <w:u w:val="single"/>
        </w:rPr>
        <w:t>2(a)(4)</w:t>
      </w:r>
      <w:r>
        <w:rPr>
          <w:rFonts w:ascii="Georgia" w:hAnsi="Georgia"/>
          <w:sz w:val="24"/>
          <w:szCs w:val="24"/>
        </w:rPr>
        <w:t xml:space="preserve"> </w:t>
      </w:r>
      <w:bookmarkEnd w:id="0"/>
      <w:r>
        <w:rPr>
          <w:rFonts w:ascii="Georgia" w:hAnsi="Georgia"/>
          <w:sz w:val="24"/>
          <w:szCs w:val="24"/>
        </w:rPr>
        <w:t xml:space="preserve">states that </w:t>
      </w:r>
      <w:r w:rsidRPr="00D02316">
        <w:rPr>
          <w:rFonts w:ascii="Georgia" w:hAnsi="Georgia"/>
          <w:sz w:val="24"/>
          <w:szCs w:val="24"/>
        </w:rPr>
        <w:t xml:space="preserve">“the Commission shall consider the degree of price transparency provided by existing price publishers and providers of trade processing services . . . </w:t>
      </w:r>
      <w:r w:rsidRPr="00EF110D">
        <w:rPr>
          <w:rFonts w:ascii="Georgia" w:hAnsi="Georgia"/>
          <w:b/>
          <w:bCs/>
          <w:i/>
          <w:iCs/>
          <w:sz w:val="24"/>
          <w:szCs w:val="24"/>
        </w:rPr>
        <w:t xml:space="preserve">The Commission may establish an electronic information system if it determines that existing price publications are not adequately providing </w:t>
      </w:r>
      <w:bookmarkStart w:id="1" w:name="_Hlk73429149"/>
      <w:r w:rsidRPr="00EF110D">
        <w:rPr>
          <w:rFonts w:ascii="Georgia" w:hAnsi="Georgia"/>
          <w:b/>
          <w:bCs/>
          <w:i/>
          <w:iCs/>
          <w:sz w:val="24"/>
          <w:szCs w:val="24"/>
        </w:rPr>
        <w:t>price discovery or market transparency</w:t>
      </w:r>
      <w:bookmarkEnd w:id="1"/>
      <w:r>
        <w:rPr>
          <w:rFonts w:ascii="Georgia" w:hAnsi="Georgia"/>
          <w:sz w:val="24"/>
          <w:szCs w:val="24"/>
        </w:rPr>
        <w:t xml:space="preserve">” [emphasis added]. Such “an electronic information system” could be based on </w:t>
      </w:r>
      <w:r w:rsidRPr="00155CA4">
        <w:rPr>
          <w:rFonts w:ascii="Georgia" w:hAnsi="Georgia"/>
          <w:sz w:val="24"/>
          <w:szCs w:val="24"/>
          <w:u w:val="single"/>
        </w:rPr>
        <w:t>actual</w:t>
      </w:r>
      <w:r>
        <w:rPr>
          <w:rFonts w:ascii="Georgia" w:hAnsi="Georgia"/>
          <w:sz w:val="24"/>
          <w:szCs w:val="24"/>
        </w:rPr>
        <w:t xml:space="preserve"> transactions, and not limited to those voluntarily reported, and would be freely available to all interested parties through a platform hosted by the Commission, rather than  the proprietary, commodified data </w:t>
      </w:r>
      <w:r>
        <w:rPr>
          <w:rFonts w:ascii="Georgia" w:hAnsi="Georgia"/>
          <w:sz w:val="24"/>
          <w:szCs w:val="24"/>
        </w:rPr>
        <w:lastRenderedPageBreak/>
        <w:t>model of the index publishers.</w:t>
      </w:r>
      <w:r w:rsidR="00802A6C">
        <w:rPr>
          <w:rFonts w:ascii="Georgia" w:hAnsi="Georgia"/>
          <w:sz w:val="24"/>
          <w:szCs w:val="24"/>
        </w:rPr>
        <w:t xml:space="preserve"> It could operate as a type of RTO/ISO for natural gas spot markets.</w:t>
      </w:r>
    </w:p>
    <w:p w14:paraId="588B3988" w14:textId="77777777" w:rsidR="003B5518" w:rsidRDefault="003B5518" w:rsidP="003B5518">
      <w:pPr>
        <w:spacing w:line="360" w:lineRule="auto"/>
        <w:ind w:firstLine="720"/>
        <w:rPr>
          <w:rFonts w:ascii="Georgia" w:hAnsi="Georgia"/>
          <w:sz w:val="24"/>
          <w:szCs w:val="24"/>
        </w:rPr>
      </w:pPr>
      <w:r>
        <w:rPr>
          <w:rFonts w:ascii="Georgia" w:hAnsi="Georgia"/>
          <w:sz w:val="24"/>
          <w:szCs w:val="24"/>
        </w:rPr>
        <w:t>The rest of the world has turned away from such voluntary reporting indexes. As a member of the U.S. Commodity Futures Trading Commission’s Market Risk Advisory Committee,</w:t>
      </w:r>
      <w:r>
        <w:rPr>
          <w:rStyle w:val="FootnoteReference"/>
          <w:rFonts w:ascii="Georgia" w:hAnsi="Georgia"/>
          <w:sz w:val="24"/>
          <w:szCs w:val="24"/>
        </w:rPr>
        <w:footnoteReference w:id="23"/>
      </w:r>
      <w:r>
        <w:rPr>
          <w:rFonts w:ascii="Georgia" w:hAnsi="Georgia"/>
          <w:sz w:val="24"/>
          <w:szCs w:val="24"/>
        </w:rPr>
        <w:t xml:space="preserve"> Public Citizen participated in deliberations on the logistics of transitioning away from scandal-plagued LIBOR towards its likely replacement, the </w:t>
      </w:r>
      <w:r w:rsidRPr="00E70DF3">
        <w:rPr>
          <w:rFonts w:ascii="Georgia" w:hAnsi="Georgia"/>
          <w:sz w:val="24"/>
          <w:szCs w:val="24"/>
        </w:rPr>
        <w:t>Secured Overnight Financing Rate</w:t>
      </w:r>
      <w:r>
        <w:rPr>
          <w:rFonts w:ascii="Georgia" w:hAnsi="Georgia"/>
          <w:sz w:val="24"/>
          <w:szCs w:val="24"/>
        </w:rPr>
        <w:t xml:space="preserve"> (SOFR). Similar to the voluntarily-reported natural gas indices, LIBOR</w:t>
      </w:r>
      <w:r w:rsidRPr="00592CFD">
        <w:rPr>
          <w:rFonts w:ascii="Georgia" w:hAnsi="Georgia"/>
          <w:sz w:val="24"/>
          <w:szCs w:val="24"/>
        </w:rPr>
        <w:t xml:space="preserve"> is an interest rate index that measures the rates at which banks borrow from one another</w:t>
      </w:r>
      <w:r>
        <w:rPr>
          <w:rFonts w:ascii="Georgia" w:hAnsi="Georgia"/>
          <w:sz w:val="24"/>
          <w:szCs w:val="24"/>
        </w:rPr>
        <w:t xml:space="preserve">, and is calculated based on the voluntary submissions by a dozen of the world’s largest banks. As much as $300 </w:t>
      </w:r>
      <w:r w:rsidRPr="00887F69">
        <w:rPr>
          <w:rFonts w:ascii="Georgia" w:hAnsi="Georgia"/>
          <w:i/>
          <w:iCs/>
          <w:sz w:val="24"/>
          <w:szCs w:val="24"/>
        </w:rPr>
        <w:t>trillion</w:t>
      </w:r>
      <w:r>
        <w:rPr>
          <w:rFonts w:ascii="Georgia" w:hAnsi="Georgia"/>
          <w:sz w:val="24"/>
          <w:szCs w:val="24"/>
        </w:rPr>
        <w:t xml:space="preserve"> worth of transactions around the world</w:t>
      </w:r>
      <w:r>
        <w:rPr>
          <w:rFonts w:ascii="Cambria" w:hAnsi="Cambria"/>
          <w:sz w:val="24"/>
          <w:szCs w:val="24"/>
        </w:rPr>
        <w:t>—</w:t>
      </w:r>
      <w:r>
        <w:rPr>
          <w:rFonts w:ascii="Georgia" w:hAnsi="Georgia"/>
          <w:sz w:val="24"/>
          <w:szCs w:val="24"/>
        </w:rPr>
        <w:t>from the interest rate on your home mortgage, credit cards and automobile loans, and trillions of dollars of derivatives swaps</w:t>
      </w:r>
      <w:r>
        <w:rPr>
          <w:rFonts w:ascii="Cambria" w:hAnsi="Cambria"/>
          <w:sz w:val="24"/>
          <w:szCs w:val="24"/>
        </w:rPr>
        <w:t>—</w:t>
      </w:r>
      <w:r>
        <w:rPr>
          <w:rFonts w:ascii="Georgia" w:hAnsi="Georgia"/>
          <w:sz w:val="24"/>
          <w:szCs w:val="24"/>
        </w:rPr>
        <w:t xml:space="preserve">were tied or referenced to LIBOR. Banks exploited this voluntary submission standard by reporting rates that financially advantaged their positions, thereby manipulating the rates impacting trillions of dollars in transactions. In the end, major Wall Street banks acknowledged they manipulated LIBOR and paid nearly $10 billion in penalties for operating the global financial system like a cartel. </w:t>
      </w:r>
    </w:p>
    <w:p w14:paraId="702AEBBF" w14:textId="77777777" w:rsidR="003B5518" w:rsidRDefault="003B5518" w:rsidP="003B5518">
      <w:pPr>
        <w:spacing w:line="360" w:lineRule="auto"/>
        <w:ind w:firstLine="720"/>
        <w:rPr>
          <w:rFonts w:ascii="Georgia" w:hAnsi="Georgia"/>
          <w:sz w:val="24"/>
          <w:szCs w:val="24"/>
        </w:rPr>
      </w:pPr>
      <w:r>
        <w:rPr>
          <w:rFonts w:ascii="Georgia" w:hAnsi="Georgia"/>
          <w:sz w:val="24"/>
          <w:szCs w:val="24"/>
        </w:rPr>
        <w:t>SOFR is the estimated overnight borrowing cost</w:t>
      </w:r>
      <w:r w:rsidRPr="00361BFA">
        <w:rPr>
          <w:rFonts w:ascii="Georgia" w:hAnsi="Georgia"/>
          <w:sz w:val="24"/>
          <w:szCs w:val="24"/>
        </w:rPr>
        <w:t xml:space="preserve"> collateralized by Treasury securities</w:t>
      </w:r>
      <w:r>
        <w:rPr>
          <w:rFonts w:ascii="Georgia" w:hAnsi="Georgia"/>
          <w:sz w:val="24"/>
          <w:szCs w:val="24"/>
        </w:rPr>
        <w:t xml:space="preserve">. The advantage of SOFR vs. LIBOR is that, unlike the voluntary reporting nature of LIBOR, SOFR is based on actual transaction data. It is therefore a reliable indicator of a bank’s overnight borrowing costs. </w:t>
      </w:r>
    </w:p>
    <w:p w14:paraId="39A2FA52" w14:textId="77777777" w:rsidR="003B5518" w:rsidRDefault="003B5518" w:rsidP="003B5518">
      <w:pPr>
        <w:spacing w:line="360" w:lineRule="auto"/>
        <w:ind w:firstLine="720"/>
        <w:rPr>
          <w:rFonts w:ascii="Georgia" w:hAnsi="Georgia"/>
          <w:sz w:val="24"/>
          <w:szCs w:val="24"/>
        </w:rPr>
      </w:pPr>
      <w:r>
        <w:rPr>
          <w:rFonts w:ascii="Georgia" w:hAnsi="Georgia"/>
          <w:sz w:val="24"/>
          <w:szCs w:val="24"/>
        </w:rPr>
        <w:t xml:space="preserve">Our CFTC Market Risk Advisory Committee deliberations detailed the logistical challenges associated with moving trillions of dollars of derivative contracts off LIBOR and on to SOFR, a process that showed that when market participants, consumer advocates and regulators work together, complex problems can be reformed. If the Federal Reserve and the CFTC can develop an orderly, coherent process to move the global economy off of LIBOR, surely FERC can do the same for the much smaller, but just as scandal-prone, natural gas spot indices. And Congress empowered the Commission to do so at </w:t>
      </w:r>
      <w:r w:rsidRPr="000950E4">
        <w:rPr>
          <w:rFonts w:ascii="Georgia" w:hAnsi="Georgia"/>
          <w:sz w:val="24"/>
          <w:szCs w:val="24"/>
        </w:rPr>
        <w:t>15 USC §</w:t>
      </w:r>
      <w:r w:rsidRPr="000950E4">
        <w:rPr>
          <w:rFonts w:ascii="Times New Roman" w:hAnsi="Times New Roman" w:cs="Times New Roman"/>
          <w:sz w:val="24"/>
          <w:szCs w:val="24"/>
        </w:rPr>
        <w:t> </w:t>
      </w:r>
      <w:r w:rsidRPr="000950E4">
        <w:rPr>
          <w:rFonts w:ascii="Georgia" w:hAnsi="Georgia"/>
          <w:sz w:val="24"/>
          <w:szCs w:val="24"/>
        </w:rPr>
        <w:t>717t</w:t>
      </w:r>
      <w:r w:rsidRPr="000950E4">
        <w:rPr>
          <w:rFonts w:ascii="Georgia" w:hAnsi="Georgia" w:cs="Georgia"/>
          <w:sz w:val="24"/>
          <w:szCs w:val="24"/>
        </w:rPr>
        <w:t>–</w:t>
      </w:r>
      <w:r w:rsidRPr="000950E4">
        <w:rPr>
          <w:rFonts w:ascii="Georgia" w:hAnsi="Georgia"/>
          <w:sz w:val="24"/>
          <w:szCs w:val="24"/>
        </w:rPr>
        <w:t>2(a)(4)</w:t>
      </w:r>
      <w:r>
        <w:rPr>
          <w:rFonts w:ascii="Georgia" w:hAnsi="Georgia"/>
          <w:sz w:val="24"/>
          <w:szCs w:val="24"/>
        </w:rPr>
        <w:t>.</w:t>
      </w:r>
    </w:p>
    <w:p w14:paraId="3B0747D0" w14:textId="7D6020B4" w:rsidR="005F0067" w:rsidRDefault="008C1691" w:rsidP="001F68BD">
      <w:pPr>
        <w:spacing w:line="360" w:lineRule="auto"/>
        <w:ind w:firstLine="720"/>
        <w:rPr>
          <w:rFonts w:ascii="Georgia" w:hAnsi="Georgia"/>
          <w:sz w:val="24"/>
          <w:szCs w:val="24"/>
        </w:rPr>
      </w:pPr>
      <w:r>
        <w:rPr>
          <w:rFonts w:ascii="Georgia" w:hAnsi="Georgia"/>
          <w:sz w:val="24"/>
          <w:szCs w:val="24"/>
        </w:rPr>
        <w:lastRenderedPageBreak/>
        <w:t xml:space="preserve">Market prices can provide effective signals to producers and consumers if the market is competitive and functioning normally. But </w:t>
      </w:r>
      <w:r w:rsidR="001F4598">
        <w:rPr>
          <w:rFonts w:ascii="Georgia" w:hAnsi="Georgia"/>
          <w:sz w:val="24"/>
          <w:szCs w:val="24"/>
        </w:rPr>
        <w:t>spiking</w:t>
      </w:r>
      <w:r>
        <w:rPr>
          <w:rFonts w:ascii="Georgia" w:hAnsi="Georgia"/>
          <w:sz w:val="24"/>
          <w:szCs w:val="24"/>
        </w:rPr>
        <w:t xml:space="preserve"> natural gas price</w:t>
      </w:r>
      <w:r w:rsidR="001F4598">
        <w:rPr>
          <w:rFonts w:ascii="Georgia" w:hAnsi="Georgia"/>
          <w:sz w:val="24"/>
          <w:szCs w:val="24"/>
        </w:rPr>
        <w:t xml:space="preserve">s due to war, climate-induced disasters and other calamities are rendering aspects of </w:t>
      </w:r>
      <w:r w:rsidR="001F68BD">
        <w:rPr>
          <w:rFonts w:ascii="Georgia" w:hAnsi="Georgia"/>
          <w:sz w:val="24"/>
          <w:szCs w:val="24"/>
        </w:rPr>
        <w:t>our energy markets to be dysfunctional.</w:t>
      </w:r>
      <w:r w:rsidR="001F68BD">
        <w:rPr>
          <w:rStyle w:val="FootnoteReference"/>
          <w:rFonts w:ascii="Georgia" w:hAnsi="Georgia"/>
          <w:sz w:val="24"/>
          <w:szCs w:val="24"/>
        </w:rPr>
        <w:footnoteReference w:id="24"/>
      </w:r>
      <w:r w:rsidR="001F68BD">
        <w:rPr>
          <w:rFonts w:ascii="Georgia" w:hAnsi="Georgia"/>
          <w:sz w:val="24"/>
          <w:szCs w:val="24"/>
        </w:rPr>
        <w:t xml:space="preserve"> </w:t>
      </w:r>
      <w:r>
        <w:rPr>
          <w:rFonts w:ascii="Georgia" w:hAnsi="Georgia"/>
          <w:sz w:val="24"/>
          <w:szCs w:val="24"/>
        </w:rPr>
        <w:t xml:space="preserve"> occurred during significant market dysfunction: many producers were unable to respond to high spot prices because their production was frozen and shut-in. </w:t>
      </w:r>
      <w:r w:rsidR="0092110F">
        <w:rPr>
          <w:rFonts w:ascii="Georgia" w:hAnsi="Georgia"/>
          <w:sz w:val="24"/>
          <w:szCs w:val="24"/>
        </w:rPr>
        <w:t>V</w:t>
      </w:r>
      <w:r>
        <w:rPr>
          <w:rFonts w:ascii="Georgia" w:hAnsi="Georgia"/>
          <w:sz w:val="24"/>
          <w:szCs w:val="24"/>
        </w:rPr>
        <w:t>oluntarily-reported spot indices are devoid of effective transparency and competition, allowing a handful of traders to set prices.</w:t>
      </w:r>
    </w:p>
    <w:p w14:paraId="71D913CB" w14:textId="77777777" w:rsidR="00496B21" w:rsidRDefault="00496B21" w:rsidP="001F68BD">
      <w:pPr>
        <w:spacing w:line="360" w:lineRule="auto"/>
        <w:ind w:firstLine="720"/>
        <w:rPr>
          <w:rFonts w:ascii="Georgia" w:hAnsi="Georgia"/>
          <w:sz w:val="24"/>
          <w:szCs w:val="24"/>
        </w:rPr>
      </w:pPr>
    </w:p>
    <w:p w14:paraId="40023E02" w14:textId="77777777" w:rsidR="00496B21" w:rsidRDefault="00496B21" w:rsidP="001F68BD">
      <w:pPr>
        <w:spacing w:line="360" w:lineRule="auto"/>
        <w:ind w:firstLine="720"/>
        <w:rPr>
          <w:rFonts w:ascii="Georgia" w:hAnsi="Georgia"/>
          <w:sz w:val="24"/>
          <w:szCs w:val="24"/>
        </w:rPr>
      </w:pPr>
    </w:p>
    <w:p w14:paraId="0B4488D0" w14:textId="0C5C8CAA" w:rsidR="00496B21" w:rsidRDefault="00496B21" w:rsidP="001F68BD">
      <w:pPr>
        <w:spacing w:line="360" w:lineRule="auto"/>
        <w:ind w:firstLine="720"/>
        <w:rPr>
          <w:rFonts w:ascii="Georgia" w:hAnsi="Georgia"/>
          <w:sz w:val="24"/>
          <w:szCs w:val="24"/>
        </w:rPr>
      </w:pPr>
      <w:r>
        <w:rPr>
          <w:rFonts w:ascii="Georgia" w:hAnsi="Georgia"/>
          <w:sz w:val="24"/>
          <w:szCs w:val="24"/>
        </w:rPr>
        <w:tab/>
        <w:t>Respectfully submitted,</w:t>
      </w:r>
    </w:p>
    <w:p w14:paraId="1D85C188" w14:textId="77777777" w:rsidR="00496B21" w:rsidRDefault="00496B21" w:rsidP="001F68BD">
      <w:pPr>
        <w:spacing w:line="360" w:lineRule="auto"/>
        <w:ind w:firstLine="720"/>
        <w:rPr>
          <w:rFonts w:ascii="Georgia" w:hAnsi="Georgia"/>
          <w:sz w:val="24"/>
          <w:szCs w:val="24"/>
        </w:rPr>
      </w:pPr>
    </w:p>
    <w:p w14:paraId="507DA54B" w14:textId="4D7E03B9" w:rsidR="00496B21" w:rsidRDefault="00496B21" w:rsidP="00496B21">
      <w:pPr>
        <w:ind w:firstLine="720"/>
        <w:rPr>
          <w:rFonts w:ascii="Georgia" w:hAnsi="Georgia"/>
          <w:sz w:val="24"/>
          <w:szCs w:val="24"/>
        </w:rPr>
      </w:pPr>
      <w:r>
        <w:rPr>
          <w:rFonts w:ascii="Georgia" w:hAnsi="Georgia"/>
          <w:sz w:val="24"/>
          <w:szCs w:val="24"/>
        </w:rPr>
        <w:tab/>
        <w:t>Tyson Slocum, Energy Program Director</w:t>
      </w:r>
    </w:p>
    <w:p w14:paraId="1A63CFF1" w14:textId="52369141" w:rsidR="00496B21" w:rsidRDefault="00496B21" w:rsidP="00496B21">
      <w:pPr>
        <w:ind w:firstLine="720"/>
        <w:rPr>
          <w:rFonts w:ascii="Georgia" w:hAnsi="Georgia"/>
          <w:sz w:val="24"/>
          <w:szCs w:val="24"/>
        </w:rPr>
      </w:pPr>
      <w:r>
        <w:rPr>
          <w:rFonts w:ascii="Georgia" w:hAnsi="Georgia"/>
          <w:sz w:val="24"/>
          <w:szCs w:val="24"/>
        </w:rPr>
        <w:tab/>
        <w:t>Public Citizen, Inc.</w:t>
      </w:r>
    </w:p>
    <w:p w14:paraId="505476D0" w14:textId="61D2DF28" w:rsidR="00496B21" w:rsidRDefault="00496B21" w:rsidP="00496B21">
      <w:pPr>
        <w:ind w:firstLine="720"/>
        <w:rPr>
          <w:rFonts w:ascii="Georgia" w:hAnsi="Georgia"/>
          <w:sz w:val="24"/>
          <w:szCs w:val="24"/>
        </w:rPr>
      </w:pPr>
      <w:r>
        <w:rPr>
          <w:rFonts w:ascii="Georgia" w:hAnsi="Georgia"/>
          <w:sz w:val="24"/>
          <w:szCs w:val="24"/>
        </w:rPr>
        <w:tab/>
        <w:t>215 Pennsylvania Ave SE</w:t>
      </w:r>
    </w:p>
    <w:p w14:paraId="1F9B8A9F" w14:textId="31C364FB" w:rsidR="00496B21" w:rsidRDefault="00496B21" w:rsidP="00496B21">
      <w:pPr>
        <w:ind w:firstLine="720"/>
        <w:rPr>
          <w:rFonts w:ascii="Georgia" w:hAnsi="Georgia"/>
          <w:sz w:val="24"/>
          <w:szCs w:val="24"/>
        </w:rPr>
      </w:pPr>
      <w:r>
        <w:rPr>
          <w:rFonts w:ascii="Georgia" w:hAnsi="Georgia"/>
          <w:sz w:val="24"/>
          <w:szCs w:val="24"/>
        </w:rPr>
        <w:tab/>
        <w:t>Washington, DC  20003</w:t>
      </w:r>
    </w:p>
    <w:p w14:paraId="65EC1DA6" w14:textId="4571A0D4" w:rsidR="00496B21" w:rsidRDefault="00496B21" w:rsidP="00496B21">
      <w:pPr>
        <w:ind w:firstLine="720"/>
        <w:rPr>
          <w:rFonts w:ascii="Georgia" w:hAnsi="Georgia"/>
          <w:sz w:val="24"/>
          <w:szCs w:val="24"/>
        </w:rPr>
      </w:pPr>
      <w:r>
        <w:rPr>
          <w:rFonts w:ascii="Georgia" w:hAnsi="Georgia"/>
          <w:sz w:val="24"/>
          <w:szCs w:val="24"/>
        </w:rPr>
        <w:tab/>
        <w:t>(202) 256-3152</w:t>
      </w:r>
    </w:p>
    <w:p w14:paraId="62E5CC76" w14:textId="1D833147" w:rsidR="00496B21" w:rsidRPr="004C625D" w:rsidRDefault="00496B21" w:rsidP="00496B21">
      <w:pPr>
        <w:ind w:firstLine="720"/>
        <w:rPr>
          <w:rFonts w:ascii="Georgia" w:hAnsi="Georgia"/>
          <w:sz w:val="24"/>
          <w:szCs w:val="24"/>
        </w:rPr>
      </w:pPr>
      <w:r>
        <w:rPr>
          <w:rFonts w:ascii="Georgia" w:hAnsi="Georgia"/>
          <w:sz w:val="24"/>
          <w:szCs w:val="24"/>
        </w:rPr>
        <w:tab/>
        <w:t>tslocum@citizen.org</w:t>
      </w:r>
    </w:p>
    <w:sectPr w:rsidR="00496B21" w:rsidRPr="004C625D" w:rsidSect="0092110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0B10" w14:textId="77777777" w:rsidR="003E69B0" w:rsidRDefault="003E69B0" w:rsidP="005F14D7">
      <w:r>
        <w:separator/>
      </w:r>
    </w:p>
  </w:endnote>
  <w:endnote w:type="continuationSeparator" w:id="0">
    <w:p w14:paraId="5AC62F8E" w14:textId="77777777" w:rsidR="003E69B0" w:rsidRDefault="003E69B0" w:rsidP="005F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542145"/>
      <w:docPartObj>
        <w:docPartGallery w:val="Page Numbers (Bottom of Page)"/>
        <w:docPartUnique/>
      </w:docPartObj>
    </w:sdtPr>
    <w:sdtEndPr>
      <w:rPr>
        <w:color w:val="7F7F7F" w:themeColor="background1" w:themeShade="7F"/>
        <w:spacing w:val="60"/>
      </w:rPr>
    </w:sdtEndPr>
    <w:sdtContent>
      <w:p w14:paraId="05D177E9" w14:textId="09772AB7" w:rsidR="0092110F" w:rsidRDefault="0092110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A1FA0E" w14:textId="77777777" w:rsidR="0092110F" w:rsidRDefault="00921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1C0D" w14:textId="77777777" w:rsidR="003E69B0" w:rsidRDefault="003E69B0" w:rsidP="005F14D7">
      <w:r>
        <w:separator/>
      </w:r>
    </w:p>
  </w:footnote>
  <w:footnote w:type="continuationSeparator" w:id="0">
    <w:p w14:paraId="19D4853B" w14:textId="77777777" w:rsidR="003E69B0" w:rsidRDefault="003E69B0" w:rsidP="005F14D7">
      <w:r>
        <w:continuationSeparator/>
      </w:r>
    </w:p>
  </w:footnote>
  <w:footnote w:id="1">
    <w:p w14:paraId="795C4C00" w14:textId="77777777" w:rsidR="0018386D" w:rsidRDefault="0018386D" w:rsidP="0018386D">
      <w:pPr>
        <w:pStyle w:val="FootnoteText"/>
      </w:pPr>
      <w:r>
        <w:rPr>
          <w:rStyle w:val="FootnoteReference"/>
        </w:rPr>
        <w:footnoteRef/>
      </w:r>
      <w:r>
        <w:t xml:space="preserve"> </w:t>
      </w:r>
      <w:r w:rsidRPr="005F14D7">
        <w:rPr>
          <w:rFonts w:ascii="Georgia" w:hAnsi="Georgia"/>
        </w:rPr>
        <w:t xml:space="preserve">May 19, 2022 </w:t>
      </w:r>
      <w:r w:rsidRPr="005F14D7">
        <w:rPr>
          <w:rFonts w:ascii="Georgia" w:hAnsi="Georgia"/>
          <w:i/>
          <w:iCs/>
        </w:rPr>
        <w:t>Notice</w:t>
      </w:r>
      <w:r w:rsidRPr="005F14D7">
        <w:rPr>
          <w:rFonts w:ascii="Georgia" w:hAnsi="Georgia"/>
        </w:rPr>
        <w:t>.</w:t>
      </w:r>
    </w:p>
  </w:footnote>
  <w:footnote w:id="2">
    <w:p w14:paraId="3E0A835C" w14:textId="7DA17A8E" w:rsidR="008F7AF0" w:rsidRDefault="008F7AF0">
      <w:pPr>
        <w:pStyle w:val="FootnoteText"/>
      </w:pPr>
      <w:r>
        <w:rPr>
          <w:rStyle w:val="FootnoteReference"/>
        </w:rPr>
        <w:footnoteRef/>
      </w:r>
      <w:r>
        <w:t xml:space="preserve"> </w:t>
      </w:r>
      <w:r w:rsidRPr="008F7AF0">
        <w:rPr>
          <w:rFonts w:ascii="Georgia" w:hAnsi="Georgia"/>
        </w:rPr>
        <w:t xml:space="preserve">See </w:t>
      </w:r>
      <w:r w:rsidRPr="008F7AF0">
        <w:rPr>
          <w:rFonts w:ascii="Georgia" w:hAnsi="Georgia"/>
        </w:rPr>
        <w:t>www.citizen.org/consumerpetitionlngexports/</w:t>
      </w:r>
    </w:p>
  </w:footnote>
  <w:footnote w:id="3">
    <w:p w14:paraId="7C74FB25" w14:textId="2A3977E2" w:rsidR="00306576" w:rsidRDefault="00306576">
      <w:pPr>
        <w:pStyle w:val="FootnoteText"/>
      </w:pPr>
      <w:r>
        <w:rPr>
          <w:rStyle w:val="FootnoteReference"/>
        </w:rPr>
        <w:footnoteRef/>
      </w:r>
      <w:r>
        <w:t xml:space="preserve"> </w:t>
      </w:r>
      <w:r w:rsidRPr="00E05FB1">
        <w:rPr>
          <w:rFonts w:ascii="Georgia" w:hAnsi="Georgia"/>
        </w:rPr>
        <w:t>www.citizen.org/news/as-winter-approaches-fossil-fuel-exports-drive-up-consumer-prices/</w:t>
      </w:r>
    </w:p>
  </w:footnote>
  <w:footnote w:id="4">
    <w:p w14:paraId="7A24AF21" w14:textId="1CC6C46D" w:rsidR="00605BDD" w:rsidRPr="00605BDD" w:rsidRDefault="00605BDD">
      <w:pPr>
        <w:pStyle w:val="FootnoteText"/>
        <w:rPr>
          <w:rFonts w:ascii="Georgia" w:hAnsi="Georgia"/>
        </w:rPr>
      </w:pPr>
      <w:r>
        <w:rPr>
          <w:rStyle w:val="FootnoteReference"/>
        </w:rPr>
        <w:footnoteRef/>
      </w:r>
      <w:r>
        <w:t xml:space="preserve"> </w:t>
      </w:r>
      <w:r w:rsidRPr="00605BDD">
        <w:rPr>
          <w:rFonts w:ascii="Georgia" w:hAnsi="Georgia"/>
        </w:rPr>
        <w:t xml:space="preserve">2021 data, </w:t>
      </w:r>
      <w:r w:rsidRPr="00605BDD">
        <w:rPr>
          <w:rFonts w:ascii="Georgia" w:hAnsi="Georgia"/>
        </w:rPr>
        <w:t>www.eia.gov/naturalgas/</w:t>
      </w:r>
    </w:p>
  </w:footnote>
  <w:footnote w:id="5">
    <w:p w14:paraId="7F82AB3D" w14:textId="2D09039B" w:rsidR="0023579D" w:rsidRDefault="0023579D">
      <w:pPr>
        <w:pStyle w:val="FootnoteText"/>
      </w:pPr>
      <w:r>
        <w:rPr>
          <w:rStyle w:val="FootnoteReference"/>
        </w:rPr>
        <w:footnoteRef/>
      </w:r>
      <w:r>
        <w:t xml:space="preserve"> </w:t>
      </w:r>
      <w:r w:rsidRPr="0023579D">
        <w:rPr>
          <w:rFonts w:ascii="Georgia" w:hAnsi="Georgia"/>
        </w:rPr>
        <w:t>Lindsay Schneider, "Could a New LNG Export Terminal Be Coming to the Marcellus/Utica's Backyard?", RBN Energy, October 23, 2022, https://rbnenergy.com/philadelphia-freedom-could-a-new-lng-export-terminal-be-coming-to-themarcellus-utica</w:t>
      </w:r>
    </w:p>
  </w:footnote>
  <w:footnote w:id="6">
    <w:p w14:paraId="32BC5BCD" w14:textId="77777777" w:rsidR="001C3EFE" w:rsidRDefault="001C3EFE" w:rsidP="001C3EFE">
      <w:pPr>
        <w:pStyle w:val="FootnoteText"/>
      </w:pPr>
      <w:r>
        <w:rPr>
          <w:rStyle w:val="FootnoteReference"/>
        </w:rPr>
        <w:footnoteRef/>
      </w:r>
      <w:r>
        <w:t xml:space="preserve"> </w:t>
      </w:r>
      <w:r w:rsidRPr="00B57F2D">
        <w:rPr>
          <w:rFonts w:ascii="Georgia" w:hAnsi="Georgia"/>
        </w:rPr>
        <w:t>https://ferc.gov/media/report-2022-2023-winter-assessment</w:t>
      </w:r>
    </w:p>
  </w:footnote>
  <w:footnote w:id="7">
    <w:p w14:paraId="4BBF58E0" w14:textId="77777777" w:rsidR="00751C06" w:rsidRDefault="00751C06" w:rsidP="00751C06">
      <w:pPr>
        <w:pStyle w:val="FootnoteText"/>
      </w:pPr>
      <w:r>
        <w:rPr>
          <w:rStyle w:val="FootnoteReference"/>
        </w:rPr>
        <w:footnoteRef/>
      </w:r>
      <w:r>
        <w:t xml:space="preserve"> </w:t>
      </w:r>
      <w:r w:rsidRPr="00A07EC5">
        <w:rPr>
          <w:rFonts w:ascii="Georgia" w:hAnsi="Georgia"/>
        </w:rPr>
        <w:t>Collin Eaton and Katherine Blunt, "Natural-Gas Exports Lift Prices for U.S. Utilities Ahead of Winter," November 7, 2021, www.wsj.com/articles/natural-gas-exports-lift-prices-for-u-s-utilities-ahead-of-winter-11636281000</w:t>
      </w:r>
    </w:p>
  </w:footnote>
  <w:footnote w:id="8">
    <w:p w14:paraId="444743CF" w14:textId="77777777" w:rsidR="00751C06" w:rsidRPr="00DC4B2B" w:rsidRDefault="00751C06" w:rsidP="00751C06">
      <w:pPr>
        <w:pStyle w:val="FootnoteText"/>
        <w:rPr>
          <w:rFonts w:ascii="Georgia" w:hAnsi="Georgia"/>
        </w:rPr>
      </w:pPr>
      <w:r>
        <w:rPr>
          <w:rStyle w:val="FootnoteReference"/>
        </w:rPr>
        <w:footnoteRef/>
      </w:r>
      <w:r>
        <w:t xml:space="preserve"> </w:t>
      </w:r>
      <w:r w:rsidRPr="00DC4B2B">
        <w:rPr>
          <w:rFonts w:ascii="Georgia" w:hAnsi="Georgia"/>
        </w:rPr>
        <w:t>https://neada.org/wp-content/uploads/2022/09/winter2022-23PR.pdf</w:t>
      </w:r>
    </w:p>
  </w:footnote>
  <w:footnote w:id="9">
    <w:p w14:paraId="1B8C507A" w14:textId="77777777" w:rsidR="00384827" w:rsidRDefault="00384827" w:rsidP="00384827">
      <w:pPr>
        <w:pStyle w:val="FootnoteText"/>
      </w:pPr>
      <w:r>
        <w:rPr>
          <w:rStyle w:val="FootnoteReference"/>
        </w:rPr>
        <w:footnoteRef/>
      </w:r>
      <w:r>
        <w:t xml:space="preserve"> </w:t>
      </w:r>
      <w:r w:rsidRPr="006762D5">
        <w:rPr>
          <w:rFonts w:ascii="Georgia" w:hAnsi="Georgia"/>
        </w:rPr>
        <w:t>www.census.gov/data/tables/2022/demo/hhp/hhp48.html</w:t>
      </w:r>
    </w:p>
  </w:footnote>
  <w:footnote w:id="10">
    <w:p w14:paraId="70F81097" w14:textId="77777777" w:rsidR="00384827" w:rsidRDefault="00384827" w:rsidP="00384827">
      <w:pPr>
        <w:pStyle w:val="FootnoteText"/>
      </w:pPr>
      <w:r>
        <w:rPr>
          <w:rStyle w:val="FootnoteReference"/>
        </w:rPr>
        <w:footnoteRef/>
      </w:r>
      <w:r>
        <w:t xml:space="preserve"> </w:t>
      </w:r>
      <w:r w:rsidRPr="001928D2">
        <w:rPr>
          <w:rFonts w:ascii="Georgia" w:hAnsi="Georgia"/>
        </w:rPr>
        <w:t>www.bls.gov/cpi/</w:t>
      </w:r>
    </w:p>
  </w:footnote>
  <w:footnote w:id="11">
    <w:p w14:paraId="11A1D9EB" w14:textId="77777777" w:rsidR="00A312DF" w:rsidRDefault="00A312DF" w:rsidP="00A312DF">
      <w:pPr>
        <w:pStyle w:val="FootnoteText"/>
      </w:pPr>
      <w:r>
        <w:rPr>
          <w:rStyle w:val="FootnoteReference"/>
        </w:rPr>
        <w:footnoteRef/>
      </w:r>
      <w:r>
        <w:t xml:space="preserve"> </w:t>
      </w:r>
      <w:r w:rsidRPr="00366A47">
        <w:rPr>
          <w:rFonts w:ascii="Georgia" w:hAnsi="Georgia"/>
        </w:rPr>
        <w:t>15 USC § 717b.</w:t>
      </w:r>
    </w:p>
  </w:footnote>
  <w:footnote w:id="12">
    <w:p w14:paraId="0931C612" w14:textId="77777777" w:rsidR="00A312DF" w:rsidRDefault="00A312DF" w:rsidP="00A312DF">
      <w:pPr>
        <w:pStyle w:val="FootnoteText"/>
      </w:pPr>
      <w:r>
        <w:rPr>
          <w:rStyle w:val="FootnoteReference"/>
        </w:rPr>
        <w:footnoteRef/>
      </w:r>
      <w:r>
        <w:t xml:space="preserve"> </w:t>
      </w:r>
      <w:r w:rsidRPr="0071754D">
        <w:rPr>
          <w:rFonts w:ascii="Georgia" w:hAnsi="Georgia"/>
        </w:rPr>
        <w:t>The other 16 nations are Australia, Bahrain, Canada, Chile, Colombia, Dominican Republic, El Salvador, Guatemala, Honduras, Jordan, Mexico, Morocco, Nicaragua, Oman, Panama and Peru.</w:t>
      </w:r>
    </w:p>
  </w:footnote>
  <w:footnote w:id="13">
    <w:p w14:paraId="55884EC5" w14:textId="77777777" w:rsidR="00A312DF" w:rsidRDefault="00A312DF" w:rsidP="00A312DF">
      <w:pPr>
        <w:pStyle w:val="FootnoteText"/>
      </w:pPr>
      <w:r>
        <w:rPr>
          <w:rStyle w:val="FootnoteReference"/>
        </w:rPr>
        <w:footnoteRef/>
      </w:r>
      <w:r>
        <w:t xml:space="preserve"> </w:t>
      </w:r>
      <w:r w:rsidRPr="007B4C72">
        <w:rPr>
          <w:rFonts w:ascii="Georgia" w:hAnsi="Georgia"/>
        </w:rPr>
        <w:t>www.energy.gov/fecm/articles/lng-monthly-2022</w:t>
      </w:r>
    </w:p>
  </w:footnote>
  <w:footnote w:id="14">
    <w:p w14:paraId="6942B82D" w14:textId="77777777" w:rsidR="00A312DF" w:rsidRDefault="00A312DF" w:rsidP="00A312DF">
      <w:pPr>
        <w:pStyle w:val="FootnoteText"/>
      </w:pPr>
      <w:r>
        <w:rPr>
          <w:rStyle w:val="FootnoteReference"/>
        </w:rPr>
        <w:footnoteRef/>
      </w:r>
      <w:r>
        <w:t xml:space="preserve"> </w:t>
      </w:r>
      <w:r w:rsidRPr="00934FA4">
        <w:rPr>
          <w:rFonts w:ascii="Georgia" w:hAnsi="Georgia"/>
        </w:rPr>
        <w:t>www.eia.gov/todayinenergy/detail.php?id=53719</w:t>
      </w:r>
    </w:p>
  </w:footnote>
  <w:footnote w:id="15">
    <w:p w14:paraId="3FA083AB" w14:textId="77777777" w:rsidR="00A312DF" w:rsidRDefault="00A312DF" w:rsidP="00A312DF">
      <w:pPr>
        <w:pStyle w:val="FootnoteText"/>
      </w:pPr>
      <w:r>
        <w:rPr>
          <w:rStyle w:val="FootnoteReference"/>
        </w:rPr>
        <w:footnoteRef/>
      </w:r>
      <w:r>
        <w:t xml:space="preserve"> </w:t>
      </w:r>
      <w:r w:rsidRPr="00082EA7">
        <w:rPr>
          <w:rFonts w:ascii="Georgia" w:hAnsi="Georgia"/>
          <w:i/>
          <w:iCs/>
        </w:rPr>
        <w:t>FPC v. Hope Nat. Gas Co.</w:t>
      </w:r>
      <w:r w:rsidRPr="00082EA7">
        <w:rPr>
          <w:rFonts w:ascii="Georgia" w:hAnsi="Georgia"/>
        </w:rPr>
        <w:t>, 320 U.S. 591 (1944).</w:t>
      </w:r>
    </w:p>
  </w:footnote>
  <w:footnote w:id="16">
    <w:p w14:paraId="0BE8117D" w14:textId="77777777" w:rsidR="00A312DF" w:rsidRDefault="00A312DF" w:rsidP="00A312DF">
      <w:pPr>
        <w:pStyle w:val="FootnoteText"/>
      </w:pPr>
      <w:r>
        <w:rPr>
          <w:rStyle w:val="FootnoteReference"/>
        </w:rPr>
        <w:footnoteRef/>
      </w:r>
      <w:r>
        <w:t xml:space="preserve"> </w:t>
      </w:r>
      <w:r w:rsidRPr="00C26114">
        <w:rPr>
          <w:rFonts w:ascii="Georgia" w:hAnsi="Georgia"/>
        </w:rPr>
        <w:t>www.govinfo.gov/content/pkg/FR-2018-06-21/pdf/2018-13427.pdf</w:t>
      </w:r>
    </w:p>
  </w:footnote>
  <w:footnote w:id="17">
    <w:p w14:paraId="60F39E22" w14:textId="77777777" w:rsidR="00A312DF" w:rsidRDefault="00A312DF" w:rsidP="00A312DF">
      <w:pPr>
        <w:pStyle w:val="FootnoteText"/>
      </w:pPr>
      <w:r>
        <w:rPr>
          <w:rStyle w:val="FootnoteReference"/>
        </w:rPr>
        <w:footnoteRef/>
      </w:r>
      <w:r>
        <w:t xml:space="preserve"> </w:t>
      </w:r>
      <w:r w:rsidRPr="00D76E42">
        <w:rPr>
          <w:rFonts w:ascii="Georgia" w:hAnsi="Georgia"/>
          <w:sz w:val="18"/>
          <w:szCs w:val="18"/>
        </w:rPr>
        <w:t>www.energy.gov/sites/prod/files/2018/06/f52/Macroeconomic%20LNG%20Export%20Study%202018.pdf</w:t>
      </w:r>
    </w:p>
  </w:footnote>
  <w:footnote w:id="18">
    <w:p w14:paraId="7D066141" w14:textId="77777777" w:rsidR="00A312DF" w:rsidRDefault="00A312DF" w:rsidP="00A312DF">
      <w:pPr>
        <w:pStyle w:val="FootnoteText"/>
      </w:pPr>
      <w:r>
        <w:rPr>
          <w:rStyle w:val="FootnoteReference"/>
        </w:rPr>
        <w:footnoteRef/>
      </w:r>
      <w:r>
        <w:t xml:space="preserve"> At page 20.</w:t>
      </w:r>
    </w:p>
  </w:footnote>
  <w:footnote w:id="19">
    <w:p w14:paraId="78CDF1D2" w14:textId="77777777" w:rsidR="00A312DF" w:rsidRDefault="00A312DF" w:rsidP="00A312DF">
      <w:pPr>
        <w:pStyle w:val="FootnoteText"/>
      </w:pPr>
      <w:r>
        <w:rPr>
          <w:rStyle w:val="FootnoteReference"/>
        </w:rPr>
        <w:footnoteRef/>
      </w:r>
      <w:r>
        <w:t xml:space="preserve"> At page 55.</w:t>
      </w:r>
    </w:p>
  </w:footnote>
  <w:footnote w:id="20">
    <w:p w14:paraId="0FC30532" w14:textId="77777777" w:rsidR="00A312DF" w:rsidRDefault="00A312DF" w:rsidP="00A312DF">
      <w:pPr>
        <w:pStyle w:val="FootnoteText"/>
      </w:pPr>
      <w:r>
        <w:rPr>
          <w:rStyle w:val="FootnoteReference"/>
        </w:rPr>
        <w:footnoteRef/>
      </w:r>
      <w:r>
        <w:t xml:space="preserve"> At page 67.</w:t>
      </w:r>
    </w:p>
  </w:footnote>
  <w:footnote w:id="21">
    <w:p w14:paraId="5884D564" w14:textId="0A72ABF1" w:rsidR="00355791" w:rsidRDefault="00355791">
      <w:pPr>
        <w:pStyle w:val="FootnoteText"/>
      </w:pPr>
      <w:r>
        <w:rPr>
          <w:rStyle w:val="FootnoteReference"/>
        </w:rPr>
        <w:footnoteRef/>
      </w:r>
      <w:r>
        <w:t xml:space="preserve"> </w:t>
      </w:r>
      <w:r w:rsidRPr="00355791">
        <w:rPr>
          <w:rFonts w:ascii="Georgia" w:hAnsi="Georgia"/>
        </w:rPr>
        <w:t xml:space="preserve">For more background, see </w:t>
      </w:r>
      <w:r w:rsidRPr="00355791">
        <w:rPr>
          <w:rFonts w:ascii="Georgia" w:hAnsi="Georgia"/>
        </w:rPr>
        <w:t>www.citizen.org/article/natural-gas-spot-prices-in-need-of-reform/</w:t>
      </w:r>
    </w:p>
  </w:footnote>
  <w:footnote w:id="22">
    <w:p w14:paraId="51551ADA" w14:textId="77777777" w:rsidR="00EA51A6" w:rsidRDefault="00EA51A6" w:rsidP="00EA51A6">
      <w:pPr>
        <w:pStyle w:val="FootnoteText"/>
      </w:pPr>
      <w:r>
        <w:rPr>
          <w:rStyle w:val="FootnoteReference"/>
        </w:rPr>
        <w:footnoteRef/>
      </w:r>
      <w:r>
        <w:t xml:space="preserve"> </w:t>
      </w:r>
      <w:r w:rsidRPr="0049654F">
        <w:rPr>
          <w:rFonts w:ascii="Georgia" w:hAnsi="Georgia"/>
        </w:rPr>
        <w:t>NOPR, at 4.</w:t>
      </w:r>
    </w:p>
  </w:footnote>
  <w:footnote w:id="23">
    <w:p w14:paraId="44C51868" w14:textId="77777777" w:rsidR="003B5518" w:rsidRDefault="003B5518" w:rsidP="003B5518">
      <w:pPr>
        <w:pStyle w:val="FootnoteText"/>
      </w:pPr>
      <w:r>
        <w:rPr>
          <w:rStyle w:val="FootnoteReference"/>
        </w:rPr>
        <w:footnoteRef/>
      </w:r>
      <w:r>
        <w:t xml:space="preserve"> </w:t>
      </w:r>
      <w:r w:rsidRPr="0049654F">
        <w:rPr>
          <w:rFonts w:ascii="Georgia" w:hAnsi="Georgia"/>
        </w:rPr>
        <w:t>www.cftc.gov/About/AdvisoryCommittees/MRAC</w:t>
      </w:r>
    </w:p>
  </w:footnote>
  <w:footnote w:id="24">
    <w:p w14:paraId="41AF8F4C" w14:textId="5AC308FF" w:rsidR="001F68BD" w:rsidRDefault="001F68BD">
      <w:pPr>
        <w:pStyle w:val="FootnoteText"/>
      </w:pPr>
      <w:r>
        <w:rPr>
          <w:rStyle w:val="FootnoteReference"/>
        </w:rPr>
        <w:footnoteRef/>
      </w:r>
      <w:r>
        <w:t xml:space="preserve"> </w:t>
      </w:r>
      <w:r w:rsidRPr="001F68BD">
        <w:rPr>
          <w:rFonts w:ascii="Georgia" w:hAnsi="Georgia"/>
        </w:rPr>
        <w:t>See www.citizen.org/wp-content/uploads/CFTCBehnam.docx and www.citizen.org/article/modernizing-electricity-market-design/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30BF" w14:textId="59FE436C" w:rsidR="00A06E1B" w:rsidRPr="00A06E1B" w:rsidRDefault="00A06E1B" w:rsidP="00A06E1B">
    <w:pPr>
      <w:pStyle w:val="Header"/>
      <w:jc w:val="center"/>
      <w:rPr>
        <w:rFonts w:ascii="Georgia" w:hAnsi="Georgia"/>
        <w:i/>
        <w:iCs/>
      </w:rPr>
    </w:pPr>
    <w:r w:rsidRPr="00A06E1B">
      <w:rPr>
        <w:rFonts w:ascii="Georgia" w:hAnsi="Georgia"/>
        <w:i/>
        <w:iCs/>
      </w:rPr>
      <w:t>Public Citizen Comments • November 7, 2022 • FERC Docket No. AD22-9</w:t>
    </w:r>
  </w:p>
  <w:p w14:paraId="145FF675" w14:textId="77777777" w:rsidR="00A06E1B" w:rsidRDefault="00A06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5D"/>
    <w:rsid w:val="00036304"/>
    <w:rsid w:val="000538BE"/>
    <w:rsid w:val="000615B6"/>
    <w:rsid w:val="000C1E71"/>
    <w:rsid w:val="000F0E96"/>
    <w:rsid w:val="000F2F13"/>
    <w:rsid w:val="000F4965"/>
    <w:rsid w:val="00112A55"/>
    <w:rsid w:val="00141CEE"/>
    <w:rsid w:val="001625EA"/>
    <w:rsid w:val="0018386D"/>
    <w:rsid w:val="00196DB9"/>
    <w:rsid w:val="001C3EFE"/>
    <w:rsid w:val="001E2197"/>
    <w:rsid w:val="001F4598"/>
    <w:rsid w:val="001F68BD"/>
    <w:rsid w:val="00230D5F"/>
    <w:rsid w:val="0023579D"/>
    <w:rsid w:val="00260058"/>
    <w:rsid w:val="00295362"/>
    <w:rsid w:val="002B32B7"/>
    <w:rsid w:val="002B7FDF"/>
    <w:rsid w:val="002C695F"/>
    <w:rsid w:val="002E45CE"/>
    <w:rsid w:val="00306576"/>
    <w:rsid w:val="003102A8"/>
    <w:rsid w:val="00327CF1"/>
    <w:rsid w:val="00332A1F"/>
    <w:rsid w:val="00342811"/>
    <w:rsid w:val="00343AA4"/>
    <w:rsid w:val="0035082B"/>
    <w:rsid w:val="00355791"/>
    <w:rsid w:val="003576A7"/>
    <w:rsid w:val="00366A47"/>
    <w:rsid w:val="00384827"/>
    <w:rsid w:val="003B4F3B"/>
    <w:rsid w:val="003B5518"/>
    <w:rsid w:val="003E67CB"/>
    <w:rsid w:val="003E69B0"/>
    <w:rsid w:val="003F684C"/>
    <w:rsid w:val="004114E4"/>
    <w:rsid w:val="00474E6D"/>
    <w:rsid w:val="00496B21"/>
    <w:rsid w:val="00497BC9"/>
    <w:rsid w:val="004C625D"/>
    <w:rsid w:val="004C69C2"/>
    <w:rsid w:val="004D79AF"/>
    <w:rsid w:val="004E16E7"/>
    <w:rsid w:val="004F3DA5"/>
    <w:rsid w:val="004F6E9C"/>
    <w:rsid w:val="00504DE7"/>
    <w:rsid w:val="005437BF"/>
    <w:rsid w:val="00547A4D"/>
    <w:rsid w:val="005B4E63"/>
    <w:rsid w:val="005B5AF4"/>
    <w:rsid w:val="005C0226"/>
    <w:rsid w:val="005C6358"/>
    <w:rsid w:val="005E1E2E"/>
    <w:rsid w:val="005F0067"/>
    <w:rsid w:val="005F14D7"/>
    <w:rsid w:val="006049D7"/>
    <w:rsid w:val="00605BDD"/>
    <w:rsid w:val="00630034"/>
    <w:rsid w:val="00635EB6"/>
    <w:rsid w:val="006443BB"/>
    <w:rsid w:val="0069549B"/>
    <w:rsid w:val="006E0737"/>
    <w:rsid w:val="00700921"/>
    <w:rsid w:val="007401A9"/>
    <w:rsid w:val="00751C06"/>
    <w:rsid w:val="00766EB3"/>
    <w:rsid w:val="007901F1"/>
    <w:rsid w:val="0079341A"/>
    <w:rsid w:val="007C239A"/>
    <w:rsid w:val="007D3603"/>
    <w:rsid w:val="007E4222"/>
    <w:rsid w:val="00802A6C"/>
    <w:rsid w:val="00810161"/>
    <w:rsid w:val="008411E6"/>
    <w:rsid w:val="00857EA9"/>
    <w:rsid w:val="00893E1E"/>
    <w:rsid w:val="008A56AE"/>
    <w:rsid w:val="008C1691"/>
    <w:rsid w:val="008F7AF0"/>
    <w:rsid w:val="0092110F"/>
    <w:rsid w:val="00923A28"/>
    <w:rsid w:val="009401FE"/>
    <w:rsid w:val="00945AB9"/>
    <w:rsid w:val="00954834"/>
    <w:rsid w:val="00972569"/>
    <w:rsid w:val="00975F15"/>
    <w:rsid w:val="009B3908"/>
    <w:rsid w:val="00A06E1B"/>
    <w:rsid w:val="00A312DF"/>
    <w:rsid w:val="00A4332D"/>
    <w:rsid w:val="00A45B55"/>
    <w:rsid w:val="00A60C90"/>
    <w:rsid w:val="00A6549C"/>
    <w:rsid w:val="00A86613"/>
    <w:rsid w:val="00AA7F87"/>
    <w:rsid w:val="00AB5428"/>
    <w:rsid w:val="00AE3F04"/>
    <w:rsid w:val="00B14E85"/>
    <w:rsid w:val="00B16CB6"/>
    <w:rsid w:val="00B523B8"/>
    <w:rsid w:val="00B93901"/>
    <w:rsid w:val="00BC4C09"/>
    <w:rsid w:val="00BE08F2"/>
    <w:rsid w:val="00BF74E7"/>
    <w:rsid w:val="00C07706"/>
    <w:rsid w:val="00CB0AF0"/>
    <w:rsid w:val="00CF67FE"/>
    <w:rsid w:val="00D42EEE"/>
    <w:rsid w:val="00D662B9"/>
    <w:rsid w:val="00D712B8"/>
    <w:rsid w:val="00DC6F8E"/>
    <w:rsid w:val="00E708FB"/>
    <w:rsid w:val="00E90559"/>
    <w:rsid w:val="00E90FE6"/>
    <w:rsid w:val="00EA51A6"/>
    <w:rsid w:val="00EC6435"/>
    <w:rsid w:val="00F23828"/>
    <w:rsid w:val="00F673DF"/>
    <w:rsid w:val="00F67A58"/>
    <w:rsid w:val="00F76EBF"/>
    <w:rsid w:val="00FC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0009"/>
  <w15:chartTrackingRefBased/>
  <w15:docId w15:val="{FEF7E26E-661C-4A34-80A5-00590E7C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14D7"/>
    <w:rPr>
      <w:sz w:val="20"/>
      <w:szCs w:val="20"/>
    </w:rPr>
  </w:style>
  <w:style w:type="character" w:customStyle="1" w:styleId="FootnoteTextChar">
    <w:name w:val="Footnote Text Char"/>
    <w:basedOn w:val="DefaultParagraphFont"/>
    <w:link w:val="FootnoteText"/>
    <w:uiPriority w:val="99"/>
    <w:semiHidden/>
    <w:rsid w:val="005F14D7"/>
    <w:rPr>
      <w:sz w:val="20"/>
      <w:szCs w:val="20"/>
    </w:rPr>
  </w:style>
  <w:style w:type="character" w:styleId="FootnoteReference">
    <w:name w:val="footnote reference"/>
    <w:basedOn w:val="DefaultParagraphFont"/>
    <w:uiPriority w:val="99"/>
    <w:semiHidden/>
    <w:unhideWhenUsed/>
    <w:rsid w:val="005F14D7"/>
    <w:rPr>
      <w:vertAlign w:val="superscript"/>
    </w:rPr>
  </w:style>
  <w:style w:type="character" w:styleId="Hyperlink">
    <w:name w:val="Hyperlink"/>
    <w:basedOn w:val="DefaultParagraphFont"/>
    <w:uiPriority w:val="99"/>
    <w:unhideWhenUsed/>
    <w:rsid w:val="00474E6D"/>
    <w:rPr>
      <w:color w:val="0563C1" w:themeColor="hyperlink"/>
      <w:u w:val="single"/>
    </w:rPr>
  </w:style>
  <w:style w:type="character" w:styleId="UnresolvedMention">
    <w:name w:val="Unresolved Mention"/>
    <w:basedOn w:val="DefaultParagraphFont"/>
    <w:uiPriority w:val="99"/>
    <w:semiHidden/>
    <w:unhideWhenUsed/>
    <w:rsid w:val="00474E6D"/>
    <w:rPr>
      <w:color w:val="605E5C"/>
      <w:shd w:val="clear" w:color="auto" w:fill="E1DFDD"/>
    </w:rPr>
  </w:style>
  <w:style w:type="paragraph" w:styleId="NormalWeb">
    <w:name w:val="Normal (Web)"/>
    <w:basedOn w:val="Normal"/>
    <w:uiPriority w:val="99"/>
    <w:unhideWhenUsed/>
    <w:rsid w:val="004C69C2"/>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92110F"/>
    <w:pPr>
      <w:tabs>
        <w:tab w:val="center" w:pos="4680"/>
        <w:tab w:val="right" w:pos="9360"/>
      </w:tabs>
    </w:pPr>
  </w:style>
  <w:style w:type="character" w:customStyle="1" w:styleId="HeaderChar">
    <w:name w:val="Header Char"/>
    <w:basedOn w:val="DefaultParagraphFont"/>
    <w:link w:val="Header"/>
    <w:uiPriority w:val="99"/>
    <w:rsid w:val="0092110F"/>
  </w:style>
  <w:style w:type="paragraph" w:styleId="Footer">
    <w:name w:val="footer"/>
    <w:basedOn w:val="Normal"/>
    <w:link w:val="FooterChar"/>
    <w:uiPriority w:val="99"/>
    <w:unhideWhenUsed/>
    <w:rsid w:val="0092110F"/>
    <w:pPr>
      <w:tabs>
        <w:tab w:val="center" w:pos="4680"/>
        <w:tab w:val="right" w:pos="9360"/>
      </w:tabs>
    </w:pPr>
  </w:style>
  <w:style w:type="character" w:customStyle="1" w:styleId="FooterChar">
    <w:name w:val="Footer Char"/>
    <w:basedOn w:val="DefaultParagraphFont"/>
    <w:link w:val="Footer"/>
    <w:uiPriority w:val="99"/>
    <w:rsid w:val="0092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B147-8C92-4037-94C7-9663E06A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121</cp:revision>
  <dcterms:created xsi:type="dcterms:W3CDTF">2022-09-07T15:07:00Z</dcterms:created>
  <dcterms:modified xsi:type="dcterms:W3CDTF">2022-11-07T20:48:00Z</dcterms:modified>
</cp:coreProperties>
</file>