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CFE3F" w14:textId="4352938F" w:rsidR="00AC343E" w:rsidRPr="007A3A9D" w:rsidRDefault="007A3A9D" w:rsidP="007A3A9D">
      <w:pPr>
        <w:jc w:val="center"/>
        <w:rPr>
          <w:rFonts w:ascii="Georgia" w:hAnsi="Georgia"/>
          <w:sz w:val="24"/>
          <w:szCs w:val="24"/>
        </w:rPr>
      </w:pPr>
      <w:r w:rsidRPr="007A3A9D">
        <w:rPr>
          <w:rFonts w:ascii="Georgia" w:hAnsi="Georgia"/>
          <w:sz w:val="24"/>
          <w:szCs w:val="24"/>
        </w:rPr>
        <w:t>UNITED STATES OF AMERICA</w:t>
      </w:r>
    </w:p>
    <w:p w14:paraId="51F3A2F3" w14:textId="6D0C64D2" w:rsidR="007A3A9D" w:rsidRPr="007A3A9D" w:rsidRDefault="007A3A9D" w:rsidP="007A3A9D">
      <w:pPr>
        <w:jc w:val="center"/>
        <w:rPr>
          <w:rFonts w:ascii="Georgia" w:hAnsi="Georgia"/>
          <w:sz w:val="24"/>
          <w:szCs w:val="24"/>
        </w:rPr>
      </w:pPr>
      <w:r w:rsidRPr="007A3A9D">
        <w:rPr>
          <w:rFonts w:ascii="Georgia" w:hAnsi="Georgia"/>
          <w:sz w:val="24"/>
          <w:szCs w:val="24"/>
        </w:rPr>
        <w:t>BEFORE THE</w:t>
      </w:r>
    </w:p>
    <w:p w14:paraId="0F84C1B4" w14:textId="7229C9AF" w:rsidR="007A3A9D" w:rsidRPr="007A3A9D" w:rsidRDefault="007A3A9D" w:rsidP="007A3A9D">
      <w:pPr>
        <w:jc w:val="center"/>
        <w:rPr>
          <w:rFonts w:ascii="Georgia" w:hAnsi="Georgia"/>
          <w:sz w:val="24"/>
          <w:szCs w:val="24"/>
        </w:rPr>
      </w:pPr>
      <w:r w:rsidRPr="007A3A9D">
        <w:rPr>
          <w:rFonts w:ascii="Georgia" w:hAnsi="Georgia"/>
          <w:sz w:val="24"/>
          <w:szCs w:val="24"/>
        </w:rPr>
        <w:t>FEDERAL ENERGY REGULATORY COMMISSION</w:t>
      </w:r>
    </w:p>
    <w:p w14:paraId="482B3D77" w14:textId="3DE1DC44" w:rsidR="007A3A9D" w:rsidRPr="007A3A9D" w:rsidRDefault="007A3A9D">
      <w:pPr>
        <w:rPr>
          <w:rFonts w:ascii="Georgia" w:hAnsi="Georgia"/>
          <w:sz w:val="24"/>
          <w:szCs w:val="24"/>
        </w:rPr>
      </w:pPr>
    </w:p>
    <w:p w14:paraId="1CCBF4F9" w14:textId="259EDA31" w:rsidR="007A3A9D" w:rsidRPr="007A3A9D" w:rsidRDefault="007A3A9D">
      <w:pPr>
        <w:rPr>
          <w:rFonts w:ascii="Georgia" w:hAnsi="Georgia"/>
          <w:sz w:val="24"/>
          <w:szCs w:val="24"/>
        </w:rPr>
      </w:pPr>
      <w:r w:rsidRPr="007A3A9D">
        <w:rPr>
          <w:rFonts w:ascii="Georgia" w:hAnsi="Georgia"/>
          <w:sz w:val="24"/>
          <w:szCs w:val="24"/>
        </w:rPr>
        <w:t xml:space="preserve">IIF US Holding 2 GP, LLC </w:t>
      </w:r>
      <w:r w:rsidRPr="007A3A9D">
        <w:rPr>
          <w:rFonts w:ascii="Georgia" w:hAnsi="Georgia"/>
          <w:sz w:val="24"/>
          <w:szCs w:val="24"/>
        </w:rPr>
        <w:tab/>
      </w:r>
      <w:r w:rsidRPr="007A3A9D">
        <w:rPr>
          <w:rFonts w:ascii="Georgia" w:hAnsi="Georgia"/>
          <w:sz w:val="24"/>
          <w:szCs w:val="24"/>
        </w:rPr>
        <w:tab/>
      </w:r>
      <w:r w:rsidRPr="007A3A9D">
        <w:rPr>
          <w:rFonts w:ascii="Georgia" w:hAnsi="Georgia"/>
          <w:sz w:val="24"/>
          <w:szCs w:val="24"/>
        </w:rPr>
        <w:tab/>
      </w:r>
      <w:r w:rsidRPr="007A3A9D">
        <w:rPr>
          <w:rFonts w:ascii="Georgia" w:hAnsi="Georgia"/>
          <w:sz w:val="24"/>
          <w:szCs w:val="24"/>
        </w:rPr>
        <w:tab/>
      </w:r>
      <w:r w:rsidRPr="007A3A9D">
        <w:rPr>
          <w:rFonts w:ascii="Georgia" w:hAnsi="Georgia"/>
          <w:sz w:val="24"/>
          <w:szCs w:val="24"/>
        </w:rPr>
        <w:tab/>
      </w:r>
      <w:r>
        <w:rPr>
          <w:rFonts w:ascii="Georgia" w:hAnsi="Georgia"/>
          <w:sz w:val="24"/>
          <w:szCs w:val="24"/>
        </w:rPr>
        <w:tab/>
      </w:r>
      <w:r w:rsidRPr="007A3A9D">
        <w:rPr>
          <w:rFonts w:ascii="Georgia" w:hAnsi="Georgia"/>
          <w:sz w:val="24"/>
          <w:szCs w:val="24"/>
        </w:rPr>
        <w:t>Docket No. EL20-64</w:t>
      </w:r>
    </w:p>
    <w:p w14:paraId="478768E8" w14:textId="30D05C28" w:rsidR="007A3A9D" w:rsidRPr="007A3A9D" w:rsidRDefault="007A3A9D">
      <w:pPr>
        <w:rPr>
          <w:rFonts w:ascii="Georgia" w:hAnsi="Georgia"/>
          <w:sz w:val="24"/>
          <w:szCs w:val="24"/>
        </w:rPr>
      </w:pPr>
    </w:p>
    <w:p w14:paraId="446C3622" w14:textId="06659AC2" w:rsidR="007A3A9D" w:rsidRPr="007A3A9D" w:rsidRDefault="007A3A9D">
      <w:pPr>
        <w:rPr>
          <w:rFonts w:ascii="Georgia" w:hAnsi="Georgia"/>
          <w:sz w:val="24"/>
          <w:szCs w:val="24"/>
        </w:rPr>
      </w:pPr>
    </w:p>
    <w:p w14:paraId="02EEC73E" w14:textId="19DC0ADA" w:rsidR="007A3A9D" w:rsidRPr="007A3A9D" w:rsidRDefault="007A3A9D" w:rsidP="007A3A9D">
      <w:pPr>
        <w:jc w:val="center"/>
        <w:rPr>
          <w:rFonts w:ascii="Georgia" w:hAnsi="Georgia"/>
          <w:b/>
          <w:bCs/>
          <w:sz w:val="24"/>
          <w:szCs w:val="24"/>
        </w:rPr>
      </w:pPr>
      <w:r w:rsidRPr="007A3A9D">
        <w:rPr>
          <w:rFonts w:ascii="Georgia" w:hAnsi="Georgia"/>
          <w:b/>
          <w:bCs/>
          <w:sz w:val="24"/>
          <w:szCs w:val="24"/>
        </w:rPr>
        <w:t>Protest of Public Citizen, Inc.</w:t>
      </w:r>
    </w:p>
    <w:p w14:paraId="2998F9B4" w14:textId="6CB0442E" w:rsidR="007A3A9D" w:rsidRDefault="007A3A9D">
      <w:pPr>
        <w:rPr>
          <w:rFonts w:ascii="Georgia" w:hAnsi="Georgia"/>
          <w:sz w:val="24"/>
          <w:szCs w:val="24"/>
        </w:rPr>
      </w:pPr>
    </w:p>
    <w:p w14:paraId="41349817" w14:textId="49926891" w:rsidR="007A3A9D" w:rsidRDefault="007A3A9D" w:rsidP="007617D9">
      <w:pPr>
        <w:spacing w:line="360" w:lineRule="auto"/>
        <w:rPr>
          <w:rFonts w:ascii="Georgia" w:hAnsi="Georgia"/>
          <w:sz w:val="24"/>
          <w:szCs w:val="24"/>
        </w:rPr>
      </w:pPr>
      <w:r>
        <w:rPr>
          <w:rFonts w:ascii="Georgia" w:hAnsi="Georgia"/>
          <w:sz w:val="24"/>
          <w:szCs w:val="24"/>
        </w:rPr>
        <w:tab/>
      </w:r>
      <w:bookmarkStart w:id="0" w:name="_GoBack"/>
      <w:bookmarkEnd w:id="0"/>
      <w:r>
        <w:rPr>
          <w:rFonts w:ascii="Georgia" w:hAnsi="Georgia"/>
          <w:sz w:val="24"/>
          <w:szCs w:val="24"/>
        </w:rPr>
        <w:t>Public Citizen protests the August 12 Petition for Declaratory Order of IIF US Holding 2 GP LLC. The Petition</w:t>
      </w:r>
      <w:r w:rsidR="00621842">
        <w:rPr>
          <w:rFonts w:ascii="Georgia" w:hAnsi="Georgia"/>
          <w:sz w:val="24"/>
          <w:szCs w:val="24"/>
        </w:rPr>
        <w:t xml:space="preserve"> </w:t>
      </w:r>
      <w:r w:rsidR="005730ED">
        <w:rPr>
          <w:rFonts w:ascii="Georgia" w:hAnsi="Georgia"/>
          <w:sz w:val="24"/>
          <w:szCs w:val="24"/>
        </w:rPr>
        <w:t xml:space="preserve">requests that </w:t>
      </w:r>
      <w:r w:rsidR="000551D2" w:rsidRPr="000551D2">
        <w:rPr>
          <w:rFonts w:ascii="Georgia" w:hAnsi="Georgia"/>
          <w:sz w:val="24"/>
          <w:szCs w:val="24"/>
        </w:rPr>
        <w:t>various wholesale generators and local distribution companies owned by IIF be exempt from the Commission's holding company regulations.</w:t>
      </w:r>
      <w:r w:rsidR="005730ED">
        <w:rPr>
          <w:rStyle w:val="FootnoteReference"/>
          <w:rFonts w:ascii="Georgia" w:hAnsi="Georgia"/>
          <w:sz w:val="24"/>
          <w:szCs w:val="24"/>
        </w:rPr>
        <w:footnoteReference w:id="1"/>
      </w:r>
      <w:r w:rsidR="00AE0DCB">
        <w:rPr>
          <w:rFonts w:ascii="Georgia" w:hAnsi="Georgia"/>
          <w:sz w:val="24"/>
          <w:szCs w:val="24"/>
        </w:rPr>
        <w:t xml:space="preserve"> IIF justifies this request </w:t>
      </w:r>
      <w:r w:rsidR="00BC518F">
        <w:rPr>
          <w:rFonts w:ascii="Georgia" w:hAnsi="Georgia"/>
          <w:sz w:val="24"/>
          <w:szCs w:val="24"/>
        </w:rPr>
        <w:t>c</w:t>
      </w:r>
      <w:r w:rsidR="00BC518F" w:rsidRPr="00BC518F">
        <w:rPr>
          <w:rFonts w:ascii="Georgia" w:hAnsi="Georgia"/>
          <w:sz w:val="24"/>
          <w:szCs w:val="24"/>
        </w:rPr>
        <w:t>laim</w:t>
      </w:r>
      <w:r w:rsidR="00BC518F">
        <w:rPr>
          <w:rFonts w:ascii="Georgia" w:hAnsi="Georgia"/>
          <w:sz w:val="24"/>
          <w:szCs w:val="24"/>
        </w:rPr>
        <w:t>ing</w:t>
      </w:r>
      <w:r w:rsidR="00BC518F" w:rsidRPr="00BC518F">
        <w:rPr>
          <w:rFonts w:ascii="Georgia" w:hAnsi="Georgia"/>
          <w:sz w:val="24"/>
          <w:szCs w:val="24"/>
        </w:rPr>
        <w:t xml:space="preserve"> that </w:t>
      </w:r>
      <w:r w:rsidR="006E436A">
        <w:rPr>
          <w:rFonts w:ascii="Georgia" w:hAnsi="Georgia"/>
          <w:sz w:val="24"/>
          <w:szCs w:val="24"/>
        </w:rPr>
        <w:t>“</w:t>
      </w:r>
      <w:r w:rsidR="006E436A" w:rsidRPr="006E436A">
        <w:rPr>
          <w:rFonts w:ascii="Georgia" w:hAnsi="Georgia"/>
          <w:sz w:val="24"/>
          <w:szCs w:val="24"/>
        </w:rPr>
        <w:t>the Novatus Holdcos and the Summit</w:t>
      </w:r>
      <w:r w:rsidR="005C53F2">
        <w:rPr>
          <w:rFonts w:ascii="Georgia" w:hAnsi="Georgia"/>
          <w:sz w:val="24"/>
          <w:szCs w:val="24"/>
        </w:rPr>
        <w:t xml:space="preserve"> </w:t>
      </w:r>
      <w:r w:rsidR="006E436A" w:rsidRPr="006E436A">
        <w:rPr>
          <w:rFonts w:ascii="Georgia" w:hAnsi="Georgia"/>
          <w:sz w:val="24"/>
          <w:szCs w:val="24"/>
        </w:rPr>
        <w:t>Holdcos are held as separate portfolios in Petitioner’s holding company system. Similarly, the</w:t>
      </w:r>
      <w:r w:rsidR="005C53F2">
        <w:rPr>
          <w:rFonts w:ascii="Georgia" w:hAnsi="Georgia"/>
          <w:sz w:val="24"/>
          <w:szCs w:val="24"/>
        </w:rPr>
        <w:t xml:space="preserve"> </w:t>
      </w:r>
      <w:r w:rsidR="006E436A" w:rsidRPr="006E436A">
        <w:rPr>
          <w:rFonts w:ascii="Georgia" w:hAnsi="Georgia"/>
          <w:sz w:val="24"/>
          <w:szCs w:val="24"/>
        </w:rPr>
        <w:t>Sun Jupiter Holdcos and EPE are in a separate chain of ownership under IIF US Holding 2 and</w:t>
      </w:r>
      <w:r w:rsidR="005C53F2">
        <w:rPr>
          <w:rFonts w:ascii="Georgia" w:hAnsi="Georgia"/>
          <w:sz w:val="24"/>
          <w:szCs w:val="24"/>
        </w:rPr>
        <w:t xml:space="preserve"> </w:t>
      </w:r>
      <w:r w:rsidR="006E436A" w:rsidRPr="006E436A">
        <w:rPr>
          <w:rFonts w:ascii="Georgia" w:hAnsi="Georgia"/>
          <w:sz w:val="24"/>
          <w:szCs w:val="24"/>
        </w:rPr>
        <w:t>managed separately from the other portfolios.</w:t>
      </w:r>
      <w:r w:rsidR="00BC518F">
        <w:rPr>
          <w:rFonts w:ascii="Georgia" w:hAnsi="Georgia"/>
          <w:sz w:val="24"/>
          <w:szCs w:val="24"/>
        </w:rPr>
        <w:t>”</w:t>
      </w:r>
      <w:r w:rsidR="00BC518F">
        <w:rPr>
          <w:rStyle w:val="FootnoteReference"/>
          <w:rFonts w:ascii="Georgia" w:hAnsi="Georgia"/>
          <w:sz w:val="24"/>
          <w:szCs w:val="24"/>
        </w:rPr>
        <w:footnoteReference w:id="2"/>
      </w:r>
      <w:r>
        <w:rPr>
          <w:rFonts w:ascii="Georgia" w:hAnsi="Georgia"/>
          <w:sz w:val="24"/>
          <w:szCs w:val="24"/>
        </w:rPr>
        <w:t xml:space="preserve"> </w:t>
      </w:r>
      <w:r w:rsidR="00F43A1A">
        <w:rPr>
          <w:rFonts w:ascii="Georgia" w:hAnsi="Georgia"/>
          <w:sz w:val="24"/>
          <w:szCs w:val="24"/>
        </w:rPr>
        <w:t>Public Citizen believes this statement to be false. The Commission should reject IIF’s petition</w:t>
      </w:r>
      <w:r w:rsidR="00B67AB1">
        <w:rPr>
          <w:rFonts w:ascii="Georgia" w:hAnsi="Georgia"/>
          <w:sz w:val="24"/>
          <w:szCs w:val="24"/>
        </w:rPr>
        <w:t>, because the facts indicate that all of the IIF companies share common ownership, and are managed by</w:t>
      </w:r>
      <w:r w:rsidR="00B82576">
        <w:rPr>
          <w:rFonts w:ascii="Georgia" w:hAnsi="Georgia"/>
          <w:sz w:val="24"/>
          <w:szCs w:val="24"/>
        </w:rPr>
        <w:t xml:space="preserve"> J.P. Morgan Chase &amp; Co.</w:t>
      </w:r>
      <w:r w:rsidR="00792A5C">
        <w:rPr>
          <w:rFonts w:ascii="Georgia" w:hAnsi="Georgia"/>
          <w:sz w:val="24"/>
          <w:szCs w:val="24"/>
        </w:rPr>
        <w:t xml:space="preserve"> Furthermore, J.P. Morgan Chase &amp; Co. executives serve on the Board of Directors of all of the IIF companies, including El Paso Electric, Summit, Novatus and Southwest Generation.</w:t>
      </w:r>
      <w:r w:rsidR="004F747D">
        <w:rPr>
          <w:rFonts w:ascii="Georgia" w:hAnsi="Georgia"/>
          <w:sz w:val="24"/>
          <w:szCs w:val="24"/>
        </w:rPr>
        <w:t xml:space="preserve"> </w:t>
      </w:r>
      <w:r w:rsidR="00683DE8">
        <w:rPr>
          <w:rFonts w:ascii="Georgia" w:hAnsi="Georgia"/>
          <w:sz w:val="24"/>
          <w:szCs w:val="24"/>
        </w:rPr>
        <w:t>J.P. Morgan Chase &amp; Co. executives</w:t>
      </w:r>
      <w:r w:rsidR="00D2115B">
        <w:rPr>
          <w:rFonts w:ascii="Georgia" w:hAnsi="Georgia"/>
          <w:sz w:val="24"/>
          <w:szCs w:val="24"/>
        </w:rPr>
        <w:t xml:space="preserve"> enjoy</w:t>
      </w:r>
      <w:r w:rsidR="00683DE8">
        <w:rPr>
          <w:rFonts w:ascii="Georgia" w:hAnsi="Georgia"/>
          <w:sz w:val="24"/>
          <w:szCs w:val="24"/>
        </w:rPr>
        <w:t xml:space="preserve"> </w:t>
      </w:r>
      <w:r w:rsidR="001E7B21">
        <w:rPr>
          <w:rFonts w:ascii="Georgia" w:hAnsi="Georgia"/>
          <w:sz w:val="24"/>
          <w:szCs w:val="24"/>
        </w:rPr>
        <w:t>seamless</w:t>
      </w:r>
      <w:r w:rsidR="002E1386">
        <w:rPr>
          <w:rFonts w:ascii="Georgia" w:hAnsi="Georgia"/>
          <w:sz w:val="24"/>
          <w:szCs w:val="24"/>
        </w:rPr>
        <w:t xml:space="preserve"> </w:t>
      </w:r>
      <w:r w:rsidR="00D2115B">
        <w:rPr>
          <w:rFonts w:ascii="Georgia" w:hAnsi="Georgia"/>
          <w:sz w:val="24"/>
          <w:szCs w:val="24"/>
        </w:rPr>
        <w:t>operational and decision-making control over all of the IIF companies</w:t>
      </w:r>
      <w:r w:rsidR="00683DE8">
        <w:rPr>
          <w:rFonts w:ascii="Georgia" w:hAnsi="Georgia"/>
          <w:sz w:val="24"/>
          <w:szCs w:val="24"/>
        </w:rPr>
        <w:t xml:space="preserve">. </w:t>
      </w:r>
    </w:p>
    <w:p w14:paraId="482E7076" w14:textId="09EE8B6A" w:rsidR="000D534C" w:rsidRDefault="000D534C" w:rsidP="007617D9">
      <w:pPr>
        <w:spacing w:line="360" w:lineRule="auto"/>
        <w:rPr>
          <w:rFonts w:ascii="Georgia" w:hAnsi="Georgia"/>
          <w:sz w:val="24"/>
          <w:szCs w:val="24"/>
        </w:rPr>
      </w:pPr>
      <w:r>
        <w:rPr>
          <w:rFonts w:ascii="Georgia" w:hAnsi="Georgia"/>
          <w:sz w:val="24"/>
          <w:szCs w:val="24"/>
        </w:rPr>
        <w:tab/>
      </w:r>
      <w:r w:rsidR="006D7575">
        <w:rPr>
          <w:rFonts w:ascii="Georgia" w:hAnsi="Georgia"/>
          <w:sz w:val="24"/>
          <w:szCs w:val="24"/>
        </w:rPr>
        <w:t>The Commission should not only dismiss IIF’s exemption request</w:t>
      </w:r>
      <w:r w:rsidR="006D7575">
        <w:rPr>
          <w:rFonts w:ascii="Cambria" w:hAnsi="Cambria"/>
          <w:sz w:val="24"/>
          <w:szCs w:val="24"/>
        </w:rPr>
        <w:t>—</w:t>
      </w:r>
      <w:r w:rsidR="006D7575">
        <w:rPr>
          <w:rFonts w:ascii="Georgia" w:hAnsi="Georgia"/>
          <w:sz w:val="24"/>
          <w:szCs w:val="24"/>
        </w:rPr>
        <w:t>classify</w:t>
      </w:r>
      <w:r w:rsidR="006D7575">
        <w:rPr>
          <w:rFonts w:ascii="Georgia" w:hAnsi="Georgia"/>
          <w:sz w:val="24"/>
          <w:szCs w:val="24"/>
        </w:rPr>
        <w:t>ing</w:t>
      </w:r>
      <w:r w:rsidR="006D7575">
        <w:rPr>
          <w:rFonts w:ascii="Georgia" w:hAnsi="Georgia"/>
          <w:sz w:val="24"/>
          <w:szCs w:val="24"/>
        </w:rPr>
        <w:t xml:space="preserve"> all IIF companies as part of the same holding company system</w:t>
      </w:r>
      <w:r w:rsidR="008539C8">
        <w:rPr>
          <w:rFonts w:ascii="Cambria" w:hAnsi="Cambria"/>
          <w:sz w:val="24"/>
          <w:szCs w:val="24"/>
        </w:rPr>
        <w:t>—</w:t>
      </w:r>
      <w:r w:rsidR="008539C8">
        <w:rPr>
          <w:rFonts w:ascii="Georgia" w:hAnsi="Georgia"/>
          <w:sz w:val="24"/>
          <w:szCs w:val="24"/>
        </w:rPr>
        <w:t xml:space="preserve">but </w:t>
      </w:r>
      <w:r>
        <w:rPr>
          <w:rFonts w:ascii="Georgia" w:hAnsi="Georgia"/>
          <w:sz w:val="24"/>
          <w:szCs w:val="24"/>
        </w:rPr>
        <w:t xml:space="preserve">must </w:t>
      </w:r>
      <w:r w:rsidR="008539C8">
        <w:rPr>
          <w:rFonts w:ascii="Georgia" w:hAnsi="Georgia"/>
          <w:sz w:val="24"/>
          <w:szCs w:val="24"/>
        </w:rPr>
        <w:t xml:space="preserve">also </w:t>
      </w:r>
      <w:r>
        <w:rPr>
          <w:rFonts w:ascii="Georgia" w:hAnsi="Georgia"/>
          <w:sz w:val="24"/>
          <w:szCs w:val="24"/>
        </w:rPr>
        <w:t>consider in this proceeding whether J.P. Morgan</w:t>
      </w:r>
      <w:r w:rsidR="00B77108">
        <w:rPr>
          <w:rFonts w:ascii="Georgia" w:hAnsi="Georgia"/>
          <w:sz w:val="24"/>
          <w:szCs w:val="24"/>
        </w:rPr>
        <w:t xml:space="preserve"> Chase &amp; Co. is affiliated with IIF US Holding 2 GP LLC. As part of </w:t>
      </w:r>
      <w:r w:rsidR="00650109">
        <w:rPr>
          <w:rFonts w:ascii="Georgia" w:hAnsi="Georgia"/>
          <w:sz w:val="24"/>
          <w:szCs w:val="24"/>
        </w:rPr>
        <w:t>that evaluation, the Commission should request certain articles of incorporation</w:t>
      </w:r>
      <w:r w:rsidR="00303DBA">
        <w:rPr>
          <w:rFonts w:ascii="Georgia" w:hAnsi="Georgia"/>
          <w:sz w:val="24"/>
          <w:szCs w:val="24"/>
        </w:rPr>
        <w:t xml:space="preserve"> and management services agreements between IIF and J.P. Morgan Chase &amp; Co.</w:t>
      </w:r>
    </w:p>
    <w:p w14:paraId="2835C011" w14:textId="1293950D" w:rsidR="004F747D" w:rsidRDefault="004F747D" w:rsidP="006E436A">
      <w:pPr>
        <w:rPr>
          <w:rFonts w:ascii="Georgia" w:hAnsi="Georgia"/>
          <w:sz w:val="24"/>
          <w:szCs w:val="24"/>
        </w:rPr>
      </w:pPr>
    </w:p>
    <w:p w14:paraId="42C9CF11" w14:textId="5319939E" w:rsidR="008539C8" w:rsidRDefault="008539C8" w:rsidP="006E436A">
      <w:pPr>
        <w:rPr>
          <w:rFonts w:ascii="Georgia" w:hAnsi="Georgia"/>
          <w:sz w:val="24"/>
          <w:szCs w:val="24"/>
        </w:rPr>
      </w:pPr>
    </w:p>
    <w:p w14:paraId="17410970" w14:textId="3513DCE3" w:rsidR="008539C8" w:rsidRDefault="008539C8" w:rsidP="006E436A">
      <w:pPr>
        <w:rPr>
          <w:rFonts w:ascii="Georgia" w:hAnsi="Georgia"/>
          <w:sz w:val="24"/>
          <w:szCs w:val="24"/>
        </w:rPr>
      </w:pPr>
    </w:p>
    <w:p w14:paraId="560DCA14" w14:textId="6A0E4465" w:rsidR="008539C8" w:rsidRDefault="008539C8" w:rsidP="006E436A">
      <w:pPr>
        <w:rPr>
          <w:rFonts w:ascii="Georgia" w:hAnsi="Georgia"/>
          <w:sz w:val="24"/>
          <w:szCs w:val="24"/>
        </w:rPr>
      </w:pPr>
    </w:p>
    <w:p w14:paraId="4062BC72" w14:textId="77777777" w:rsidR="008539C8" w:rsidRDefault="008539C8" w:rsidP="006E436A">
      <w:pPr>
        <w:rPr>
          <w:rFonts w:ascii="Georgia" w:hAnsi="Georgia"/>
          <w:sz w:val="24"/>
          <w:szCs w:val="24"/>
        </w:rPr>
      </w:pPr>
    </w:p>
    <w:p w14:paraId="390B1826" w14:textId="1F6718E2" w:rsidR="004F747D" w:rsidRDefault="004F747D" w:rsidP="00E17CE0">
      <w:pPr>
        <w:jc w:val="center"/>
        <w:rPr>
          <w:rFonts w:ascii="Georgia" w:hAnsi="Georgia"/>
          <w:b/>
          <w:bCs/>
          <w:sz w:val="24"/>
          <w:szCs w:val="24"/>
        </w:rPr>
      </w:pPr>
      <w:r w:rsidRPr="00E17CE0">
        <w:rPr>
          <w:rFonts w:ascii="Georgia" w:hAnsi="Georgia"/>
          <w:b/>
          <w:bCs/>
          <w:sz w:val="24"/>
          <w:szCs w:val="24"/>
        </w:rPr>
        <w:lastRenderedPageBreak/>
        <w:t>About Public Citizen</w:t>
      </w:r>
    </w:p>
    <w:p w14:paraId="5132527E" w14:textId="77777777" w:rsidR="008539C8" w:rsidRPr="00E17CE0" w:rsidRDefault="008539C8" w:rsidP="00E17CE0">
      <w:pPr>
        <w:jc w:val="center"/>
        <w:rPr>
          <w:rFonts w:ascii="Georgia" w:hAnsi="Georgia"/>
          <w:b/>
          <w:bCs/>
          <w:sz w:val="24"/>
          <w:szCs w:val="24"/>
        </w:rPr>
      </w:pPr>
    </w:p>
    <w:p w14:paraId="51EE2D87" w14:textId="2425FC64" w:rsidR="004F747D" w:rsidRDefault="00EF5EDD" w:rsidP="007617D9">
      <w:pPr>
        <w:spacing w:line="360" w:lineRule="auto"/>
        <w:ind w:firstLine="720"/>
        <w:rPr>
          <w:rFonts w:ascii="Georgia" w:hAnsi="Georgia"/>
          <w:sz w:val="24"/>
          <w:szCs w:val="24"/>
        </w:rPr>
      </w:pPr>
      <w:r>
        <w:rPr>
          <w:rFonts w:ascii="Georgia" w:hAnsi="Georgia"/>
          <w:sz w:val="24"/>
          <w:szCs w:val="24"/>
        </w:rPr>
        <w:t xml:space="preserve">Established in 1971, </w:t>
      </w:r>
      <w:r w:rsidRPr="00F829B0">
        <w:rPr>
          <w:rFonts w:ascii="Georgia" w:hAnsi="Georgia"/>
          <w:sz w:val="24"/>
          <w:szCs w:val="24"/>
        </w:rPr>
        <w:t>Public Citizen is a national, not-for-profit, non-partisan, research and advocacy organization representing the interests of household consumers. We are active before FERC promoting just and reasonable rates, and supporting efforts for utilities to be accountable to the public interest. Our financial details are located at our web site.</w:t>
      </w:r>
      <w:r w:rsidRPr="00F829B0">
        <w:rPr>
          <w:rStyle w:val="FootnoteReference"/>
          <w:rFonts w:ascii="Georgia" w:hAnsi="Georgia"/>
          <w:sz w:val="24"/>
          <w:szCs w:val="24"/>
        </w:rPr>
        <w:footnoteReference w:id="3"/>
      </w:r>
      <w:r>
        <w:rPr>
          <w:rFonts w:ascii="Georgia" w:hAnsi="Georgia"/>
          <w:sz w:val="24"/>
          <w:szCs w:val="24"/>
        </w:rPr>
        <w:t xml:space="preserve"> We intervened in this docket on </w:t>
      </w:r>
      <w:r w:rsidR="005A3276">
        <w:rPr>
          <w:rFonts w:ascii="Georgia" w:hAnsi="Georgia"/>
          <w:sz w:val="24"/>
          <w:szCs w:val="24"/>
        </w:rPr>
        <w:t>August 19.</w:t>
      </w:r>
    </w:p>
    <w:p w14:paraId="6050531B" w14:textId="0491174B" w:rsidR="005A3276" w:rsidRDefault="005A3276" w:rsidP="006E436A">
      <w:pPr>
        <w:rPr>
          <w:rFonts w:ascii="Georgia" w:hAnsi="Georgia"/>
          <w:sz w:val="24"/>
          <w:szCs w:val="24"/>
        </w:rPr>
      </w:pPr>
    </w:p>
    <w:p w14:paraId="4D373B9D" w14:textId="1648790F" w:rsidR="005A3276" w:rsidRPr="007617D9" w:rsidRDefault="00884A87" w:rsidP="007617D9">
      <w:pPr>
        <w:jc w:val="center"/>
        <w:rPr>
          <w:rFonts w:ascii="Georgia" w:hAnsi="Georgia"/>
          <w:b/>
          <w:bCs/>
          <w:sz w:val="24"/>
          <w:szCs w:val="24"/>
        </w:rPr>
      </w:pPr>
      <w:r w:rsidRPr="007617D9">
        <w:rPr>
          <w:rFonts w:ascii="Georgia" w:hAnsi="Georgia"/>
          <w:b/>
          <w:bCs/>
          <w:sz w:val="24"/>
          <w:szCs w:val="24"/>
        </w:rPr>
        <w:t>The IIF Companies Have the Same Owners and Are Managed By J.P. Morgan Chase &amp; Co.</w:t>
      </w:r>
    </w:p>
    <w:p w14:paraId="2642B149" w14:textId="5048B690" w:rsidR="00FF402D" w:rsidRDefault="00FF402D" w:rsidP="006E436A">
      <w:pPr>
        <w:rPr>
          <w:rFonts w:ascii="Georgia" w:hAnsi="Georgia"/>
          <w:sz w:val="24"/>
          <w:szCs w:val="24"/>
        </w:rPr>
      </w:pPr>
      <w:r>
        <w:rPr>
          <w:rFonts w:ascii="Georgia" w:hAnsi="Georgia"/>
          <w:sz w:val="24"/>
          <w:szCs w:val="24"/>
        </w:rPr>
        <w:tab/>
      </w:r>
    </w:p>
    <w:p w14:paraId="36921CEA" w14:textId="22077129" w:rsidR="00E0204B" w:rsidRDefault="00E0204B" w:rsidP="00E0204B">
      <w:pPr>
        <w:spacing w:line="360" w:lineRule="auto"/>
        <w:rPr>
          <w:rFonts w:ascii="Georgia" w:hAnsi="Georgia"/>
          <w:sz w:val="24"/>
          <w:szCs w:val="24"/>
        </w:rPr>
      </w:pPr>
      <w:r>
        <w:rPr>
          <w:rFonts w:ascii="Georgia" w:hAnsi="Georgia"/>
          <w:sz w:val="24"/>
          <w:szCs w:val="24"/>
        </w:rPr>
        <w:t xml:space="preserve">IIF controls </w:t>
      </w:r>
      <w:r>
        <w:rPr>
          <w:rFonts w:ascii="Georgia" w:hAnsi="Georgia"/>
          <w:sz w:val="24"/>
          <w:szCs w:val="24"/>
        </w:rPr>
        <w:t>four</w:t>
      </w:r>
      <w:r>
        <w:rPr>
          <w:rFonts w:ascii="Georgia" w:hAnsi="Georgia"/>
          <w:sz w:val="24"/>
          <w:szCs w:val="24"/>
        </w:rPr>
        <w:t xml:space="preserve"> operating companies </w:t>
      </w:r>
      <w:r>
        <w:rPr>
          <w:rFonts w:ascii="Georgia" w:hAnsi="Georgia"/>
          <w:sz w:val="24"/>
          <w:szCs w:val="24"/>
        </w:rPr>
        <w:t>relevant to this docket and FERC jurisdiction</w:t>
      </w:r>
      <w:r>
        <w:rPr>
          <w:rFonts w:ascii="Georgia" w:hAnsi="Georgia"/>
          <w:sz w:val="24"/>
          <w:szCs w:val="24"/>
        </w:rPr>
        <w:t>:</w:t>
      </w:r>
    </w:p>
    <w:p w14:paraId="1E6C1E44" w14:textId="77777777" w:rsidR="00E0204B" w:rsidRDefault="00E0204B" w:rsidP="00E0204B">
      <w:pPr>
        <w:rPr>
          <w:rFonts w:ascii="Georgia" w:hAnsi="Georgia"/>
          <w:sz w:val="24"/>
          <w:szCs w:val="24"/>
        </w:rPr>
      </w:pPr>
    </w:p>
    <w:p w14:paraId="34D1E7B4" w14:textId="620AC67D" w:rsidR="00E0204B" w:rsidRPr="00CA633C" w:rsidRDefault="00E0204B" w:rsidP="00E0204B">
      <w:pPr>
        <w:pStyle w:val="ListParagraph"/>
        <w:numPr>
          <w:ilvl w:val="0"/>
          <w:numId w:val="2"/>
        </w:numPr>
        <w:rPr>
          <w:rFonts w:ascii="Georgia" w:hAnsi="Georgia"/>
          <w:sz w:val="24"/>
          <w:szCs w:val="24"/>
        </w:rPr>
      </w:pPr>
      <w:r w:rsidRPr="00FF6393">
        <w:rPr>
          <w:rFonts w:ascii="Georgia" w:hAnsi="Georgia"/>
          <w:sz w:val="24"/>
          <w:szCs w:val="24"/>
        </w:rPr>
        <w:t>El Paso Electric Company is a franchised, vertically integrated utility with over 2,200 MW of generation capacity</w:t>
      </w:r>
      <w:r>
        <w:rPr>
          <w:rFonts w:ascii="Georgia" w:hAnsi="Georgia"/>
          <w:sz w:val="24"/>
          <w:szCs w:val="24"/>
        </w:rPr>
        <w:t xml:space="preserve"> with MBR authority</w:t>
      </w:r>
      <w:r w:rsidRPr="00FF6393">
        <w:rPr>
          <w:rFonts w:ascii="Georgia" w:hAnsi="Georgia"/>
          <w:sz w:val="24"/>
          <w:szCs w:val="24"/>
        </w:rPr>
        <w:t xml:space="preserve">. </w:t>
      </w:r>
      <w:r>
        <w:rPr>
          <w:rFonts w:ascii="Georgia" w:hAnsi="Georgia"/>
          <w:sz w:val="24"/>
          <w:szCs w:val="24"/>
        </w:rPr>
        <w:t>El Paso Electric Company</w:t>
      </w:r>
      <w:r w:rsidRPr="00FF6393">
        <w:rPr>
          <w:rFonts w:ascii="Georgia" w:hAnsi="Georgia"/>
          <w:sz w:val="24"/>
          <w:szCs w:val="24"/>
        </w:rPr>
        <w:t xml:space="preserve"> is controlled by </w:t>
      </w:r>
      <w:r>
        <w:rPr>
          <w:rFonts w:ascii="Georgia" w:hAnsi="Georgia"/>
          <w:sz w:val="24"/>
          <w:szCs w:val="24"/>
        </w:rPr>
        <w:t>the</w:t>
      </w:r>
      <w:r w:rsidRPr="00FF6393">
        <w:rPr>
          <w:rFonts w:ascii="Georgia" w:hAnsi="Georgia"/>
          <w:sz w:val="24"/>
          <w:szCs w:val="24"/>
        </w:rPr>
        <w:t xml:space="preserve"> shell company </w:t>
      </w:r>
      <w:r w:rsidRPr="00CA633C">
        <w:rPr>
          <w:rFonts w:ascii="Georgia" w:hAnsi="Georgia"/>
          <w:sz w:val="24"/>
          <w:szCs w:val="24"/>
        </w:rPr>
        <w:t>IIF US</w:t>
      </w:r>
      <w:r>
        <w:rPr>
          <w:rFonts w:ascii="Georgia" w:hAnsi="Georgia"/>
          <w:sz w:val="24"/>
          <w:szCs w:val="24"/>
        </w:rPr>
        <w:t xml:space="preserve"> </w:t>
      </w:r>
      <w:r w:rsidRPr="00CA633C">
        <w:rPr>
          <w:rFonts w:ascii="Georgia" w:hAnsi="Georgia"/>
          <w:sz w:val="24"/>
          <w:szCs w:val="24"/>
        </w:rPr>
        <w:t>Holding 2 GP, LLC</w:t>
      </w:r>
      <w:r>
        <w:rPr>
          <w:rFonts w:ascii="Georgia" w:hAnsi="Georgia"/>
          <w:sz w:val="24"/>
          <w:szCs w:val="24"/>
        </w:rPr>
        <w:t>. IIF US Holding 2 GP LLC has delegated day-to-day management to J.P. Morgan Chase &amp; Co., and also positioned two</w:t>
      </w:r>
      <w:r w:rsidRPr="00CA633C">
        <w:rPr>
          <w:rFonts w:ascii="Georgia" w:hAnsi="Georgia"/>
          <w:sz w:val="24"/>
          <w:szCs w:val="24"/>
        </w:rPr>
        <w:t xml:space="preserve"> </w:t>
      </w:r>
      <w:r>
        <w:rPr>
          <w:rFonts w:ascii="Georgia" w:hAnsi="Georgia"/>
          <w:sz w:val="24"/>
          <w:szCs w:val="24"/>
        </w:rPr>
        <w:t>J.P.</w:t>
      </w:r>
      <w:r w:rsidRPr="00CA633C">
        <w:rPr>
          <w:rFonts w:ascii="Georgia" w:hAnsi="Georgia"/>
          <w:sz w:val="24"/>
          <w:szCs w:val="24"/>
        </w:rPr>
        <w:t xml:space="preserve"> Morgan executives on El Paso’s </w:t>
      </w:r>
      <w:r>
        <w:rPr>
          <w:rFonts w:ascii="Georgia" w:hAnsi="Georgia"/>
          <w:sz w:val="24"/>
          <w:szCs w:val="24"/>
        </w:rPr>
        <w:t>b</w:t>
      </w:r>
      <w:r w:rsidRPr="00CA633C">
        <w:rPr>
          <w:rFonts w:ascii="Georgia" w:hAnsi="Georgia"/>
          <w:sz w:val="24"/>
          <w:szCs w:val="24"/>
        </w:rPr>
        <w:t xml:space="preserve">oard of </w:t>
      </w:r>
      <w:r>
        <w:rPr>
          <w:rFonts w:ascii="Georgia" w:hAnsi="Georgia"/>
          <w:sz w:val="24"/>
          <w:szCs w:val="24"/>
        </w:rPr>
        <w:t>d</w:t>
      </w:r>
      <w:r w:rsidRPr="00CA633C">
        <w:rPr>
          <w:rFonts w:ascii="Georgia" w:hAnsi="Georgia"/>
          <w:sz w:val="24"/>
          <w:szCs w:val="24"/>
        </w:rPr>
        <w:t>irectors: Andrew “Landy” Gilbert and Kathleen Lawler.</w:t>
      </w:r>
      <w:r>
        <w:rPr>
          <w:rStyle w:val="FootnoteReference"/>
          <w:rFonts w:ascii="Georgia" w:hAnsi="Georgia"/>
          <w:sz w:val="24"/>
          <w:szCs w:val="24"/>
        </w:rPr>
        <w:footnoteReference w:id="4"/>
      </w:r>
    </w:p>
    <w:p w14:paraId="73B2A56D" w14:textId="77777777" w:rsidR="00E0204B" w:rsidRDefault="00E0204B" w:rsidP="00E0204B">
      <w:pPr>
        <w:rPr>
          <w:rFonts w:ascii="Georgia" w:hAnsi="Georgia"/>
          <w:sz w:val="24"/>
          <w:szCs w:val="24"/>
        </w:rPr>
      </w:pPr>
    </w:p>
    <w:p w14:paraId="278139EA" w14:textId="0F868A09" w:rsidR="00E0204B" w:rsidRDefault="00E0204B" w:rsidP="00E0204B">
      <w:pPr>
        <w:pStyle w:val="ListParagraph"/>
        <w:numPr>
          <w:ilvl w:val="0"/>
          <w:numId w:val="1"/>
        </w:numPr>
        <w:rPr>
          <w:rFonts w:ascii="Georgia" w:hAnsi="Georgia"/>
          <w:sz w:val="24"/>
          <w:szCs w:val="24"/>
        </w:rPr>
      </w:pPr>
      <w:r w:rsidRPr="002A4B97">
        <w:rPr>
          <w:rFonts w:ascii="Georgia" w:hAnsi="Georgia"/>
          <w:sz w:val="24"/>
          <w:szCs w:val="24"/>
        </w:rPr>
        <w:t xml:space="preserve">Novatus Energy, LLC </w:t>
      </w:r>
      <w:r w:rsidRPr="00AD2F52">
        <w:rPr>
          <w:rFonts w:ascii="Georgia" w:hAnsi="Georgia"/>
          <w:sz w:val="24"/>
          <w:szCs w:val="24"/>
        </w:rPr>
        <w:t xml:space="preserve">is controlled by </w:t>
      </w:r>
      <w:r>
        <w:rPr>
          <w:rFonts w:ascii="Georgia" w:hAnsi="Georgia"/>
          <w:sz w:val="24"/>
          <w:szCs w:val="24"/>
        </w:rPr>
        <w:t xml:space="preserve">IIF </w:t>
      </w:r>
      <w:r w:rsidRPr="00AD2F52">
        <w:rPr>
          <w:rFonts w:ascii="Georgia" w:hAnsi="Georgia"/>
          <w:sz w:val="24"/>
          <w:szCs w:val="24"/>
        </w:rPr>
        <w:t>US Holding 2 GP, LLC</w:t>
      </w:r>
      <w:r>
        <w:rPr>
          <w:rFonts w:ascii="Georgia" w:hAnsi="Georgia"/>
          <w:sz w:val="24"/>
          <w:szCs w:val="24"/>
        </w:rPr>
        <w:t>, and has nearly 1,000 MW of generation capacity with MBR authority</w:t>
      </w:r>
      <w:r w:rsidRPr="00AD2F52">
        <w:rPr>
          <w:rFonts w:ascii="Georgia" w:hAnsi="Georgia"/>
          <w:sz w:val="24"/>
          <w:szCs w:val="24"/>
        </w:rPr>
        <w:t>.</w:t>
      </w:r>
      <w:r>
        <w:rPr>
          <w:rFonts w:ascii="Georgia" w:hAnsi="Georgia"/>
          <w:sz w:val="24"/>
          <w:szCs w:val="24"/>
        </w:rPr>
        <w:t xml:space="preserve"> IIF US Holding 2 GP LLC delegates day-to-day management to J.P. Morgan Chase &amp; Co, and J.P. Morgan’s </w:t>
      </w:r>
      <w:r w:rsidRPr="00C14040">
        <w:rPr>
          <w:rFonts w:ascii="Georgia" w:hAnsi="Georgia"/>
          <w:sz w:val="24"/>
          <w:szCs w:val="24"/>
        </w:rPr>
        <w:t>Andrew Kapp</w:t>
      </w:r>
      <w:r>
        <w:rPr>
          <w:rFonts w:ascii="Georgia" w:hAnsi="Georgia"/>
          <w:sz w:val="24"/>
          <w:szCs w:val="24"/>
        </w:rPr>
        <w:t xml:space="preserve"> serves on Novatus Energy’s board of directors.</w:t>
      </w:r>
      <w:r>
        <w:rPr>
          <w:rStyle w:val="FootnoteReference"/>
          <w:rFonts w:ascii="Georgia" w:hAnsi="Georgia"/>
          <w:sz w:val="24"/>
          <w:szCs w:val="24"/>
        </w:rPr>
        <w:footnoteReference w:id="5"/>
      </w:r>
      <w:r>
        <w:rPr>
          <w:rFonts w:ascii="Georgia" w:hAnsi="Georgia"/>
          <w:sz w:val="24"/>
          <w:szCs w:val="24"/>
        </w:rPr>
        <w:t xml:space="preserve"> </w:t>
      </w:r>
      <w:r w:rsidRPr="00AD2F52">
        <w:rPr>
          <w:rFonts w:ascii="Georgia" w:hAnsi="Georgia"/>
          <w:sz w:val="24"/>
          <w:szCs w:val="24"/>
        </w:rPr>
        <w:t xml:space="preserve"> </w:t>
      </w:r>
    </w:p>
    <w:p w14:paraId="23978E77" w14:textId="77777777" w:rsidR="00E0204B" w:rsidRPr="00A1010D" w:rsidRDefault="00E0204B" w:rsidP="00E0204B">
      <w:pPr>
        <w:pStyle w:val="ListParagraph"/>
        <w:rPr>
          <w:rFonts w:ascii="Georgia" w:hAnsi="Georgia"/>
          <w:sz w:val="24"/>
          <w:szCs w:val="24"/>
        </w:rPr>
      </w:pPr>
    </w:p>
    <w:p w14:paraId="08413783" w14:textId="62362C95" w:rsidR="00E0204B" w:rsidRDefault="00E0204B" w:rsidP="00E0204B">
      <w:pPr>
        <w:pStyle w:val="ListParagraph"/>
        <w:numPr>
          <w:ilvl w:val="0"/>
          <w:numId w:val="1"/>
        </w:numPr>
        <w:rPr>
          <w:rFonts w:ascii="Georgia" w:hAnsi="Georgia"/>
          <w:sz w:val="24"/>
          <w:szCs w:val="24"/>
        </w:rPr>
      </w:pPr>
      <w:r w:rsidRPr="00A1010D">
        <w:rPr>
          <w:rFonts w:ascii="Georgia" w:hAnsi="Georgia"/>
          <w:sz w:val="24"/>
          <w:szCs w:val="24"/>
        </w:rPr>
        <w:t xml:space="preserve">Southwest Generation Operating Company, LLC </w:t>
      </w:r>
      <w:r>
        <w:rPr>
          <w:rFonts w:ascii="Georgia" w:hAnsi="Georgia"/>
          <w:sz w:val="24"/>
          <w:szCs w:val="24"/>
        </w:rPr>
        <w:t xml:space="preserve">is </w:t>
      </w:r>
      <w:r w:rsidRPr="00BA7049">
        <w:rPr>
          <w:rFonts w:ascii="Georgia" w:hAnsi="Georgia"/>
          <w:sz w:val="24"/>
          <w:szCs w:val="24"/>
        </w:rPr>
        <w:t>controlled by IIF US Holding GP, LLC</w:t>
      </w:r>
      <w:r>
        <w:rPr>
          <w:rFonts w:ascii="Georgia" w:hAnsi="Georgia"/>
          <w:sz w:val="24"/>
          <w:szCs w:val="24"/>
        </w:rPr>
        <w:t xml:space="preserve">, with nearly 2,300 MW of generation with MBR authority. IIF US Holding GP LLC has delegated day-to-day management to J.P. Morgan Chase &amp; Co, and J.P. Morgan’s </w:t>
      </w:r>
      <w:r w:rsidRPr="00E45D45">
        <w:rPr>
          <w:rFonts w:ascii="Georgia" w:hAnsi="Georgia"/>
          <w:sz w:val="24"/>
          <w:szCs w:val="24"/>
        </w:rPr>
        <w:t>Andrew Kapp</w:t>
      </w:r>
      <w:r>
        <w:rPr>
          <w:rFonts w:ascii="Georgia" w:hAnsi="Georgia"/>
          <w:sz w:val="24"/>
          <w:szCs w:val="24"/>
        </w:rPr>
        <w:t xml:space="preserve"> serves on Southwest’s board of directors.</w:t>
      </w:r>
      <w:r>
        <w:rPr>
          <w:rStyle w:val="FootnoteReference"/>
          <w:rFonts w:ascii="Georgia" w:hAnsi="Georgia"/>
          <w:sz w:val="24"/>
          <w:szCs w:val="24"/>
        </w:rPr>
        <w:footnoteReference w:id="6"/>
      </w:r>
      <w:r w:rsidR="009C6202">
        <w:rPr>
          <w:rFonts w:ascii="Georgia" w:hAnsi="Georgia"/>
          <w:sz w:val="24"/>
          <w:szCs w:val="24"/>
        </w:rPr>
        <w:t xml:space="preserve"> </w:t>
      </w:r>
      <w:r w:rsidR="002E67A5">
        <w:rPr>
          <w:rFonts w:ascii="Georgia" w:hAnsi="Georgia"/>
          <w:sz w:val="24"/>
          <w:szCs w:val="24"/>
        </w:rPr>
        <w:t xml:space="preserve">Proposed new IIF “owner” </w:t>
      </w:r>
      <w:r w:rsidR="002E67A5" w:rsidRPr="002E0C02">
        <w:rPr>
          <w:rFonts w:ascii="Georgia" w:hAnsi="Georgia"/>
          <w:sz w:val="24"/>
          <w:szCs w:val="24"/>
        </w:rPr>
        <w:t>Anne M. Cleary</w:t>
      </w:r>
      <w:r w:rsidR="002E67A5">
        <w:rPr>
          <w:rFonts w:ascii="Georgia" w:hAnsi="Georgia"/>
          <w:sz w:val="24"/>
          <w:szCs w:val="24"/>
        </w:rPr>
        <w:t xml:space="preserve"> also serves on Southwest’s board.</w:t>
      </w:r>
    </w:p>
    <w:p w14:paraId="6F41FC8D" w14:textId="77777777" w:rsidR="00AD2B1C" w:rsidRPr="00AD2B1C" w:rsidRDefault="00AD2B1C" w:rsidP="00AD2B1C">
      <w:pPr>
        <w:pStyle w:val="ListParagraph"/>
        <w:rPr>
          <w:rFonts w:ascii="Georgia" w:hAnsi="Georgia"/>
          <w:sz w:val="24"/>
          <w:szCs w:val="24"/>
        </w:rPr>
      </w:pPr>
    </w:p>
    <w:p w14:paraId="318C5267" w14:textId="0B175B24" w:rsidR="00AD2B1C" w:rsidRPr="00BA7049" w:rsidRDefault="0088628D" w:rsidP="00E0204B">
      <w:pPr>
        <w:pStyle w:val="ListParagraph"/>
        <w:numPr>
          <w:ilvl w:val="0"/>
          <w:numId w:val="1"/>
        </w:numPr>
        <w:rPr>
          <w:rFonts w:ascii="Georgia" w:hAnsi="Georgia"/>
          <w:sz w:val="24"/>
          <w:szCs w:val="24"/>
        </w:rPr>
      </w:pPr>
      <w:r w:rsidRPr="0088628D">
        <w:rPr>
          <w:rFonts w:ascii="Georgia" w:hAnsi="Georgia"/>
          <w:sz w:val="24"/>
          <w:szCs w:val="24"/>
        </w:rPr>
        <w:t>IIF US Holding 2</w:t>
      </w:r>
      <w:r>
        <w:rPr>
          <w:rFonts w:ascii="Georgia" w:hAnsi="Georgia"/>
          <w:sz w:val="24"/>
          <w:szCs w:val="24"/>
        </w:rPr>
        <w:t xml:space="preserve"> controls 100% of Summit Utilities, which operates </w:t>
      </w:r>
      <w:r w:rsidR="007E3DF7">
        <w:rPr>
          <w:rFonts w:ascii="Georgia" w:hAnsi="Georgia"/>
          <w:sz w:val="24"/>
          <w:szCs w:val="24"/>
        </w:rPr>
        <w:t xml:space="preserve">local natural gas distribution companies in </w:t>
      </w:r>
      <w:r w:rsidR="005D163B">
        <w:rPr>
          <w:rFonts w:ascii="Georgia" w:hAnsi="Georgia"/>
          <w:sz w:val="24"/>
          <w:szCs w:val="24"/>
        </w:rPr>
        <w:t>five</w:t>
      </w:r>
      <w:r w:rsidR="007E3DF7">
        <w:rPr>
          <w:rFonts w:ascii="Georgia" w:hAnsi="Georgia"/>
          <w:sz w:val="24"/>
          <w:szCs w:val="24"/>
        </w:rPr>
        <w:t xml:space="preserve"> U.S. states. </w:t>
      </w:r>
      <w:r w:rsidR="001C323C">
        <w:rPr>
          <w:rFonts w:ascii="Georgia" w:hAnsi="Georgia"/>
          <w:sz w:val="24"/>
          <w:szCs w:val="24"/>
        </w:rPr>
        <w:t>J.P. Morgan’s Andrew “Landy” Gilbert serves on Summit’s board of directors.</w:t>
      </w:r>
    </w:p>
    <w:p w14:paraId="10908AE2" w14:textId="142CA80B" w:rsidR="00E0204B" w:rsidRDefault="00E0204B" w:rsidP="006E436A">
      <w:pPr>
        <w:rPr>
          <w:rFonts w:ascii="Georgia" w:hAnsi="Georgia"/>
          <w:sz w:val="24"/>
          <w:szCs w:val="24"/>
        </w:rPr>
      </w:pPr>
    </w:p>
    <w:p w14:paraId="10375A5B" w14:textId="77777777" w:rsidR="00E0204B" w:rsidRDefault="00E0204B" w:rsidP="006E436A">
      <w:pPr>
        <w:rPr>
          <w:rFonts w:ascii="Georgia" w:hAnsi="Georgia"/>
          <w:sz w:val="24"/>
          <w:szCs w:val="24"/>
        </w:rPr>
      </w:pPr>
    </w:p>
    <w:p w14:paraId="747E9BCD" w14:textId="64E5C285" w:rsidR="00FF402D" w:rsidRDefault="00FF402D" w:rsidP="00DA12FA">
      <w:pPr>
        <w:spacing w:line="360" w:lineRule="auto"/>
        <w:rPr>
          <w:rFonts w:ascii="Georgia" w:hAnsi="Georgia"/>
          <w:sz w:val="24"/>
          <w:szCs w:val="24"/>
        </w:rPr>
      </w:pPr>
      <w:r>
        <w:rPr>
          <w:rFonts w:ascii="Georgia" w:hAnsi="Georgia"/>
          <w:sz w:val="24"/>
          <w:szCs w:val="24"/>
        </w:rPr>
        <w:lastRenderedPageBreak/>
        <w:tab/>
      </w:r>
      <w:r w:rsidR="00DA12FA">
        <w:rPr>
          <w:rFonts w:ascii="Georgia" w:hAnsi="Georgia"/>
          <w:sz w:val="24"/>
          <w:szCs w:val="24"/>
        </w:rPr>
        <w:t>T</w:t>
      </w:r>
      <w:r>
        <w:rPr>
          <w:rFonts w:ascii="Georgia" w:hAnsi="Georgia"/>
          <w:sz w:val="24"/>
          <w:szCs w:val="24"/>
        </w:rPr>
        <w:t xml:space="preserve">he various IIF shell companies </w:t>
      </w:r>
      <w:r w:rsidR="00AD3D75">
        <w:rPr>
          <w:rFonts w:ascii="Georgia" w:hAnsi="Georgia"/>
          <w:sz w:val="24"/>
          <w:szCs w:val="24"/>
        </w:rPr>
        <w:t>feature</w:t>
      </w:r>
      <w:r>
        <w:rPr>
          <w:rFonts w:ascii="Georgia" w:hAnsi="Georgia"/>
          <w:sz w:val="24"/>
          <w:szCs w:val="24"/>
        </w:rPr>
        <w:t xml:space="preserve"> the same three owners: </w:t>
      </w:r>
      <w:r w:rsidR="0030127A" w:rsidRPr="0030127A">
        <w:rPr>
          <w:rFonts w:ascii="Georgia" w:hAnsi="Georgia"/>
          <w:sz w:val="24"/>
          <w:szCs w:val="24"/>
        </w:rPr>
        <w:t>Rita</w:t>
      </w:r>
      <w:r w:rsidR="00E25FB6">
        <w:rPr>
          <w:rFonts w:ascii="Georgia" w:hAnsi="Georgia"/>
          <w:sz w:val="24"/>
          <w:szCs w:val="24"/>
        </w:rPr>
        <w:t xml:space="preserve"> </w:t>
      </w:r>
      <w:r w:rsidR="0030127A" w:rsidRPr="0030127A">
        <w:rPr>
          <w:rFonts w:ascii="Georgia" w:hAnsi="Georgia"/>
          <w:sz w:val="24"/>
          <w:szCs w:val="24"/>
        </w:rPr>
        <w:t>J. Sallis</w:t>
      </w:r>
      <w:r w:rsidR="0030127A">
        <w:rPr>
          <w:rFonts w:ascii="Georgia" w:hAnsi="Georgia"/>
          <w:sz w:val="24"/>
          <w:szCs w:val="24"/>
        </w:rPr>
        <w:t xml:space="preserve">, </w:t>
      </w:r>
      <w:r w:rsidR="0030127A" w:rsidRPr="0030127A">
        <w:rPr>
          <w:rFonts w:ascii="Georgia" w:hAnsi="Georgia"/>
          <w:sz w:val="24"/>
          <w:szCs w:val="24"/>
        </w:rPr>
        <w:t>Christopher Ward</w:t>
      </w:r>
      <w:r w:rsidR="0030127A">
        <w:rPr>
          <w:rFonts w:ascii="Georgia" w:hAnsi="Georgia"/>
          <w:sz w:val="24"/>
          <w:szCs w:val="24"/>
        </w:rPr>
        <w:t xml:space="preserve"> and </w:t>
      </w:r>
      <w:r w:rsidR="00787586">
        <w:rPr>
          <w:rFonts w:ascii="Georgia" w:hAnsi="Georgia"/>
          <w:sz w:val="24"/>
          <w:szCs w:val="24"/>
        </w:rPr>
        <w:t>Dennis Clarke</w:t>
      </w:r>
      <w:r w:rsidR="00787586">
        <w:rPr>
          <w:rFonts w:ascii="Cambria" w:hAnsi="Cambria"/>
          <w:sz w:val="24"/>
          <w:szCs w:val="24"/>
        </w:rPr>
        <w:t>—</w:t>
      </w:r>
      <w:r w:rsidR="00787586">
        <w:rPr>
          <w:rFonts w:ascii="Georgia" w:hAnsi="Georgia"/>
          <w:sz w:val="24"/>
          <w:szCs w:val="24"/>
        </w:rPr>
        <w:t xml:space="preserve">with </w:t>
      </w:r>
      <w:r w:rsidR="003075E1">
        <w:rPr>
          <w:rFonts w:ascii="Georgia" w:hAnsi="Georgia"/>
          <w:sz w:val="24"/>
          <w:szCs w:val="24"/>
        </w:rPr>
        <w:t xml:space="preserve">IIF proposing a </w:t>
      </w:r>
      <w:r w:rsidR="00787586">
        <w:rPr>
          <w:rFonts w:ascii="Georgia" w:hAnsi="Georgia"/>
          <w:sz w:val="24"/>
          <w:szCs w:val="24"/>
        </w:rPr>
        <w:t xml:space="preserve">transfer </w:t>
      </w:r>
      <w:r w:rsidR="003075E1">
        <w:rPr>
          <w:rFonts w:ascii="Georgia" w:hAnsi="Georgia"/>
          <w:sz w:val="24"/>
          <w:szCs w:val="24"/>
        </w:rPr>
        <w:t>of Clarke’s</w:t>
      </w:r>
      <w:r w:rsidR="00787586">
        <w:rPr>
          <w:rFonts w:ascii="Georgia" w:hAnsi="Georgia"/>
          <w:sz w:val="24"/>
          <w:szCs w:val="24"/>
        </w:rPr>
        <w:t xml:space="preserve"> “ownership” to </w:t>
      </w:r>
      <w:r w:rsidR="002E0C02" w:rsidRPr="002E0C02">
        <w:rPr>
          <w:rFonts w:ascii="Georgia" w:hAnsi="Georgia"/>
          <w:sz w:val="24"/>
          <w:szCs w:val="24"/>
        </w:rPr>
        <w:t>Anne M. Cleary</w:t>
      </w:r>
      <w:r w:rsidR="002E0C02">
        <w:rPr>
          <w:rFonts w:ascii="Georgia" w:hAnsi="Georgia"/>
          <w:sz w:val="24"/>
          <w:szCs w:val="24"/>
        </w:rPr>
        <w:t>.</w:t>
      </w:r>
      <w:r w:rsidR="002E0C02">
        <w:rPr>
          <w:rStyle w:val="FootnoteReference"/>
          <w:rFonts w:ascii="Georgia" w:hAnsi="Georgia"/>
          <w:sz w:val="24"/>
          <w:szCs w:val="24"/>
        </w:rPr>
        <w:footnoteReference w:id="7"/>
      </w:r>
      <w:r w:rsidR="00ED3F81">
        <w:rPr>
          <w:rFonts w:ascii="Georgia" w:hAnsi="Georgia"/>
          <w:sz w:val="24"/>
          <w:szCs w:val="24"/>
        </w:rPr>
        <w:t xml:space="preserve"> Cleary is currently on the Board of Directors of the IIF company </w:t>
      </w:r>
      <w:r w:rsidR="003B0D39">
        <w:rPr>
          <w:rFonts w:ascii="Georgia" w:hAnsi="Georgia"/>
          <w:sz w:val="24"/>
          <w:szCs w:val="24"/>
        </w:rPr>
        <w:t>Southwest Generation.</w:t>
      </w:r>
    </w:p>
    <w:p w14:paraId="449A0582" w14:textId="285BC7A3" w:rsidR="00824BC2" w:rsidRDefault="003B0D39" w:rsidP="00DA12FA">
      <w:pPr>
        <w:spacing w:line="360" w:lineRule="auto"/>
        <w:rPr>
          <w:rFonts w:ascii="Georgia" w:hAnsi="Georgia"/>
          <w:sz w:val="24"/>
          <w:szCs w:val="24"/>
        </w:rPr>
      </w:pPr>
      <w:r>
        <w:rPr>
          <w:rFonts w:ascii="Georgia" w:hAnsi="Georgia"/>
          <w:sz w:val="24"/>
          <w:szCs w:val="24"/>
        </w:rPr>
        <w:tab/>
        <w:t xml:space="preserve">Not only are the same three owners associated with all of the IIF shell companies, but the </w:t>
      </w:r>
      <w:r w:rsidR="00482FD4">
        <w:rPr>
          <w:rFonts w:ascii="Georgia" w:hAnsi="Georgia"/>
          <w:sz w:val="24"/>
          <w:szCs w:val="24"/>
        </w:rPr>
        <w:t>day-to-day management</w:t>
      </w:r>
      <w:r w:rsidR="00482FD4">
        <w:rPr>
          <w:rFonts w:ascii="Georgia" w:hAnsi="Georgia"/>
          <w:sz w:val="24"/>
          <w:szCs w:val="24"/>
        </w:rPr>
        <w:t xml:space="preserve"> of all IIF companies ha</w:t>
      </w:r>
      <w:r w:rsidR="00741966">
        <w:rPr>
          <w:rFonts w:ascii="Georgia" w:hAnsi="Georgia"/>
          <w:sz w:val="24"/>
          <w:szCs w:val="24"/>
        </w:rPr>
        <w:t>s</w:t>
      </w:r>
      <w:r w:rsidR="00482FD4">
        <w:rPr>
          <w:rFonts w:ascii="Georgia" w:hAnsi="Georgia"/>
          <w:sz w:val="24"/>
          <w:szCs w:val="24"/>
        </w:rPr>
        <w:t xml:space="preserve"> been delegated to</w:t>
      </w:r>
      <w:r>
        <w:rPr>
          <w:rFonts w:ascii="Georgia" w:hAnsi="Georgia"/>
          <w:sz w:val="24"/>
          <w:szCs w:val="24"/>
        </w:rPr>
        <w:t xml:space="preserve"> J.P. Morgan Chase &amp; Co. </w:t>
      </w:r>
      <w:r w:rsidR="00CD1852">
        <w:rPr>
          <w:rFonts w:ascii="Georgia" w:hAnsi="Georgia"/>
          <w:sz w:val="24"/>
          <w:szCs w:val="24"/>
        </w:rPr>
        <w:t>IIF has no employees independent from J.P. Morgan, as J.P. Morgan’s asset management division</w:t>
      </w:r>
      <w:r w:rsidR="00E95722">
        <w:rPr>
          <w:rFonts w:ascii="Georgia" w:hAnsi="Georgia"/>
          <w:sz w:val="24"/>
          <w:szCs w:val="24"/>
        </w:rPr>
        <w:t xml:space="preserve"> provides all of IIF’s operational needs.</w:t>
      </w:r>
    </w:p>
    <w:p w14:paraId="39C66C23" w14:textId="1167D800" w:rsidR="00E95722" w:rsidRDefault="00E95722" w:rsidP="00DA12FA">
      <w:pPr>
        <w:spacing w:line="360" w:lineRule="auto"/>
        <w:rPr>
          <w:rFonts w:ascii="Georgia" w:hAnsi="Georgia"/>
          <w:sz w:val="24"/>
          <w:szCs w:val="24"/>
        </w:rPr>
      </w:pPr>
      <w:r>
        <w:rPr>
          <w:rFonts w:ascii="Georgia" w:hAnsi="Georgia"/>
          <w:sz w:val="24"/>
          <w:szCs w:val="24"/>
        </w:rPr>
        <w:tab/>
        <w:t xml:space="preserve">J.P. Morgan’s </w:t>
      </w:r>
      <w:r w:rsidR="00507BD2">
        <w:rPr>
          <w:rFonts w:ascii="Georgia" w:hAnsi="Georgia"/>
          <w:sz w:val="24"/>
          <w:szCs w:val="24"/>
        </w:rPr>
        <w:t xml:space="preserve">management control over IIF extends to </w:t>
      </w:r>
      <w:r w:rsidR="007B76F7">
        <w:rPr>
          <w:rFonts w:ascii="Georgia" w:hAnsi="Georgia"/>
          <w:sz w:val="24"/>
          <w:szCs w:val="24"/>
        </w:rPr>
        <w:t>its holding companies,</w:t>
      </w:r>
      <w:r w:rsidR="00507BD2">
        <w:rPr>
          <w:rFonts w:ascii="Georgia" w:hAnsi="Georgia"/>
          <w:sz w:val="24"/>
          <w:szCs w:val="24"/>
        </w:rPr>
        <w:t xml:space="preserve"> as J.P. Morgan executives </w:t>
      </w:r>
      <w:r w:rsidR="009D6518">
        <w:rPr>
          <w:rFonts w:ascii="Georgia" w:hAnsi="Georgia"/>
          <w:sz w:val="24"/>
          <w:szCs w:val="24"/>
        </w:rPr>
        <w:t xml:space="preserve">have interlocking positions </w:t>
      </w:r>
      <w:r w:rsidR="00B34799">
        <w:rPr>
          <w:rFonts w:ascii="Georgia" w:hAnsi="Georgia"/>
          <w:sz w:val="24"/>
          <w:szCs w:val="24"/>
        </w:rPr>
        <w:t>on the boards of all four of IIF’s energy holding companies.</w:t>
      </w:r>
      <w:r w:rsidR="00D30B2D">
        <w:rPr>
          <w:rFonts w:ascii="Georgia" w:hAnsi="Georgia"/>
          <w:sz w:val="24"/>
          <w:szCs w:val="24"/>
        </w:rPr>
        <w:t xml:space="preserve"> In one case, a single J.P. Morgan executive, Andrew “Landy” Gilbert, serves on</w:t>
      </w:r>
      <w:r w:rsidR="00FC1423">
        <w:rPr>
          <w:rFonts w:ascii="Georgia" w:hAnsi="Georgia"/>
          <w:sz w:val="24"/>
          <w:szCs w:val="24"/>
        </w:rPr>
        <w:t xml:space="preserve"> the boards of both El Paso Electric and Summit Utilities</w:t>
      </w:r>
      <w:r w:rsidR="007047F5">
        <w:rPr>
          <w:rFonts w:ascii="Georgia" w:hAnsi="Georgia"/>
          <w:sz w:val="24"/>
          <w:szCs w:val="24"/>
        </w:rPr>
        <w:t>, thereby undermining IIF’s exemption claim</w:t>
      </w:r>
      <w:r w:rsidR="00FC1423">
        <w:rPr>
          <w:rFonts w:ascii="Georgia" w:hAnsi="Georgia"/>
          <w:sz w:val="24"/>
          <w:szCs w:val="24"/>
        </w:rPr>
        <w:t>.</w:t>
      </w:r>
    </w:p>
    <w:p w14:paraId="42CB4470" w14:textId="3EE82B54" w:rsidR="0089759F" w:rsidRDefault="0089759F" w:rsidP="00DA12FA">
      <w:pPr>
        <w:spacing w:line="360" w:lineRule="auto"/>
        <w:rPr>
          <w:rFonts w:ascii="Georgia" w:hAnsi="Georgia"/>
          <w:sz w:val="24"/>
          <w:szCs w:val="24"/>
        </w:rPr>
      </w:pPr>
      <w:r>
        <w:rPr>
          <w:rFonts w:ascii="Georgia" w:hAnsi="Georgia"/>
          <w:sz w:val="24"/>
          <w:szCs w:val="24"/>
        </w:rPr>
        <w:tab/>
      </w:r>
      <w:r w:rsidR="00F704A0">
        <w:rPr>
          <w:rFonts w:ascii="Georgia" w:hAnsi="Georgia"/>
          <w:sz w:val="24"/>
          <w:szCs w:val="24"/>
        </w:rPr>
        <w:t xml:space="preserve">The companies </w:t>
      </w:r>
      <w:r w:rsidR="00956978">
        <w:rPr>
          <w:rFonts w:ascii="Georgia" w:hAnsi="Georgia"/>
          <w:sz w:val="24"/>
          <w:szCs w:val="24"/>
        </w:rPr>
        <w:t xml:space="preserve">that are the subject of IIF’s exemption request are all owned, controlled and managed by the same exact set </w:t>
      </w:r>
      <w:r w:rsidR="00BD5A28">
        <w:rPr>
          <w:rFonts w:ascii="Georgia" w:hAnsi="Georgia"/>
          <w:sz w:val="24"/>
          <w:szCs w:val="24"/>
        </w:rPr>
        <w:t xml:space="preserve">of J.P. Morgan executives, which extends of the board of directors of all of the companies. As a result, the Commission must reject the exemption request and </w:t>
      </w:r>
      <w:r w:rsidR="00D56CB4">
        <w:rPr>
          <w:rFonts w:ascii="Georgia" w:hAnsi="Georgia"/>
          <w:sz w:val="24"/>
          <w:szCs w:val="24"/>
        </w:rPr>
        <w:t>treat all of the IIF-owned companies as part of the same holding company structure.</w:t>
      </w:r>
    </w:p>
    <w:p w14:paraId="1DF9E193" w14:textId="4E9298A2" w:rsidR="00650F21" w:rsidRDefault="00650F21" w:rsidP="00D56CB4">
      <w:pPr>
        <w:rPr>
          <w:rFonts w:ascii="Georgia" w:hAnsi="Georgia"/>
          <w:sz w:val="24"/>
          <w:szCs w:val="24"/>
        </w:rPr>
      </w:pPr>
    </w:p>
    <w:p w14:paraId="68F662BB" w14:textId="77777777" w:rsidR="00C026EF" w:rsidRDefault="00C026EF" w:rsidP="00D56CB4">
      <w:pPr>
        <w:rPr>
          <w:rFonts w:ascii="Georgia" w:hAnsi="Georgia"/>
          <w:sz w:val="24"/>
          <w:szCs w:val="24"/>
        </w:rPr>
      </w:pPr>
    </w:p>
    <w:p w14:paraId="5A4C1605" w14:textId="463FDBE4" w:rsidR="00531840" w:rsidRPr="00DA12FA" w:rsidRDefault="00650F21" w:rsidP="00DA12FA">
      <w:pPr>
        <w:jc w:val="center"/>
        <w:rPr>
          <w:rFonts w:ascii="Georgia" w:hAnsi="Georgia"/>
          <w:b/>
          <w:bCs/>
          <w:sz w:val="24"/>
          <w:szCs w:val="24"/>
        </w:rPr>
      </w:pPr>
      <w:r w:rsidRPr="00DA12FA">
        <w:rPr>
          <w:rFonts w:ascii="Georgia" w:hAnsi="Georgia"/>
          <w:b/>
          <w:bCs/>
          <w:sz w:val="24"/>
          <w:szCs w:val="24"/>
        </w:rPr>
        <w:t xml:space="preserve">The Commission Must Determine </w:t>
      </w:r>
      <w:r w:rsidR="002A5619" w:rsidRPr="00DA12FA">
        <w:rPr>
          <w:rFonts w:ascii="Georgia" w:hAnsi="Georgia"/>
          <w:b/>
          <w:bCs/>
          <w:sz w:val="24"/>
          <w:szCs w:val="24"/>
        </w:rPr>
        <w:t>J.P. Morgan Affiliat</w:t>
      </w:r>
      <w:r w:rsidR="00DA12FA">
        <w:rPr>
          <w:rFonts w:ascii="Georgia" w:hAnsi="Georgia"/>
          <w:b/>
          <w:bCs/>
          <w:sz w:val="24"/>
          <w:szCs w:val="24"/>
        </w:rPr>
        <w:t>ion</w:t>
      </w:r>
      <w:r w:rsidR="002A5619" w:rsidRPr="00DA12FA">
        <w:rPr>
          <w:rFonts w:ascii="Georgia" w:hAnsi="Georgia"/>
          <w:b/>
          <w:bCs/>
          <w:sz w:val="24"/>
          <w:szCs w:val="24"/>
        </w:rPr>
        <w:t xml:space="preserve"> with IIF</w:t>
      </w:r>
    </w:p>
    <w:p w14:paraId="7856BC52" w14:textId="56B1259F" w:rsidR="00CA4CD7" w:rsidRDefault="00CA4CD7" w:rsidP="00D56CB4">
      <w:pPr>
        <w:rPr>
          <w:rFonts w:ascii="Georgia" w:hAnsi="Georgia"/>
          <w:sz w:val="24"/>
          <w:szCs w:val="24"/>
        </w:rPr>
      </w:pPr>
    </w:p>
    <w:p w14:paraId="4EEFD418" w14:textId="0C818691" w:rsidR="00311B5A" w:rsidRDefault="003B3E26" w:rsidP="00C026EF">
      <w:pPr>
        <w:spacing w:line="360" w:lineRule="auto"/>
        <w:ind w:firstLine="720"/>
        <w:rPr>
          <w:rFonts w:ascii="Georgia" w:hAnsi="Georgia"/>
          <w:sz w:val="24"/>
          <w:szCs w:val="24"/>
        </w:rPr>
      </w:pPr>
      <w:r>
        <w:rPr>
          <w:rFonts w:ascii="Georgia" w:hAnsi="Georgia"/>
          <w:sz w:val="24"/>
          <w:szCs w:val="24"/>
        </w:rPr>
        <w:t>I</w:t>
      </w:r>
      <w:r w:rsidR="003464C7">
        <w:rPr>
          <w:rFonts w:ascii="Georgia" w:hAnsi="Georgia"/>
          <w:sz w:val="24"/>
          <w:szCs w:val="24"/>
        </w:rPr>
        <w:t xml:space="preserve">n determining whether to grant the exemption </w:t>
      </w:r>
      <w:r>
        <w:rPr>
          <w:rFonts w:ascii="Georgia" w:hAnsi="Georgia"/>
          <w:sz w:val="24"/>
          <w:szCs w:val="24"/>
        </w:rPr>
        <w:t xml:space="preserve">as </w:t>
      </w:r>
      <w:r w:rsidR="003464C7">
        <w:rPr>
          <w:rFonts w:ascii="Georgia" w:hAnsi="Georgia"/>
          <w:sz w:val="24"/>
          <w:szCs w:val="24"/>
        </w:rPr>
        <w:t>requested by IIF</w:t>
      </w:r>
      <w:r>
        <w:rPr>
          <w:rFonts w:ascii="Georgia" w:hAnsi="Georgia"/>
          <w:sz w:val="24"/>
          <w:szCs w:val="24"/>
        </w:rPr>
        <w:t>, it is essential for the Commission to</w:t>
      </w:r>
      <w:r w:rsidR="00C01F6B">
        <w:rPr>
          <w:rFonts w:ascii="Georgia" w:hAnsi="Georgia"/>
          <w:sz w:val="24"/>
          <w:szCs w:val="24"/>
        </w:rPr>
        <w:t xml:space="preserve"> ascertain whether J.P. Morgan Chase &amp; Co. is affiliated with IIF.</w:t>
      </w:r>
      <w:r w:rsidR="00311B5A">
        <w:rPr>
          <w:rFonts w:ascii="Georgia" w:hAnsi="Georgia"/>
          <w:sz w:val="24"/>
          <w:szCs w:val="24"/>
        </w:rPr>
        <w:t xml:space="preserve"> </w:t>
      </w:r>
      <w:r w:rsidR="005F1A4A">
        <w:rPr>
          <w:rFonts w:ascii="Georgia" w:hAnsi="Georgia"/>
          <w:sz w:val="24"/>
          <w:szCs w:val="24"/>
        </w:rPr>
        <w:t xml:space="preserve">The Commission has thus far declined to address this </w:t>
      </w:r>
      <w:r w:rsidR="00BA7004">
        <w:rPr>
          <w:rFonts w:ascii="Georgia" w:hAnsi="Georgia"/>
          <w:sz w:val="24"/>
          <w:szCs w:val="24"/>
        </w:rPr>
        <w:t>affiliation</w:t>
      </w:r>
      <w:r w:rsidR="005F1A4A">
        <w:rPr>
          <w:rFonts w:ascii="Georgia" w:hAnsi="Georgia"/>
          <w:sz w:val="24"/>
          <w:szCs w:val="24"/>
        </w:rPr>
        <w:t xml:space="preserve">, noting </w:t>
      </w:r>
      <w:r w:rsidR="00BA7004">
        <w:rPr>
          <w:rFonts w:ascii="Georgia" w:hAnsi="Georgia"/>
          <w:sz w:val="24"/>
          <w:szCs w:val="24"/>
        </w:rPr>
        <w:t>i</w:t>
      </w:r>
      <w:r w:rsidR="00CC0EFF">
        <w:rPr>
          <w:rFonts w:ascii="Georgia" w:hAnsi="Georgia"/>
          <w:sz w:val="24"/>
          <w:szCs w:val="24"/>
        </w:rPr>
        <w:t xml:space="preserve">n a recent </w:t>
      </w:r>
      <w:r w:rsidR="00311B5A">
        <w:rPr>
          <w:rFonts w:ascii="Georgia" w:hAnsi="Georgia"/>
          <w:sz w:val="24"/>
          <w:szCs w:val="24"/>
        </w:rPr>
        <w:t>Ord</w:t>
      </w:r>
      <w:r w:rsidR="00BA7004">
        <w:rPr>
          <w:rFonts w:ascii="Georgia" w:hAnsi="Georgia"/>
          <w:sz w:val="24"/>
          <w:szCs w:val="24"/>
        </w:rPr>
        <w:t>er that</w:t>
      </w:r>
      <w:r w:rsidR="00311B5A">
        <w:rPr>
          <w:rFonts w:ascii="Georgia" w:hAnsi="Georgia"/>
          <w:sz w:val="24"/>
          <w:szCs w:val="24"/>
        </w:rPr>
        <w:t xml:space="preserve"> </w:t>
      </w:r>
    </w:p>
    <w:p w14:paraId="61A87BCD" w14:textId="7D52C9F4" w:rsidR="00311B5A" w:rsidRPr="00511442" w:rsidRDefault="00C026EF" w:rsidP="00311B5A">
      <w:pPr>
        <w:ind w:left="720"/>
        <w:rPr>
          <w:rFonts w:ascii="Georgia" w:hAnsi="Georgia"/>
          <w:i/>
          <w:iCs/>
          <w:sz w:val="24"/>
          <w:szCs w:val="24"/>
        </w:rPr>
      </w:pPr>
      <w:r>
        <w:rPr>
          <w:rFonts w:ascii="Georgia" w:hAnsi="Georgia"/>
          <w:i/>
          <w:iCs/>
        </w:rPr>
        <w:t xml:space="preserve">. . . </w:t>
      </w:r>
      <w:r w:rsidR="00311B5A" w:rsidRPr="00555E8F">
        <w:rPr>
          <w:rFonts w:ascii="Georgia" w:hAnsi="Georgia"/>
          <w:i/>
          <w:iCs/>
        </w:rPr>
        <w:t>while the Commission made no finding in the March 2020 Order as to whether J.P. Morgan Investment is an affiliate of Sun Jupiter, it is possible this issue could be considered in a future proceeding concerning El Paso’s, Sun Jupiter’s, or any affiliates’ thereof, authority to charge market-based rates.</w:t>
      </w:r>
      <w:r w:rsidR="00311B5A">
        <w:rPr>
          <w:rStyle w:val="FootnoteReference"/>
          <w:rFonts w:ascii="Georgia" w:hAnsi="Georgia"/>
          <w:i/>
          <w:iCs/>
          <w:sz w:val="24"/>
          <w:szCs w:val="24"/>
        </w:rPr>
        <w:footnoteReference w:id="8"/>
      </w:r>
    </w:p>
    <w:p w14:paraId="04EB7C2E" w14:textId="17A25492" w:rsidR="00C01F6B" w:rsidRDefault="00C01F6B" w:rsidP="00D56CB4">
      <w:pPr>
        <w:rPr>
          <w:rFonts w:ascii="Georgia" w:hAnsi="Georgia"/>
          <w:sz w:val="24"/>
          <w:szCs w:val="24"/>
        </w:rPr>
      </w:pPr>
    </w:p>
    <w:p w14:paraId="6CE0FC70" w14:textId="5F7C3893" w:rsidR="00D26EB2" w:rsidRPr="00646580" w:rsidRDefault="00D26EB2" w:rsidP="00D26EB2">
      <w:pPr>
        <w:spacing w:line="360" w:lineRule="auto"/>
        <w:ind w:firstLine="720"/>
        <w:rPr>
          <w:rFonts w:ascii="Georgia" w:hAnsi="Georgia"/>
          <w:sz w:val="24"/>
          <w:szCs w:val="24"/>
        </w:rPr>
      </w:pPr>
      <w:r w:rsidRPr="00646580">
        <w:rPr>
          <w:rFonts w:ascii="Georgia" w:hAnsi="Georgia"/>
          <w:sz w:val="24"/>
          <w:szCs w:val="24"/>
        </w:rPr>
        <w:lastRenderedPageBreak/>
        <w:t xml:space="preserve">The Commission has authority to determine </w:t>
      </w:r>
      <w:r>
        <w:rPr>
          <w:rFonts w:ascii="Georgia" w:hAnsi="Georgia"/>
          <w:sz w:val="24"/>
          <w:szCs w:val="24"/>
        </w:rPr>
        <w:t>whether IIF and J.P. Morgan Chase &amp; Co.</w:t>
      </w:r>
      <w:r w:rsidRPr="00646580">
        <w:rPr>
          <w:rFonts w:ascii="Georgia" w:hAnsi="Georgia"/>
          <w:sz w:val="24"/>
          <w:szCs w:val="24"/>
        </w:rPr>
        <w:t xml:space="preserve"> are affiliates. 18 CFR § 35.36(a)(9)(iii) defines “Affiliate” to include:</w:t>
      </w:r>
    </w:p>
    <w:p w14:paraId="0E4138F2" w14:textId="77777777" w:rsidR="00D26EB2" w:rsidRPr="00753C22" w:rsidRDefault="00D26EB2" w:rsidP="00D26EB2">
      <w:pPr>
        <w:ind w:left="720"/>
        <w:rPr>
          <w:rFonts w:ascii="Georgia" w:hAnsi="Georgia"/>
          <w:i/>
          <w:iCs/>
        </w:rPr>
      </w:pPr>
      <w:r w:rsidRPr="00753C22">
        <w:rPr>
          <w:rFonts w:ascii="Georgia" w:hAnsi="Georgia"/>
          <w:i/>
          <w:iCs/>
        </w:rPr>
        <w:t>Any person or class of persons that the Commission determines, after appropriate notice and opportunity for hearing, to stand in such relation to the specified company that there is liable to be an absence of arm's-length bargaining in transactions between them as to make it necessary or appropriate in the public interest or for the protection of investors or consumers that the person be treated as an affiliate.</w:t>
      </w:r>
    </w:p>
    <w:p w14:paraId="64FD2D36" w14:textId="773250E3" w:rsidR="00951E3E" w:rsidRDefault="003B3E26" w:rsidP="00D56CB4">
      <w:pPr>
        <w:rPr>
          <w:rFonts w:ascii="Georgia" w:hAnsi="Georgia"/>
          <w:sz w:val="24"/>
          <w:szCs w:val="24"/>
        </w:rPr>
      </w:pPr>
      <w:r>
        <w:rPr>
          <w:rFonts w:ascii="Georgia" w:hAnsi="Georgia"/>
          <w:sz w:val="24"/>
          <w:szCs w:val="24"/>
        </w:rPr>
        <w:t xml:space="preserve"> </w:t>
      </w:r>
    </w:p>
    <w:p w14:paraId="57908BEC" w14:textId="1EA77F69" w:rsidR="00833577" w:rsidRDefault="003929B5" w:rsidP="00407DF4">
      <w:pPr>
        <w:spacing w:line="360" w:lineRule="auto"/>
        <w:ind w:firstLine="720"/>
        <w:rPr>
          <w:rFonts w:ascii="Georgia" w:hAnsi="Georgia"/>
          <w:sz w:val="24"/>
          <w:szCs w:val="24"/>
        </w:rPr>
      </w:pPr>
      <w:r>
        <w:rPr>
          <w:rFonts w:ascii="Georgia" w:hAnsi="Georgia"/>
          <w:sz w:val="24"/>
          <w:szCs w:val="24"/>
        </w:rPr>
        <w:t xml:space="preserve">J.P. Morgan Chase &amp; Co. created IIF as an off-the-books private equity division one year after committing to the Federal Reserve that it would not “acquire or operate” power plants. J.P. Morgan submitted a </w:t>
      </w:r>
      <w:r w:rsidRPr="000129DE">
        <w:rPr>
          <w:rFonts w:ascii="Georgia" w:hAnsi="Georgia"/>
          <w:i/>
          <w:iCs/>
          <w:sz w:val="24"/>
          <w:szCs w:val="24"/>
        </w:rPr>
        <w:t>Notice to the Board of Governors of the Federal Reserve System</w:t>
      </w:r>
      <w:r w:rsidRPr="000129DE">
        <w:rPr>
          <w:rFonts w:ascii="Georgia" w:hAnsi="Georgia"/>
          <w:sz w:val="24"/>
          <w:szCs w:val="24"/>
        </w:rPr>
        <w:t xml:space="preserve"> on July 21, 2005</w:t>
      </w:r>
      <w:r>
        <w:rPr>
          <w:rFonts w:ascii="Georgia" w:hAnsi="Georgia"/>
          <w:sz w:val="24"/>
          <w:szCs w:val="24"/>
        </w:rPr>
        <w:t xml:space="preserve">, where </w:t>
      </w:r>
      <w:r w:rsidR="00A83699">
        <w:rPr>
          <w:rFonts w:ascii="Georgia" w:hAnsi="Georgia"/>
          <w:sz w:val="24"/>
          <w:szCs w:val="24"/>
        </w:rPr>
        <w:t>the bank</w:t>
      </w:r>
      <w:r>
        <w:rPr>
          <w:rFonts w:ascii="Georgia" w:hAnsi="Georgia"/>
          <w:sz w:val="24"/>
          <w:szCs w:val="24"/>
        </w:rPr>
        <w:t xml:space="preserve"> explicitly pledged</w:t>
      </w:r>
      <w:r w:rsidR="00A77925">
        <w:rPr>
          <w:rFonts w:ascii="Georgia" w:hAnsi="Georgia"/>
          <w:sz w:val="24"/>
          <w:szCs w:val="24"/>
        </w:rPr>
        <w:t xml:space="preserve"> that</w:t>
      </w:r>
      <w:r>
        <w:rPr>
          <w:rFonts w:ascii="Georgia" w:hAnsi="Georgia"/>
          <w:sz w:val="24"/>
          <w:szCs w:val="24"/>
        </w:rPr>
        <w:t>:</w:t>
      </w:r>
    </w:p>
    <w:p w14:paraId="7BFC41B2" w14:textId="77777777" w:rsidR="003929B5" w:rsidRPr="0084345F" w:rsidRDefault="003929B5" w:rsidP="003929B5">
      <w:pPr>
        <w:ind w:left="720"/>
        <w:rPr>
          <w:rFonts w:ascii="Georgia" w:hAnsi="Georgia"/>
          <w:i/>
          <w:iCs/>
        </w:rPr>
      </w:pPr>
      <w:r w:rsidRPr="003666D2">
        <w:rPr>
          <w:rFonts w:ascii="Georgia" w:hAnsi="Georgia"/>
          <w:i/>
          <w:iCs/>
        </w:rPr>
        <w:t>JPM Chase commits to the Board that it will not acquire or operate facilities in the United States for the extraction, transportation, storage or distribution of commodities.</w:t>
      </w:r>
      <w:r>
        <w:rPr>
          <w:rStyle w:val="FootnoteReference"/>
          <w:rFonts w:ascii="Georgia" w:hAnsi="Georgia"/>
          <w:i/>
          <w:iCs/>
        </w:rPr>
        <w:footnoteReference w:id="9"/>
      </w:r>
    </w:p>
    <w:p w14:paraId="17713C4F" w14:textId="77777777" w:rsidR="003929B5" w:rsidRDefault="003929B5" w:rsidP="003929B5">
      <w:pPr>
        <w:spacing w:line="360" w:lineRule="auto"/>
        <w:ind w:firstLine="720"/>
        <w:rPr>
          <w:rFonts w:ascii="Georgia" w:hAnsi="Georgia"/>
          <w:sz w:val="24"/>
          <w:szCs w:val="24"/>
        </w:rPr>
      </w:pPr>
    </w:p>
    <w:p w14:paraId="2968A905" w14:textId="79065045" w:rsidR="003929B5" w:rsidRDefault="003929B5" w:rsidP="003929B5">
      <w:pPr>
        <w:spacing w:line="360" w:lineRule="auto"/>
        <w:ind w:firstLine="720"/>
        <w:rPr>
          <w:rFonts w:ascii="Georgia" w:hAnsi="Georgia"/>
          <w:sz w:val="24"/>
          <w:szCs w:val="24"/>
        </w:rPr>
      </w:pPr>
      <w:r>
        <w:rPr>
          <w:rFonts w:ascii="Georgia" w:hAnsi="Georgia"/>
          <w:sz w:val="24"/>
          <w:szCs w:val="24"/>
        </w:rPr>
        <w:t>One year after</w:t>
      </w:r>
      <w:r w:rsidR="0045661A">
        <w:rPr>
          <w:rFonts w:ascii="Georgia" w:hAnsi="Georgia"/>
          <w:sz w:val="24"/>
          <w:szCs w:val="24"/>
        </w:rPr>
        <w:t xml:space="preserve"> </w:t>
      </w:r>
      <w:r>
        <w:rPr>
          <w:rFonts w:ascii="Georgia" w:hAnsi="Georgia"/>
          <w:sz w:val="24"/>
          <w:szCs w:val="24"/>
        </w:rPr>
        <w:t xml:space="preserve">this </w:t>
      </w:r>
      <w:r w:rsidR="0045661A">
        <w:rPr>
          <w:rFonts w:ascii="Georgia" w:hAnsi="Georgia"/>
          <w:sz w:val="24"/>
          <w:szCs w:val="24"/>
        </w:rPr>
        <w:t>assurance</w:t>
      </w:r>
      <w:r>
        <w:rPr>
          <w:rFonts w:ascii="Georgia" w:hAnsi="Georgia"/>
          <w:sz w:val="24"/>
          <w:szCs w:val="24"/>
        </w:rPr>
        <w:t xml:space="preserve"> to the Federal Reserve</w:t>
      </w:r>
      <w:r w:rsidR="00407DF4">
        <w:rPr>
          <w:rFonts w:ascii="Georgia" w:hAnsi="Georgia"/>
          <w:sz w:val="24"/>
          <w:szCs w:val="24"/>
        </w:rPr>
        <w:t xml:space="preserve"> Board of Governors</w:t>
      </w:r>
      <w:r>
        <w:rPr>
          <w:rFonts w:ascii="Georgia" w:hAnsi="Georgia"/>
          <w:sz w:val="24"/>
          <w:szCs w:val="24"/>
        </w:rPr>
        <w:t xml:space="preserve">, </w:t>
      </w:r>
      <w:r w:rsidRPr="00E643D6">
        <w:rPr>
          <w:rFonts w:ascii="Georgia" w:hAnsi="Georgia"/>
          <w:sz w:val="24"/>
          <w:szCs w:val="24"/>
        </w:rPr>
        <w:t>J</w:t>
      </w:r>
      <w:r>
        <w:rPr>
          <w:rFonts w:ascii="Georgia" w:hAnsi="Georgia"/>
          <w:sz w:val="24"/>
          <w:szCs w:val="24"/>
        </w:rPr>
        <w:t>.</w:t>
      </w:r>
      <w:r w:rsidRPr="00E643D6">
        <w:rPr>
          <w:rFonts w:ascii="Georgia" w:hAnsi="Georgia"/>
          <w:sz w:val="24"/>
          <w:szCs w:val="24"/>
        </w:rPr>
        <w:t>P</w:t>
      </w:r>
      <w:r>
        <w:rPr>
          <w:rFonts w:ascii="Georgia" w:hAnsi="Georgia"/>
          <w:sz w:val="24"/>
          <w:szCs w:val="24"/>
        </w:rPr>
        <w:t>.</w:t>
      </w:r>
      <w:r w:rsidRPr="00E643D6">
        <w:rPr>
          <w:rFonts w:ascii="Georgia" w:hAnsi="Georgia"/>
          <w:sz w:val="24"/>
          <w:szCs w:val="24"/>
        </w:rPr>
        <w:t xml:space="preserve"> Morgan </w:t>
      </w:r>
      <w:r>
        <w:rPr>
          <w:rFonts w:ascii="Georgia" w:hAnsi="Georgia"/>
          <w:sz w:val="24"/>
          <w:szCs w:val="24"/>
        </w:rPr>
        <w:t xml:space="preserve">Chase &amp; Co. created a new </w:t>
      </w:r>
      <w:r w:rsidRPr="00E643D6">
        <w:rPr>
          <w:rFonts w:ascii="Georgia" w:hAnsi="Georgia"/>
          <w:sz w:val="24"/>
          <w:szCs w:val="24"/>
        </w:rPr>
        <w:t>lightly-regulated private equity arm of the bank’s asset management division</w:t>
      </w:r>
      <w:r>
        <w:rPr>
          <w:rFonts w:ascii="Georgia" w:hAnsi="Georgia"/>
          <w:sz w:val="24"/>
          <w:szCs w:val="24"/>
        </w:rPr>
        <w:t xml:space="preserve"> and legally called it </w:t>
      </w:r>
      <w:r w:rsidRPr="00917721">
        <w:rPr>
          <w:rFonts w:ascii="Georgia" w:hAnsi="Georgia"/>
          <w:i/>
          <w:iCs/>
          <w:sz w:val="24"/>
          <w:szCs w:val="24"/>
        </w:rPr>
        <w:t>J.P. Morgan IIF</w:t>
      </w:r>
      <w:r>
        <w:rPr>
          <w:rFonts w:ascii="Georgia" w:hAnsi="Georgia"/>
          <w:sz w:val="24"/>
          <w:szCs w:val="24"/>
        </w:rPr>
        <w:t>.</w:t>
      </w:r>
      <w:r>
        <w:rPr>
          <w:rStyle w:val="FootnoteReference"/>
          <w:rFonts w:ascii="Georgia" w:hAnsi="Georgia"/>
          <w:sz w:val="24"/>
          <w:szCs w:val="24"/>
        </w:rPr>
        <w:footnoteReference w:id="10"/>
      </w:r>
      <w:r>
        <w:rPr>
          <w:rFonts w:ascii="Georgia" w:hAnsi="Georgia"/>
          <w:sz w:val="24"/>
          <w:szCs w:val="24"/>
        </w:rPr>
        <w:t xml:space="preserve"> J.P. Morgan had financial incentive to self-brand its new private equity arm, as selling securities to institutional investors is far easier when the name on those securities is “J.P. Morgan”.</w:t>
      </w:r>
      <w:r>
        <w:rPr>
          <w:rFonts w:ascii="Cambria" w:hAnsi="Cambria"/>
          <w:sz w:val="24"/>
          <w:szCs w:val="24"/>
        </w:rPr>
        <w:t xml:space="preserve"> </w:t>
      </w:r>
      <w:r>
        <w:rPr>
          <w:rFonts w:ascii="Georgia" w:hAnsi="Georgia"/>
          <w:sz w:val="24"/>
          <w:szCs w:val="24"/>
        </w:rPr>
        <w:t>J.P. Morgan retained its name on IIF’s securities sales through the first ten years of its existence.</w:t>
      </w:r>
      <w:r>
        <w:rPr>
          <w:rStyle w:val="FootnoteReference"/>
          <w:rFonts w:ascii="Georgia" w:hAnsi="Georgia"/>
          <w:sz w:val="24"/>
          <w:szCs w:val="24"/>
        </w:rPr>
        <w:footnoteReference w:id="11"/>
      </w:r>
      <w:r w:rsidRPr="00E643D6">
        <w:rPr>
          <w:rFonts w:ascii="Georgia" w:hAnsi="Georgia"/>
          <w:sz w:val="24"/>
          <w:szCs w:val="24"/>
        </w:rPr>
        <w:t xml:space="preserve"> </w:t>
      </w:r>
      <w:r>
        <w:rPr>
          <w:rFonts w:ascii="Georgia" w:hAnsi="Georgia"/>
          <w:sz w:val="24"/>
          <w:szCs w:val="24"/>
        </w:rPr>
        <w:t>J.P. Morgan’s decision to remove its name from IIF by 2016 did not reflect any diminished management role for the bank, but rather acknowledged that J.P. Morgan had successfully established IIF as an investment vehicle for institutional investors. IIF has delegated sweeping day-to-day authorities to J.P. Morgan.</w:t>
      </w:r>
    </w:p>
    <w:p w14:paraId="25C34D5D" w14:textId="0E5C19C9" w:rsidR="00407DF4" w:rsidRDefault="00407DF4" w:rsidP="00407DF4">
      <w:pPr>
        <w:spacing w:line="360" w:lineRule="auto"/>
        <w:ind w:firstLine="720"/>
        <w:rPr>
          <w:rFonts w:ascii="Georgia" w:hAnsi="Georgia"/>
          <w:sz w:val="24"/>
          <w:szCs w:val="24"/>
        </w:rPr>
      </w:pPr>
      <w:r>
        <w:rPr>
          <w:rFonts w:ascii="Georgia" w:hAnsi="Georgia"/>
          <w:sz w:val="24"/>
          <w:szCs w:val="24"/>
        </w:rPr>
        <w:t xml:space="preserve">IIF’s limited partners are overwhelmingly comprised of </w:t>
      </w:r>
      <w:r w:rsidR="00DC4D28">
        <w:rPr>
          <w:rFonts w:ascii="Georgia" w:hAnsi="Georgia"/>
          <w:sz w:val="24"/>
          <w:szCs w:val="24"/>
        </w:rPr>
        <w:t>institutional</w:t>
      </w:r>
      <w:r w:rsidR="00F1067F">
        <w:rPr>
          <w:rFonts w:ascii="Georgia" w:hAnsi="Georgia"/>
          <w:sz w:val="24"/>
          <w:szCs w:val="24"/>
        </w:rPr>
        <w:t xml:space="preserve"> investors</w:t>
      </w:r>
      <w:r>
        <w:rPr>
          <w:rFonts w:ascii="Georgia" w:hAnsi="Georgia"/>
          <w:sz w:val="24"/>
          <w:szCs w:val="24"/>
        </w:rPr>
        <w:t xml:space="preserve"> outside the United States. Seventy-nine percent of IIF’s equity is raised from foreign sources: 27% from the United Kingdom, 18% Europe (excluding the U.K.), 13% Canada, </w:t>
      </w:r>
      <w:r>
        <w:rPr>
          <w:rFonts w:ascii="Georgia" w:hAnsi="Georgia"/>
          <w:sz w:val="24"/>
          <w:szCs w:val="24"/>
        </w:rPr>
        <w:lastRenderedPageBreak/>
        <w:t>8% Japan, 6% the Middle East, 4% Australia, 2% Asia (excluding Japan) and 1% “other”. Only 21% of IIF’s equity is from the United States.</w:t>
      </w:r>
      <w:r>
        <w:rPr>
          <w:rStyle w:val="FootnoteReference"/>
          <w:rFonts w:ascii="Georgia" w:hAnsi="Georgia"/>
          <w:sz w:val="24"/>
          <w:szCs w:val="24"/>
        </w:rPr>
        <w:footnoteReference w:id="12"/>
      </w:r>
    </w:p>
    <w:p w14:paraId="639A4AF7" w14:textId="77777777" w:rsidR="009D1694" w:rsidRDefault="009D1694" w:rsidP="009D1694">
      <w:pPr>
        <w:spacing w:line="360" w:lineRule="auto"/>
        <w:ind w:firstLine="720"/>
        <w:rPr>
          <w:rFonts w:ascii="Georgia" w:hAnsi="Georgia"/>
          <w:sz w:val="24"/>
          <w:szCs w:val="24"/>
        </w:rPr>
      </w:pPr>
      <w:r w:rsidRPr="00E643D6">
        <w:rPr>
          <w:rFonts w:ascii="Georgia" w:hAnsi="Georgia"/>
          <w:sz w:val="24"/>
          <w:szCs w:val="24"/>
        </w:rPr>
        <w:t>J</w:t>
      </w:r>
      <w:r>
        <w:rPr>
          <w:rFonts w:ascii="Georgia" w:hAnsi="Georgia"/>
          <w:sz w:val="24"/>
          <w:szCs w:val="24"/>
        </w:rPr>
        <w:t>.</w:t>
      </w:r>
      <w:r w:rsidRPr="00E643D6">
        <w:rPr>
          <w:rFonts w:ascii="Georgia" w:hAnsi="Georgia"/>
          <w:sz w:val="24"/>
          <w:szCs w:val="24"/>
        </w:rPr>
        <w:t>P</w:t>
      </w:r>
      <w:r>
        <w:rPr>
          <w:rFonts w:ascii="Georgia" w:hAnsi="Georgia"/>
          <w:sz w:val="24"/>
          <w:szCs w:val="24"/>
        </w:rPr>
        <w:t>.</w:t>
      </w:r>
      <w:r w:rsidRPr="00E643D6">
        <w:rPr>
          <w:rFonts w:ascii="Georgia" w:hAnsi="Georgia"/>
          <w:sz w:val="24"/>
          <w:szCs w:val="24"/>
        </w:rPr>
        <w:t xml:space="preserve"> Morgan</w:t>
      </w:r>
      <w:r>
        <w:rPr>
          <w:rFonts w:ascii="Georgia" w:hAnsi="Georgia"/>
          <w:sz w:val="24"/>
          <w:szCs w:val="24"/>
        </w:rPr>
        <w:t>’s control over IIF is far deeper than just the legacy of naming rights</w:t>
      </w:r>
      <w:r>
        <w:rPr>
          <w:rFonts w:ascii="Cambria" w:hAnsi="Cambria"/>
          <w:sz w:val="24"/>
          <w:szCs w:val="24"/>
        </w:rPr>
        <w:t>—</w:t>
      </w:r>
      <w:r>
        <w:rPr>
          <w:rFonts w:ascii="Georgia" w:hAnsi="Georgia"/>
          <w:sz w:val="24"/>
          <w:szCs w:val="24"/>
        </w:rPr>
        <w:t>J.P. Morgan designed IIF’s</w:t>
      </w:r>
      <w:r w:rsidRPr="00E643D6">
        <w:rPr>
          <w:rFonts w:ascii="Georgia" w:hAnsi="Georgia"/>
          <w:sz w:val="24"/>
          <w:szCs w:val="24"/>
        </w:rPr>
        <w:t xml:space="preserve"> weak corporate controls to maximize the bank’s ability to </w:t>
      </w:r>
      <w:r>
        <w:rPr>
          <w:rFonts w:ascii="Georgia" w:hAnsi="Georgia"/>
          <w:sz w:val="24"/>
          <w:szCs w:val="24"/>
        </w:rPr>
        <w:t>direct</w:t>
      </w:r>
      <w:r w:rsidRPr="00E643D6">
        <w:rPr>
          <w:rFonts w:ascii="Georgia" w:hAnsi="Georgia"/>
          <w:sz w:val="24"/>
          <w:szCs w:val="24"/>
        </w:rPr>
        <w:t xml:space="preserve"> and manage all of IIF</w:t>
      </w:r>
      <w:r>
        <w:rPr>
          <w:rFonts w:ascii="Georgia" w:hAnsi="Georgia"/>
          <w:sz w:val="24"/>
          <w:szCs w:val="24"/>
        </w:rPr>
        <w:t>’s operations and investments. To deflect regulator’s curiosity of upstream control by J.P. Morgan, the bank designed a false “ownership” structure consisting of three term-limited individuals who, in turn, delegate all day-to-day authorities to J.P. Morgan Chase &amp; Co. IIF has previously acknowledged that J.P. Morgan Chase &amp; Co. nominated current IIF “owners,” and can influence the selection of new “owners”.</w:t>
      </w:r>
      <w:r>
        <w:rPr>
          <w:rStyle w:val="FootnoteReference"/>
          <w:rFonts w:ascii="Georgia" w:hAnsi="Georgia"/>
          <w:sz w:val="24"/>
          <w:szCs w:val="24"/>
        </w:rPr>
        <w:footnoteReference w:id="13"/>
      </w:r>
      <w:r>
        <w:rPr>
          <w:rFonts w:ascii="Georgia" w:hAnsi="Georgia"/>
          <w:sz w:val="24"/>
          <w:szCs w:val="24"/>
        </w:rPr>
        <w:t xml:space="preserve"> </w:t>
      </w:r>
    </w:p>
    <w:p w14:paraId="33F5B421" w14:textId="71F0E354" w:rsidR="00531840" w:rsidRDefault="00EB4EA3" w:rsidP="00407DF4">
      <w:pPr>
        <w:spacing w:line="360" w:lineRule="auto"/>
        <w:ind w:firstLine="720"/>
        <w:rPr>
          <w:rFonts w:ascii="Georgia" w:hAnsi="Georgia"/>
          <w:sz w:val="24"/>
          <w:szCs w:val="24"/>
        </w:rPr>
      </w:pPr>
      <w:r>
        <w:rPr>
          <w:rFonts w:ascii="Georgia" w:hAnsi="Georgia"/>
          <w:sz w:val="24"/>
          <w:szCs w:val="24"/>
        </w:rPr>
        <w:t xml:space="preserve">As noted earlier, </w:t>
      </w:r>
      <w:r w:rsidR="009D1694">
        <w:rPr>
          <w:rFonts w:ascii="Georgia" w:hAnsi="Georgia"/>
          <w:sz w:val="24"/>
          <w:szCs w:val="24"/>
        </w:rPr>
        <w:t xml:space="preserve">IIF’s delegation of day-to-day authorities to J.P. Morgan extends to ensuring that J.P. Morgan executives serve on all of the </w:t>
      </w:r>
      <w:r w:rsidR="00CC3E1C">
        <w:rPr>
          <w:rFonts w:ascii="Georgia" w:hAnsi="Georgia"/>
          <w:sz w:val="24"/>
          <w:szCs w:val="24"/>
        </w:rPr>
        <w:t xml:space="preserve">IIF-owned companies’ </w:t>
      </w:r>
      <w:r w:rsidR="009D1694">
        <w:rPr>
          <w:rFonts w:ascii="Georgia" w:hAnsi="Georgia"/>
          <w:sz w:val="24"/>
          <w:szCs w:val="24"/>
        </w:rPr>
        <w:t>board of directors.</w:t>
      </w:r>
    </w:p>
    <w:p w14:paraId="117CD63C" w14:textId="1923F90B" w:rsidR="00531840" w:rsidRDefault="00B76833" w:rsidP="00531840">
      <w:pPr>
        <w:spacing w:line="360" w:lineRule="auto"/>
        <w:ind w:firstLine="720"/>
        <w:rPr>
          <w:rFonts w:ascii="Georgia" w:hAnsi="Georgia"/>
          <w:sz w:val="24"/>
          <w:szCs w:val="24"/>
        </w:rPr>
      </w:pPr>
      <w:r>
        <w:rPr>
          <w:rFonts w:ascii="Georgia" w:hAnsi="Georgia"/>
          <w:sz w:val="24"/>
          <w:szCs w:val="24"/>
        </w:rPr>
        <w:t xml:space="preserve">As part of a Commission determination of affiliation, an important variable is whether authorities granted by IIF to J.P. Morgan Chase &amp; Co include the delegation of voting rights to J.P. Morgan. In order to make the affiliation determination, it is necessary for the Commission to compel the disclosure of all management services agreements, </w:t>
      </w:r>
      <w:r w:rsidRPr="002107AC">
        <w:rPr>
          <w:rFonts w:ascii="Georgia" w:hAnsi="Georgia"/>
          <w:sz w:val="24"/>
          <w:szCs w:val="24"/>
        </w:rPr>
        <w:t>articles of incorporation, articles of</w:t>
      </w:r>
      <w:r>
        <w:rPr>
          <w:rFonts w:ascii="Georgia" w:hAnsi="Georgia"/>
          <w:sz w:val="24"/>
          <w:szCs w:val="24"/>
        </w:rPr>
        <w:t xml:space="preserve"> </w:t>
      </w:r>
      <w:r w:rsidRPr="002107AC">
        <w:rPr>
          <w:rFonts w:ascii="Georgia" w:hAnsi="Georgia"/>
          <w:sz w:val="24"/>
          <w:szCs w:val="24"/>
        </w:rPr>
        <w:t>organization, corporate bylaws, operating</w:t>
      </w:r>
      <w:r>
        <w:rPr>
          <w:rFonts w:ascii="Georgia" w:hAnsi="Georgia"/>
          <w:sz w:val="24"/>
          <w:szCs w:val="24"/>
        </w:rPr>
        <w:t xml:space="preserve"> </w:t>
      </w:r>
      <w:r w:rsidRPr="002107AC">
        <w:rPr>
          <w:rFonts w:ascii="Georgia" w:hAnsi="Georgia"/>
          <w:sz w:val="24"/>
          <w:szCs w:val="24"/>
        </w:rPr>
        <w:t>agreements, certificate of formation,</w:t>
      </w:r>
      <w:r>
        <w:rPr>
          <w:rFonts w:ascii="Georgia" w:hAnsi="Georgia"/>
          <w:sz w:val="24"/>
          <w:szCs w:val="24"/>
        </w:rPr>
        <w:t xml:space="preserve"> </w:t>
      </w:r>
      <w:r w:rsidRPr="002107AC">
        <w:rPr>
          <w:rFonts w:ascii="Georgia" w:hAnsi="Georgia"/>
          <w:sz w:val="24"/>
          <w:szCs w:val="24"/>
        </w:rPr>
        <w:t>corporate charter</w:t>
      </w:r>
      <w:r>
        <w:rPr>
          <w:rFonts w:ascii="Georgia" w:hAnsi="Georgia"/>
          <w:sz w:val="24"/>
          <w:szCs w:val="24"/>
        </w:rPr>
        <w:t>s</w:t>
      </w:r>
      <w:r w:rsidRPr="002107AC">
        <w:rPr>
          <w:rFonts w:ascii="Georgia" w:hAnsi="Georgia"/>
          <w:sz w:val="24"/>
          <w:szCs w:val="24"/>
        </w:rPr>
        <w:t xml:space="preserve"> and shareholder agreements for</w:t>
      </w:r>
      <w:r>
        <w:rPr>
          <w:rFonts w:ascii="Georgia" w:hAnsi="Georgia"/>
          <w:sz w:val="24"/>
          <w:szCs w:val="24"/>
        </w:rPr>
        <w:t xml:space="preserve"> t</w:t>
      </w:r>
      <w:r>
        <w:rPr>
          <w:rFonts w:ascii="Georgia" w:hAnsi="Georgia"/>
          <w:sz w:val="24"/>
          <w:szCs w:val="24"/>
        </w:rPr>
        <w:t>he various</w:t>
      </w:r>
      <w:r>
        <w:rPr>
          <w:rFonts w:ascii="Georgia" w:hAnsi="Georgia"/>
          <w:sz w:val="24"/>
          <w:szCs w:val="24"/>
        </w:rPr>
        <w:t xml:space="preserve"> IIF shell companies</w:t>
      </w:r>
      <w:r>
        <w:rPr>
          <w:rFonts w:ascii="Georgia" w:hAnsi="Georgia"/>
          <w:sz w:val="24"/>
          <w:szCs w:val="24"/>
        </w:rPr>
        <w:t xml:space="preserve"> that are the subject of </w:t>
      </w:r>
      <w:r w:rsidR="00BB25A6">
        <w:rPr>
          <w:rFonts w:ascii="Georgia" w:hAnsi="Georgia"/>
          <w:sz w:val="24"/>
          <w:szCs w:val="24"/>
        </w:rPr>
        <w:t xml:space="preserve">IIF’s petition for exemptive relief. </w:t>
      </w:r>
    </w:p>
    <w:p w14:paraId="0F927148" w14:textId="39A16934" w:rsidR="00824BC2" w:rsidRDefault="00824BC2">
      <w:pPr>
        <w:rPr>
          <w:rFonts w:ascii="Georgia" w:hAnsi="Georgia"/>
          <w:sz w:val="24"/>
          <w:szCs w:val="24"/>
        </w:rPr>
      </w:pPr>
    </w:p>
    <w:p w14:paraId="39077C5F" w14:textId="6F3B220C" w:rsidR="00606D10" w:rsidRDefault="00606D10">
      <w:pPr>
        <w:rPr>
          <w:rFonts w:ascii="Georgia" w:hAnsi="Georgia"/>
          <w:sz w:val="24"/>
          <w:szCs w:val="24"/>
        </w:rPr>
      </w:pPr>
    </w:p>
    <w:p w14:paraId="4A9628E2" w14:textId="65300D3D" w:rsidR="00606D10" w:rsidRDefault="00606D10" w:rsidP="00606D10"/>
    <w:p w14:paraId="7F78B9FE" w14:textId="50D378BB" w:rsidR="00DC0D1E" w:rsidRDefault="00DC0D1E" w:rsidP="00DC0D1E">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Respectfully submitted,</w:t>
      </w:r>
    </w:p>
    <w:p w14:paraId="5BCB790C" w14:textId="27EF9668" w:rsidR="00DC0D1E" w:rsidRDefault="00DC0D1E" w:rsidP="00DC0D1E">
      <w:pPr>
        <w:rPr>
          <w:rFonts w:ascii="Georgia" w:hAnsi="Georgia"/>
          <w:sz w:val="24"/>
          <w:szCs w:val="24"/>
        </w:rPr>
      </w:pPr>
    </w:p>
    <w:p w14:paraId="2D69CD7A" w14:textId="53AE039D" w:rsidR="00DC0D1E" w:rsidRDefault="00DC0D1E" w:rsidP="00DC0D1E">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Tyson Slocum, Energy Program Director</w:t>
      </w:r>
    </w:p>
    <w:p w14:paraId="55CD8ECD" w14:textId="1D0DFA16" w:rsidR="00DC0D1E" w:rsidRDefault="00DC0D1E" w:rsidP="00DC0D1E">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Public Citizen, Inc.</w:t>
      </w:r>
    </w:p>
    <w:p w14:paraId="3C3FD909" w14:textId="31253E6B" w:rsidR="00DC0D1E" w:rsidRDefault="00DC0D1E" w:rsidP="00DC0D1E">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215 Pennsylvania Ave SE</w:t>
      </w:r>
    </w:p>
    <w:p w14:paraId="7CD859DF" w14:textId="4C3C290F" w:rsidR="00DC0D1E" w:rsidRDefault="00DC0D1E" w:rsidP="00DC0D1E">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Washington, DC  20003</w:t>
      </w:r>
    </w:p>
    <w:p w14:paraId="3B000854" w14:textId="635B795B" w:rsidR="00DC0D1E" w:rsidRDefault="00DC0D1E" w:rsidP="00DC0D1E">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(202) 454-5191</w:t>
      </w:r>
    </w:p>
    <w:p w14:paraId="474B7EA3" w14:textId="1E65D117" w:rsidR="00DC0D1E" w:rsidRPr="00DC0D1E" w:rsidRDefault="00DC0D1E" w:rsidP="00DC0D1E">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tslocum@citizen.org</w:t>
      </w:r>
    </w:p>
    <w:p w14:paraId="3509794D" w14:textId="477F5D4F" w:rsidR="00DC0D1E" w:rsidRPr="00DC0D1E" w:rsidRDefault="00DC0D1E" w:rsidP="00DC0D1E">
      <w:pPr>
        <w:rPr>
          <w:rFonts w:ascii="Georgia" w:hAnsi="Georgia"/>
          <w:sz w:val="24"/>
          <w:szCs w:val="24"/>
        </w:rPr>
      </w:pPr>
      <w:r>
        <w:rPr>
          <w:rFonts w:ascii="Georgia" w:hAnsi="Georgia"/>
          <w:sz w:val="24"/>
          <w:szCs w:val="24"/>
        </w:rPr>
        <w:tab/>
      </w:r>
    </w:p>
    <w:sectPr w:rsidR="00DC0D1E" w:rsidRPr="00DC0D1E" w:rsidSect="00644A7C">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84ACD" w14:textId="77777777" w:rsidR="008E0D07" w:rsidRDefault="008E0D07" w:rsidP="005730ED">
      <w:r>
        <w:separator/>
      </w:r>
    </w:p>
  </w:endnote>
  <w:endnote w:type="continuationSeparator" w:id="0">
    <w:p w14:paraId="68A8FF26" w14:textId="77777777" w:rsidR="008E0D07" w:rsidRDefault="008E0D07" w:rsidP="0057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350890"/>
      <w:docPartObj>
        <w:docPartGallery w:val="Page Numbers (Bottom of Page)"/>
        <w:docPartUnique/>
      </w:docPartObj>
    </w:sdtPr>
    <w:sdtEndPr>
      <w:rPr>
        <w:color w:val="7F7F7F" w:themeColor="background1" w:themeShade="7F"/>
        <w:spacing w:val="60"/>
      </w:rPr>
    </w:sdtEndPr>
    <w:sdtContent>
      <w:p w14:paraId="406C7E85" w14:textId="00F507D5" w:rsidR="00BB25A6" w:rsidRDefault="00BB25A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903D76" w14:textId="77777777" w:rsidR="00BB25A6" w:rsidRDefault="00BB2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51031" w14:textId="77777777" w:rsidR="008E0D07" w:rsidRDefault="008E0D07" w:rsidP="005730ED">
      <w:r>
        <w:separator/>
      </w:r>
    </w:p>
  </w:footnote>
  <w:footnote w:type="continuationSeparator" w:id="0">
    <w:p w14:paraId="568EDB44" w14:textId="77777777" w:rsidR="008E0D07" w:rsidRDefault="008E0D07" w:rsidP="005730ED">
      <w:r>
        <w:continuationSeparator/>
      </w:r>
    </w:p>
  </w:footnote>
  <w:footnote w:id="1">
    <w:p w14:paraId="73887875" w14:textId="2C3AB8D5" w:rsidR="005730ED" w:rsidRDefault="005730ED">
      <w:pPr>
        <w:pStyle w:val="FootnoteText"/>
      </w:pPr>
      <w:r>
        <w:rPr>
          <w:rStyle w:val="FootnoteReference"/>
        </w:rPr>
        <w:footnoteRef/>
      </w:r>
      <w:r>
        <w:t xml:space="preserve"> </w:t>
      </w:r>
      <w:r w:rsidRPr="00BC518F">
        <w:rPr>
          <w:rFonts w:ascii="Georgia" w:hAnsi="Georgia"/>
        </w:rPr>
        <w:t>Petition, at page 1.</w:t>
      </w:r>
    </w:p>
  </w:footnote>
  <w:footnote w:id="2">
    <w:p w14:paraId="33BC848F" w14:textId="768646CE" w:rsidR="00BC518F" w:rsidRDefault="00BC518F">
      <w:pPr>
        <w:pStyle w:val="FootnoteText"/>
      </w:pPr>
      <w:r>
        <w:rPr>
          <w:rStyle w:val="FootnoteReference"/>
        </w:rPr>
        <w:footnoteRef/>
      </w:r>
      <w:r>
        <w:t xml:space="preserve"> </w:t>
      </w:r>
      <w:r w:rsidRPr="00BC518F">
        <w:rPr>
          <w:rFonts w:ascii="Georgia" w:hAnsi="Georgia"/>
        </w:rPr>
        <w:t xml:space="preserve">Petition, at page </w:t>
      </w:r>
      <w:r w:rsidR="005C53F2">
        <w:rPr>
          <w:rFonts w:ascii="Georgia" w:hAnsi="Georgia"/>
        </w:rPr>
        <w:t>8</w:t>
      </w:r>
      <w:r w:rsidRPr="00BC518F">
        <w:rPr>
          <w:rFonts w:ascii="Georgia" w:hAnsi="Georgia"/>
        </w:rPr>
        <w:t>.</w:t>
      </w:r>
    </w:p>
  </w:footnote>
  <w:footnote w:id="3">
    <w:p w14:paraId="38F4F290" w14:textId="77777777" w:rsidR="00EF5EDD" w:rsidRPr="00102BC8" w:rsidRDefault="00EF5EDD" w:rsidP="00EF5EDD">
      <w:pPr>
        <w:pStyle w:val="FootnoteText"/>
        <w:rPr>
          <w:rFonts w:ascii="Georgia" w:hAnsi="Georgia"/>
        </w:rPr>
      </w:pPr>
      <w:r>
        <w:rPr>
          <w:rStyle w:val="FootnoteReference"/>
        </w:rPr>
        <w:footnoteRef/>
      </w:r>
      <w:r>
        <w:t xml:space="preserve"> </w:t>
      </w:r>
      <w:hyperlink r:id="rId1" w:history="1">
        <w:r w:rsidRPr="002E0C02">
          <w:rPr>
            <w:rStyle w:val="Hyperlink"/>
            <w:rFonts w:ascii="Georgia" w:hAnsi="Georgia"/>
            <w:color w:val="auto"/>
            <w:u w:val="none"/>
          </w:rPr>
          <w:t>www.citizen.org/about/annual-report/</w:t>
        </w:r>
      </w:hyperlink>
    </w:p>
  </w:footnote>
  <w:footnote w:id="4">
    <w:p w14:paraId="6E4AF040" w14:textId="77777777" w:rsidR="00E0204B" w:rsidRDefault="00E0204B" w:rsidP="00E0204B">
      <w:pPr>
        <w:pStyle w:val="FootnoteText"/>
      </w:pPr>
      <w:r>
        <w:rPr>
          <w:rStyle w:val="FootnoteReference"/>
        </w:rPr>
        <w:footnoteRef/>
      </w:r>
      <w:r>
        <w:t xml:space="preserve"> </w:t>
      </w:r>
      <w:hyperlink r:id="rId2" w:history="1">
        <w:r w:rsidRPr="00893D21">
          <w:rPr>
            <w:rStyle w:val="Hyperlink"/>
            <w:rFonts w:ascii="Georgia" w:hAnsi="Georgia"/>
            <w:color w:val="auto"/>
            <w:u w:val="none"/>
          </w:rPr>
          <w:t>https://ir.epelectric.com/news/news-details/2020/El-Paso-Electric-Announces-Closing-of-Acquisition-by-the-Infrastructure-Investments-Fund/default.aspx</w:t>
        </w:r>
      </w:hyperlink>
    </w:p>
  </w:footnote>
  <w:footnote w:id="5">
    <w:p w14:paraId="4473B08C" w14:textId="77777777" w:rsidR="00E0204B" w:rsidRPr="00297EE5" w:rsidRDefault="00E0204B" w:rsidP="00E0204B">
      <w:pPr>
        <w:pStyle w:val="FootnoteText"/>
      </w:pPr>
      <w:r>
        <w:rPr>
          <w:rStyle w:val="FootnoteReference"/>
        </w:rPr>
        <w:footnoteRef/>
      </w:r>
      <w:r>
        <w:t xml:space="preserve"> </w:t>
      </w:r>
      <w:hyperlink r:id="rId3" w:anchor="directorsboard" w:history="1">
        <w:r w:rsidRPr="00297EE5">
          <w:rPr>
            <w:rStyle w:val="Hyperlink"/>
            <w:rFonts w:ascii="Georgia" w:hAnsi="Georgia"/>
            <w:color w:val="auto"/>
            <w:u w:val="none"/>
          </w:rPr>
          <w:t>www.novatusenergy.com/who-we-are/#directorsboard</w:t>
        </w:r>
      </w:hyperlink>
    </w:p>
  </w:footnote>
  <w:footnote w:id="6">
    <w:p w14:paraId="7618DCE4" w14:textId="77777777" w:rsidR="00E0204B" w:rsidRDefault="00E0204B" w:rsidP="00E0204B">
      <w:pPr>
        <w:pStyle w:val="FootnoteText"/>
      </w:pPr>
      <w:r>
        <w:rPr>
          <w:rStyle w:val="FootnoteReference"/>
        </w:rPr>
        <w:footnoteRef/>
      </w:r>
      <w:r>
        <w:t xml:space="preserve"> </w:t>
      </w:r>
      <w:hyperlink r:id="rId4" w:anchor="board-section" w:history="1">
        <w:r w:rsidRPr="00297EE5">
          <w:rPr>
            <w:rStyle w:val="Hyperlink"/>
            <w:rFonts w:ascii="Georgia" w:hAnsi="Georgia"/>
            <w:color w:val="auto"/>
            <w:u w:val="none"/>
          </w:rPr>
          <w:t>www.southwestgen.com/about-us/#board-section</w:t>
        </w:r>
      </w:hyperlink>
    </w:p>
  </w:footnote>
  <w:footnote w:id="7">
    <w:p w14:paraId="03958B5C" w14:textId="64B77B8B" w:rsidR="002E0C02" w:rsidRDefault="002E0C02">
      <w:pPr>
        <w:pStyle w:val="FootnoteText"/>
      </w:pPr>
      <w:r>
        <w:rPr>
          <w:rStyle w:val="FootnoteReference"/>
        </w:rPr>
        <w:footnoteRef/>
      </w:r>
      <w:r>
        <w:t xml:space="preserve"> </w:t>
      </w:r>
      <w:r w:rsidRPr="002E0C02">
        <w:rPr>
          <w:rFonts w:ascii="Georgia" w:hAnsi="Georgia"/>
        </w:rPr>
        <w:t>See FERC Docket No. EC20-94.</w:t>
      </w:r>
    </w:p>
  </w:footnote>
  <w:footnote w:id="8">
    <w:p w14:paraId="49932A7F" w14:textId="77777777" w:rsidR="00311B5A" w:rsidRDefault="00311B5A" w:rsidP="00311B5A">
      <w:pPr>
        <w:pStyle w:val="FootnoteText"/>
      </w:pPr>
      <w:r>
        <w:rPr>
          <w:rStyle w:val="FootnoteReference"/>
        </w:rPr>
        <w:footnoteRef/>
      </w:r>
      <w:r>
        <w:t xml:space="preserve"> </w:t>
      </w:r>
      <w:r w:rsidRPr="006C4218">
        <w:rPr>
          <w:rFonts w:ascii="Georgia" w:hAnsi="Georgia"/>
        </w:rPr>
        <w:t xml:space="preserve">172 FERC ¶ 61,083, </w:t>
      </w:r>
      <w:r w:rsidRPr="006C4218">
        <w:rPr>
          <w:rFonts w:ascii="Georgia" w:hAnsi="Georgia"/>
          <w:i/>
          <w:iCs/>
        </w:rPr>
        <w:t>Order Accepting Proposed Mitigation And Addressing Arguments Raised on Rehearing</w:t>
      </w:r>
      <w:r w:rsidRPr="006C4218">
        <w:rPr>
          <w:rFonts w:ascii="Georgia" w:hAnsi="Georgia"/>
        </w:rPr>
        <w:t>, Docket EC19-120, Issued July 22, 2020, at Footnote 21.</w:t>
      </w:r>
    </w:p>
  </w:footnote>
  <w:footnote w:id="9">
    <w:p w14:paraId="5C2F53B5" w14:textId="77777777" w:rsidR="003929B5" w:rsidRDefault="003929B5" w:rsidP="003929B5">
      <w:pPr>
        <w:pStyle w:val="FootnoteText"/>
      </w:pPr>
      <w:r>
        <w:rPr>
          <w:rStyle w:val="FootnoteReference"/>
        </w:rPr>
        <w:footnoteRef/>
      </w:r>
      <w:r>
        <w:t xml:space="preserve"> </w:t>
      </w:r>
      <w:r w:rsidRPr="00F30DAD">
        <w:rPr>
          <w:rFonts w:ascii="Georgia" w:hAnsi="Georgia"/>
        </w:rPr>
        <w:t xml:space="preserve">At page 1440, </w:t>
      </w:r>
      <w:hyperlink r:id="rId5" w:history="1">
        <w:r w:rsidRPr="001A3841">
          <w:rPr>
            <w:rStyle w:val="Hyperlink"/>
            <w:rFonts w:ascii="Georgia" w:hAnsi="Georgia"/>
            <w:color w:val="auto"/>
            <w:u w:val="none"/>
          </w:rPr>
          <w:t>www.govinfo.gov/content/pkg/CHRG-113shrg91522/pdf/CHRG-113shrg91522.pdf</w:t>
        </w:r>
      </w:hyperlink>
    </w:p>
  </w:footnote>
  <w:footnote w:id="10">
    <w:p w14:paraId="1EAB3C2B" w14:textId="77777777" w:rsidR="003929B5" w:rsidRDefault="003929B5" w:rsidP="003929B5">
      <w:pPr>
        <w:pStyle w:val="FootnoteText"/>
      </w:pPr>
      <w:r>
        <w:rPr>
          <w:rStyle w:val="FootnoteReference"/>
        </w:rPr>
        <w:footnoteRef/>
      </w:r>
      <w:r>
        <w:t xml:space="preserve"> </w:t>
      </w:r>
      <w:r w:rsidRPr="00DD67E4">
        <w:rPr>
          <w:rFonts w:ascii="Georgia" w:hAnsi="Georgia"/>
        </w:rPr>
        <w:t>www.sec.gov/Archives/edgar/vprr/0606/06064516.pdf</w:t>
      </w:r>
    </w:p>
  </w:footnote>
  <w:footnote w:id="11">
    <w:p w14:paraId="2A30094D" w14:textId="77777777" w:rsidR="003929B5" w:rsidRDefault="003929B5" w:rsidP="003929B5">
      <w:pPr>
        <w:pStyle w:val="FootnoteText"/>
      </w:pPr>
      <w:r>
        <w:rPr>
          <w:rStyle w:val="FootnoteReference"/>
        </w:rPr>
        <w:footnoteRef/>
      </w:r>
      <w:r>
        <w:t xml:space="preserve"> </w:t>
      </w:r>
      <w:hyperlink r:id="rId6" w:history="1">
        <w:r w:rsidRPr="001A3841">
          <w:rPr>
            <w:rStyle w:val="Hyperlink"/>
            <w:rFonts w:ascii="Georgia" w:hAnsi="Georgia"/>
            <w:color w:val="auto"/>
            <w:sz w:val="20"/>
            <w:szCs w:val="20"/>
            <w:u w:val="none"/>
          </w:rPr>
          <w:t>www.sec.gov/Archives/edgar/data/1384002/000114036116050858/xslFormDX01/primary_doc.xml</w:t>
        </w:r>
      </w:hyperlink>
    </w:p>
  </w:footnote>
  <w:footnote w:id="12">
    <w:p w14:paraId="69490AD5" w14:textId="77777777" w:rsidR="00407DF4" w:rsidRDefault="00407DF4" w:rsidP="00407DF4">
      <w:pPr>
        <w:pStyle w:val="FootnoteText"/>
      </w:pPr>
      <w:r>
        <w:rPr>
          <w:rStyle w:val="FootnoteReference"/>
        </w:rPr>
        <w:footnoteRef/>
      </w:r>
      <w:r>
        <w:t xml:space="preserve"> </w:t>
      </w:r>
      <w:r w:rsidRPr="001A3841">
        <w:rPr>
          <w:rFonts w:ascii="Georgia" w:hAnsi="Georgia"/>
        </w:rPr>
        <w:t>U.S. Nuclear Regulatory Commission,</w:t>
      </w:r>
      <w:r>
        <w:t xml:space="preserve"> </w:t>
      </w:r>
      <w:r w:rsidRPr="00792C89">
        <w:rPr>
          <w:rFonts w:ascii="Georgia" w:hAnsi="Georgia"/>
        </w:rPr>
        <w:t xml:space="preserve">July 26, 2020 </w:t>
      </w:r>
      <w:r w:rsidRPr="00792C89">
        <w:rPr>
          <w:rFonts w:ascii="Georgia" w:hAnsi="Georgia"/>
          <w:i/>
          <w:iCs/>
        </w:rPr>
        <w:t>Response to the NRC Request for Additional Information</w:t>
      </w:r>
      <w:r w:rsidRPr="00792C89">
        <w:rPr>
          <w:rFonts w:ascii="Georgia" w:hAnsi="Georgia"/>
        </w:rPr>
        <w:t>, at footnote 7.</w:t>
      </w:r>
    </w:p>
  </w:footnote>
  <w:footnote w:id="13">
    <w:p w14:paraId="38523900" w14:textId="77777777" w:rsidR="009D1694" w:rsidRDefault="009D1694" w:rsidP="009D1694">
      <w:pPr>
        <w:pStyle w:val="FootnoteText"/>
      </w:pPr>
      <w:r>
        <w:rPr>
          <w:rStyle w:val="FootnoteReference"/>
        </w:rPr>
        <w:footnoteRef/>
      </w:r>
      <w:r>
        <w:t xml:space="preserve"> </w:t>
      </w:r>
      <w:r>
        <w:rPr>
          <w:rFonts w:ascii="Georgia" w:hAnsi="Georgia"/>
        </w:rPr>
        <w:t>S</w:t>
      </w:r>
      <w:r w:rsidRPr="009F4AA8">
        <w:rPr>
          <w:rFonts w:ascii="Georgia" w:hAnsi="Georgia"/>
        </w:rPr>
        <w:t xml:space="preserve">ee </w:t>
      </w:r>
      <w:r w:rsidRPr="009F4AA8">
        <w:rPr>
          <w:rFonts w:ascii="Georgia" w:hAnsi="Georgia"/>
          <w:i/>
          <w:iCs/>
        </w:rPr>
        <w:t>Public Citizen Rehearing Request</w:t>
      </w:r>
      <w:r w:rsidRPr="009F4AA8">
        <w:rPr>
          <w:rFonts w:ascii="Georgia" w:hAnsi="Georgia"/>
        </w:rPr>
        <w:t>, Docket No. EC19-120, April 29, 2020, at paragraph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8D9D6" w14:textId="0CC44B01" w:rsidR="007617D9" w:rsidRPr="007617D9" w:rsidRDefault="007617D9" w:rsidP="007617D9">
    <w:pPr>
      <w:pStyle w:val="Header"/>
      <w:jc w:val="center"/>
      <w:rPr>
        <w:rFonts w:ascii="Georgia" w:hAnsi="Georgia"/>
        <w:i/>
        <w:iCs/>
      </w:rPr>
    </w:pPr>
    <w:r w:rsidRPr="007617D9">
      <w:rPr>
        <w:rFonts w:ascii="Georgia" w:hAnsi="Georgia"/>
        <w:i/>
        <w:iCs/>
      </w:rPr>
      <w:t>Protest of Public Citizen • Docket No. EL20-64 • September 11, 2020</w:t>
    </w:r>
  </w:p>
  <w:p w14:paraId="6EA77DD8" w14:textId="77777777" w:rsidR="007617D9" w:rsidRDefault="00761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3A36"/>
    <w:multiLevelType w:val="hybridMultilevel"/>
    <w:tmpl w:val="BA7C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D20B3"/>
    <w:multiLevelType w:val="hybridMultilevel"/>
    <w:tmpl w:val="FFD2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9D"/>
    <w:rsid w:val="000551D2"/>
    <w:rsid w:val="000A18C2"/>
    <w:rsid w:val="000D534C"/>
    <w:rsid w:val="000E15EC"/>
    <w:rsid w:val="00175EF3"/>
    <w:rsid w:val="001A3841"/>
    <w:rsid w:val="001C323C"/>
    <w:rsid w:val="001E25EE"/>
    <w:rsid w:val="001E68F3"/>
    <w:rsid w:val="001E7B21"/>
    <w:rsid w:val="00255A6C"/>
    <w:rsid w:val="00297EE5"/>
    <w:rsid w:val="002A5619"/>
    <w:rsid w:val="002E0C02"/>
    <w:rsid w:val="002E1386"/>
    <w:rsid w:val="002E67A5"/>
    <w:rsid w:val="0030127A"/>
    <w:rsid w:val="00303DBA"/>
    <w:rsid w:val="003075E1"/>
    <w:rsid w:val="00311B5A"/>
    <w:rsid w:val="003464C7"/>
    <w:rsid w:val="003511AC"/>
    <w:rsid w:val="00385A0C"/>
    <w:rsid w:val="003929B5"/>
    <w:rsid w:val="003B0D39"/>
    <w:rsid w:val="003B3E26"/>
    <w:rsid w:val="003D6FB8"/>
    <w:rsid w:val="00407DF4"/>
    <w:rsid w:val="0045661A"/>
    <w:rsid w:val="00482FD4"/>
    <w:rsid w:val="004A0350"/>
    <w:rsid w:val="004F747D"/>
    <w:rsid w:val="00507BD2"/>
    <w:rsid w:val="00531840"/>
    <w:rsid w:val="005730ED"/>
    <w:rsid w:val="005A3276"/>
    <w:rsid w:val="005B7D26"/>
    <w:rsid w:val="005C53F2"/>
    <w:rsid w:val="005D163B"/>
    <w:rsid w:val="005F1A4A"/>
    <w:rsid w:val="00606D10"/>
    <w:rsid w:val="00621842"/>
    <w:rsid w:val="00644A7C"/>
    <w:rsid w:val="00650109"/>
    <w:rsid w:val="00650F21"/>
    <w:rsid w:val="00662EDA"/>
    <w:rsid w:val="00683DE8"/>
    <w:rsid w:val="006D7575"/>
    <w:rsid w:val="006E436A"/>
    <w:rsid w:val="007026F7"/>
    <w:rsid w:val="007047F5"/>
    <w:rsid w:val="00741966"/>
    <w:rsid w:val="00753C22"/>
    <w:rsid w:val="00756C46"/>
    <w:rsid w:val="007617D9"/>
    <w:rsid w:val="00786DE1"/>
    <w:rsid w:val="00787586"/>
    <w:rsid w:val="00792A5C"/>
    <w:rsid w:val="007A3A9D"/>
    <w:rsid w:val="007B76F7"/>
    <w:rsid w:val="007E3DF7"/>
    <w:rsid w:val="008201C9"/>
    <w:rsid w:val="00824BC2"/>
    <w:rsid w:val="00833577"/>
    <w:rsid w:val="008539C8"/>
    <w:rsid w:val="00884A87"/>
    <w:rsid w:val="0088628D"/>
    <w:rsid w:val="00893D21"/>
    <w:rsid w:val="0089759F"/>
    <w:rsid w:val="008E0D07"/>
    <w:rsid w:val="00951E3E"/>
    <w:rsid w:val="00956978"/>
    <w:rsid w:val="009C6202"/>
    <w:rsid w:val="009D1694"/>
    <w:rsid w:val="009D6518"/>
    <w:rsid w:val="00A40332"/>
    <w:rsid w:val="00A77925"/>
    <w:rsid w:val="00A83699"/>
    <w:rsid w:val="00AD2B1C"/>
    <w:rsid w:val="00AD3D75"/>
    <w:rsid w:val="00AE0DCB"/>
    <w:rsid w:val="00AE694A"/>
    <w:rsid w:val="00B34799"/>
    <w:rsid w:val="00B67AB1"/>
    <w:rsid w:val="00B76833"/>
    <w:rsid w:val="00B77108"/>
    <w:rsid w:val="00B82576"/>
    <w:rsid w:val="00BA7004"/>
    <w:rsid w:val="00BB25A6"/>
    <w:rsid w:val="00BC518F"/>
    <w:rsid w:val="00BD5A28"/>
    <w:rsid w:val="00C01F6B"/>
    <w:rsid w:val="00C026EF"/>
    <w:rsid w:val="00CA4CD7"/>
    <w:rsid w:val="00CC0EFF"/>
    <w:rsid w:val="00CC3E1C"/>
    <w:rsid w:val="00CD1852"/>
    <w:rsid w:val="00D2115B"/>
    <w:rsid w:val="00D26EB2"/>
    <w:rsid w:val="00D30B2D"/>
    <w:rsid w:val="00D56CB4"/>
    <w:rsid w:val="00DA12FA"/>
    <w:rsid w:val="00DC0D1E"/>
    <w:rsid w:val="00DC4D28"/>
    <w:rsid w:val="00E0204B"/>
    <w:rsid w:val="00E17CE0"/>
    <w:rsid w:val="00E222CF"/>
    <w:rsid w:val="00E25FB6"/>
    <w:rsid w:val="00E42EDC"/>
    <w:rsid w:val="00E95722"/>
    <w:rsid w:val="00EB4EA3"/>
    <w:rsid w:val="00ED2497"/>
    <w:rsid w:val="00ED3F81"/>
    <w:rsid w:val="00EF363E"/>
    <w:rsid w:val="00EF5EDD"/>
    <w:rsid w:val="00F1067F"/>
    <w:rsid w:val="00F43A1A"/>
    <w:rsid w:val="00F704A0"/>
    <w:rsid w:val="00FC1423"/>
    <w:rsid w:val="00FF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0FCA"/>
  <w15:chartTrackingRefBased/>
  <w15:docId w15:val="{A195661F-1A70-4464-8A18-6D2AB067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1E68F3"/>
    <w:pPr>
      <w:keepLines/>
      <w:widowControl w:val="0"/>
    </w:pPr>
  </w:style>
  <w:style w:type="character" w:customStyle="1" w:styleId="FootnoteTextChar">
    <w:name w:val="Footnote Text Char"/>
    <w:basedOn w:val="DefaultParagraphFont"/>
    <w:link w:val="FootnoteText"/>
    <w:uiPriority w:val="99"/>
    <w:semiHidden/>
    <w:rsid w:val="001E68F3"/>
  </w:style>
  <w:style w:type="character" w:styleId="FootnoteReference">
    <w:name w:val="footnote reference"/>
    <w:basedOn w:val="DefaultParagraphFont"/>
    <w:uiPriority w:val="99"/>
    <w:semiHidden/>
    <w:unhideWhenUsed/>
    <w:rsid w:val="005730ED"/>
    <w:rPr>
      <w:vertAlign w:val="superscript"/>
    </w:rPr>
  </w:style>
  <w:style w:type="character" w:styleId="Hyperlink">
    <w:name w:val="Hyperlink"/>
    <w:basedOn w:val="DefaultParagraphFont"/>
    <w:uiPriority w:val="99"/>
    <w:unhideWhenUsed/>
    <w:rsid w:val="00EF5EDD"/>
    <w:rPr>
      <w:color w:val="0000FF"/>
      <w:u w:val="single"/>
    </w:rPr>
  </w:style>
  <w:style w:type="paragraph" w:styleId="ListParagraph">
    <w:name w:val="List Paragraph"/>
    <w:basedOn w:val="Normal"/>
    <w:uiPriority w:val="34"/>
    <w:qFormat/>
    <w:rsid w:val="00E0204B"/>
    <w:pPr>
      <w:ind w:left="720"/>
      <w:contextualSpacing/>
    </w:pPr>
  </w:style>
  <w:style w:type="paragraph" w:styleId="Header">
    <w:name w:val="header"/>
    <w:basedOn w:val="Normal"/>
    <w:link w:val="HeaderChar"/>
    <w:uiPriority w:val="99"/>
    <w:unhideWhenUsed/>
    <w:rsid w:val="00BB25A6"/>
    <w:pPr>
      <w:tabs>
        <w:tab w:val="center" w:pos="4680"/>
        <w:tab w:val="right" w:pos="9360"/>
      </w:tabs>
    </w:pPr>
  </w:style>
  <w:style w:type="character" w:customStyle="1" w:styleId="HeaderChar">
    <w:name w:val="Header Char"/>
    <w:basedOn w:val="DefaultParagraphFont"/>
    <w:link w:val="Header"/>
    <w:uiPriority w:val="99"/>
    <w:rsid w:val="00BB25A6"/>
  </w:style>
  <w:style w:type="paragraph" w:styleId="Footer">
    <w:name w:val="footer"/>
    <w:basedOn w:val="Normal"/>
    <w:link w:val="FooterChar"/>
    <w:uiPriority w:val="99"/>
    <w:unhideWhenUsed/>
    <w:rsid w:val="00BB25A6"/>
    <w:pPr>
      <w:tabs>
        <w:tab w:val="center" w:pos="4680"/>
        <w:tab w:val="right" w:pos="9360"/>
      </w:tabs>
    </w:pPr>
  </w:style>
  <w:style w:type="character" w:customStyle="1" w:styleId="FooterChar">
    <w:name w:val="Footer Char"/>
    <w:basedOn w:val="DefaultParagraphFont"/>
    <w:link w:val="Footer"/>
    <w:uiPriority w:val="99"/>
    <w:rsid w:val="00BB2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ovatusenergy.com/who-we-are/" TargetMode="External"/><Relationship Id="rId2" Type="http://schemas.openxmlformats.org/officeDocument/2006/relationships/hyperlink" Target="https://ir.epelectric.com/news/news-details/2020/El-Paso-Electric-Announces-Closing-of-Acquisition-by-the-Infrastructure-Investments-Fund/default.aspx" TargetMode="External"/><Relationship Id="rId1" Type="http://schemas.openxmlformats.org/officeDocument/2006/relationships/hyperlink" Target="http://www.citizen.org/about/annual-report/" TargetMode="External"/><Relationship Id="rId6" Type="http://schemas.openxmlformats.org/officeDocument/2006/relationships/hyperlink" Target="http://www.sec.gov/Archives/edgar/data/1384002/000114036116050858/xslFormDX01/primary_doc.xml" TargetMode="External"/><Relationship Id="rId5" Type="http://schemas.openxmlformats.org/officeDocument/2006/relationships/hyperlink" Target="http://www.govinfo.gov/content/pkg/CHRG-113shrg91522/pdf/CHRG-113shrg91522.pdf" TargetMode="External"/><Relationship Id="rId4" Type="http://schemas.openxmlformats.org/officeDocument/2006/relationships/hyperlink" Target="http://www.southwestgen.com/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F1F6-9DC9-4E52-9464-7042960B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5</Pages>
  <Words>1451</Words>
  <Characters>8014</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Slocum</dc:creator>
  <cp:keywords/>
  <dc:description/>
  <cp:lastModifiedBy>Tyson Slocum</cp:lastModifiedBy>
  <cp:revision>113</cp:revision>
  <dcterms:created xsi:type="dcterms:W3CDTF">2020-09-10T19:04:00Z</dcterms:created>
  <dcterms:modified xsi:type="dcterms:W3CDTF">2020-09-11T19:49:00Z</dcterms:modified>
</cp:coreProperties>
</file>