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AA5B" w14:textId="77777777" w:rsidR="0060050A" w:rsidRPr="00AA20AE" w:rsidRDefault="0060050A" w:rsidP="00AA20AE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UNITED STATES OF AMERICA</w:t>
      </w:r>
    </w:p>
    <w:p w14:paraId="2B0556CD" w14:textId="77777777" w:rsidR="0060050A" w:rsidRPr="00AA20AE" w:rsidRDefault="0060050A" w:rsidP="00AA20AE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BEFORE THE</w:t>
      </w:r>
    </w:p>
    <w:p w14:paraId="06DFC5FA" w14:textId="77777777" w:rsidR="0060050A" w:rsidRDefault="0060050A" w:rsidP="00AA20AE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FEDERAL ENERGY REGULATORY COMMISSION</w:t>
      </w:r>
    </w:p>
    <w:p w14:paraId="0E28CF2F" w14:textId="77777777" w:rsidR="00AA20AE" w:rsidRPr="00AA20AE" w:rsidRDefault="00AA20AE" w:rsidP="0060050A">
      <w:pPr>
        <w:rPr>
          <w:rFonts w:ascii="Georgia" w:hAnsi="Georgia"/>
          <w:sz w:val="24"/>
          <w:szCs w:val="24"/>
        </w:rPr>
      </w:pPr>
    </w:p>
    <w:p w14:paraId="67796C31" w14:textId="4EA101A9" w:rsidR="0060050A" w:rsidRPr="00AA20AE" w:rsidRDefault="0060050A" w:rsidP="0060050A">
      <w:pPr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 xml:space="preserve">Mankato Energy Center, LLC </w:t>
      </w:r>
      <w:r w:rsidR="00AA20AE" w:rsidRPr="00AA20AE">
        <w:rPr>
          <w:rFonts w:ascii="Georgia" w:hAnsi="Georgia"/>
          <w:sz w:val="24"/>
          <w:szCs w:val="24"/>
        </w:rPr>
        <w:tab/>
      </w:r>
      <w:r w:rsidR="00AA20AE" w:rsidRPr="00AA20AE">
        <w:rPr>
          <w:rFonts w:ascii="Georgia" w:hAnsi="Georgia"/>
          <w:sz w:val="24"/>
          <w:szCs w:val="24"/>
        </w:rPr>
        <w:tab/>
      </w:r>
      <w:r w:rsidR="00AA20AE" w:rsidRPr="00AA20AE">
        <w:rPr>
          <w:rFonts w:ascii="Georgia" w:hAnsi="Georgia"/>
          <w:sz w:val="24"/>
          <w:szCs w:val="24"/>
        </w:rPr>
        <w:tab/>
      </w:r>
      <w:r w:rsidR="00AA20AE" w:rsidRPr="00AA20AE">
        <w:rPr>
          <w:rFonts w:ascii="Georgia" w:hAnsi="Georgia"/>
          <w:sz w:val="24"/>
          <w:szCs w:val="24"/>
        </w:rPr>
        <w:tab/>
      </w:r>
      <w:r w:rsidR="00AA20AE" w:rsidRPr="00AA20AE">
        <w:rPr>
          <w:rFonts w:ascii="Georgia" w:hAnsi="Georgia"/>
          <w:sz w:val="24"/>
          <w:szCs w:val="24"/>
        </w:rPr>
        <w:tab/>
      </w:r>
      <w:r w:rsidR="00AA20AE"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>Docket No. EL21-36</w:t>
      </w:r>
    </w:p>
    <w:p w14:paraId="264867A0" w14:textId="6CA0D127" w:rsidR="00AA20AE" w:rsidRPr="00AA20AE" w:rsidRDefault="00AA20AE" w:rsidP="0060050A">
      <w:pPr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Mankato Energy Center II, LLC</w:t>
      </w:r>
    </w:p>
    <w:p w14:paraId="6C98A749" w14:textId="77777777" w:rsidR="0060050A" w:rsidRPr="00AA20AE" w:rsidRDefault="0060050A" w:rsidP="0060050A">
      <w:pPr>
        <w:rPr>
          <w:rFonts w:ascii="Georgia" w:hAnsi="Georgia"/>
          <w:sz w:val="24"/>
          <w:szCs w:val="24"/>
        </w:rPr>
      </w:pPr>
    </w:p>
    <w:p w14:paraId="0CCCA622" w14:textId="77777777" w:rsidR="0060050A" w:rsidRPr="00AA20AE" w:rsidRDefault="0060050A" w:rsidP="0060050A">
      <w:pPr>
        <w:rPr>
          <w:rFonts w:ascii="Georgia" w:hAnsi="Georgia"/>
          <w:sz w:val="24"/>
          <w:szCs w:val="24"/>
        </w:rPr>
      </w:pPr>
    </w:p>
    <w:p w14:paraId="68E0267E" w14:textId="7B43FC19" w:rsidR="0009373A" w:rsidRDefault="0009373A" w:rsidP="00AA20AE">
      <w:pPr>
        <w:jc w:val="center"/>
        <w:rPr>
          <w:rFonts w:ascii="Georgia" w:hAnsi="Georgia"/>
          <w:b/>
          <w:bCs/>
          <w:sz w:val="24"/>
          <w:szCs w:val="24"/>
        </w:rPr>
      </w:pPr>
      <w:r w:rsidRPr="00AA20AE">
        <w:rPr>
          <w:rFonts w:ascii="Georgia" w:hAnsi="Georgia"/>
          <w:b/>
          <w:bCs/>
          <w:sz w:val="24"/>
          <w:szCs w:val="24"/>
        </w:rPr>
        <w:t>Motion for Leave to Comment Out of Time and Comment</w:t>
      </w:r>
      <w:r w:rsidR="0037653C">
        <w:rPr>
          <w:rFonts w:ascii="Georgia" w:hAnsi="Georgia"/>
          <w:b/>
          <w:bCs/>
          <w:sz w:val="24"/>
          <w:szCs w:val="24"/>
        </w:rPr>
        <w:t xml:space="preserve"> of Public Citizen</w:t>
      </w:r>
    </w:p>
    <w:p w14:paraId="5DDC1D8F" w14:textId="77777777" w:rsidR="00D5791C" w:rsidRPr="00AA20AE" w:rsidRDefault="00D5791C" w:rsidP="00AA20AE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A318D48" w14:textId="77777777" w:rsidR="0009373A" w:rsidRPr="00AA20AE" w:rsidRDefault="0009373A" w:rsidP="0009373A">
      <w:pPr>
        <w:rPr>
          <w:rFonts w:ascii="Georgia" w:hAnsi="Georgia"/>
          <w:sz w:val="24"/>
          <w:szCs w:val="24"/>
        </w:rPr>
      </w:pPr>
    </w:p>
    <w:p w14:paraId="72227818" w14:textId="02A3A028" w:rsidR="002F1EDF" w:rsidRDefault="00D5791C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 </w:t>
      </w:r>
      <w:r w:rsidR="0009373A" w:rsidRPr="00AA20AE">
        <w:rPr>
          <w:rFonts w:ascii="Georgia" w:hAnsi="Georgia"/>
          <w:sz w:val="24"/>
          <w:szCs w:val="24"/>
        </w:rPr>
        <w:t>18 CFR §§ 385.211 and 385.212</w:t>
      </w:r>
      <w:r>
        <w:rPr>
          <w:rFonts w:ascii="Georgia" w:hAnsi="Georgia"/>
          <w:sz w:val="24"/>
          <w:szCs w:val="24"/>
        </w:rPr>
        <w:t xml:space="preserve">, Public Citizen has good cause to </w:t>
      </w:r>
      <w:r w:rsidR="006870D8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omment out of time</w:t>
      </w:r>
      <w:r w:rsidR="00E30F4A">
        <w:rPr>
          <w:rFonts w:ascii="Georgia" w:hAnsi="Georgia"/>
          <w:sz w:val="24"/>
          <w:szCs w:val="24"/>
        </w:rPr>
        <w:t>, as</w:t>
      </w:r>
      <w:r w:rsidR="00BB3586">
        <w:rPr>
          <w:rFonts w:ascii="Georgia" w:hAnsi="Georgia"/>
          <w:sz w:val="24"/>
          <w:szCs w:val="24"/>
        </w:rPr>
        <w:t xml:space="preserve"> </w:t>
      </w:r>
      <w:r w:rsidR="00DC7555">
        <w:rPr>
          <w:rFonts w:ascii="Georgia" w:hAnsi="Georgia"/>
          <w:sz w:val="24"/>
          <w:szCs w:val="24"/>
        </w:rPr>
        <w:t xml:space="preserve">the Commission </w:t>
      </w:r>
      <w:r w:rsidR="001B5AE9">
        <w:rPr>
          <w:rFonts w:ascii="Georgia" w:hAnsi="Georgia"/>
          <w:sz w:val="24"/>
          <w:szCs w:val="24"/>
        </w:rPr>
        <w:t xml:space="preserve">recently </w:t>
      </w:r>
      <w:r w:rsidR="00DC7555">
        <w:rPr>
          <w:rFonts w:ascii="Georgia" w:hAnsi="Georgia"/>
          <w:sz w:val="24"/>
          <w:szCs w:val="24"/>
        </w:rPr>
        <w:t>a</w:t>
      </w:r>
      <w:r w:rsidR="007E30C0">
        <w:rPr>
          <w:rFonts w:ascii="Georgia" w:hAnsi="Georgia"/>
          <w:sz w:val="24"/>
          <w:szCs w:val="24"/>
        </w:rPr>
        <w:t>uthorized</w:t>
      </w:r>
      <w:r w:rsidR="00BB3586">
        <w:rPr>
          <w:rFonts w:ascii="Georgia" w:hAnsi="Georgia"/>
          <w:sz w:val="24"/>
          <w:szCs w:val="24"/>
        </w:rPr>
        <w:t xml:space="preserve"> IIF</w:t>
      </w:r>
      <w:r w:rsidR="008D4FE9">
        <w:rPr>
          <w:rFonts w:ascii="Georgia" w:hAnsi="Georgia"/>
          <w:sz w:val="24"/>
          <w:szCs w:val="24"/>
        </w:rPr>
        <w:t xml:space="preserve"> Int’l Holding―an </w:t>
      </w:r>
      <w:r w:rsidR="00BB3586">
        <w:rPr>
          <w:rFonts w:ascii="Georgia" w:hAnsi="Georgia"/>
          <w:sz w:val="24"/>
          <w:szCs w:val="24"/>
        </w:rPr>
        <w:t xml:space="preserve">entity under an investment </w:t>
      </w:r>
      <w:r w:rsidR="007E532C">
        <w:rPr>
          <w:rFonts w:ascii="Georgia" w:hAnsi="Georgia"/>
          <w:sz w:val="24"/>
          <w:szCs w:val="24"/>
        </w:rPr>
        <w:t>advisory</w:t>
      </w:r>
      <w:r w:rsidR="00BB3586">
        <w:rPr>
          <w:rFonts w:ascii="Georgia" w:hAnsi="Georgia"/>
          <w:sz w:val="24"/>
          <w:szCs w:val="24"/>
        </w:rPr>
        <w:t xml:space="preserve"> agreement with JP Morgan Chase</w:t>
      </w:r>
      <w:r w:rsidR="008D4FE9">
        <w:rPr>
          <w:rFonts w:ascii="Georgia" w:hAnsi="Georgia"/>
          <w:sz w:val="24"/>
          <w:szCs w:val="24"/>
        </w:rPr>
        <w:t>―</w:t>
      </w:r>
      <w:r w:rsidR="00DC7555">
        <w:rPr>
          <w:rFonts w:ascii="Georgia" w:hAnsi="Georgia"/>
          <w:sz w:val="24"/>
          <w:szCs w:val="24"/>
        </w:rPr>
        <w:t>to acquire a FERC-</w:t>
      </w:r>
      <w:r w:rsidR="007E532C">
        <w:rPr>
          <w:rFonts w:ascii="Georgia" w:hAnsi="Georgia"/>
          <w:sz w:val="24"/>
          <w:szCs w:val="24"/>
        </w:rPr>
        <w:t>jurisdictional</w:t>
      </w:r>
      <w:r w:rsidR="00DC7555">
        <w:rPr>
          <w:rFonts w:ascii="Georgia" w:hAnsi="Georgia"/>
          <w:sz w:val="24"/>
          <w:szCs w:val="24"/>
        </w:rPr>
        <w:t xml:space="preserve"> facility</w:t>
      </w:r>
      <w:r w:rsidR="001B5AE9">
        <w:rPr>
          <w:rFonts w:ascii="Georgia" w:hAnsi="Georgia"/>
          <w:sz w:val="24"/>
          <w:szCs w:val="24"/>
        </w:rPr>
        <w:t xml:space="preserve"> while claiming it is affiliated with </w:t>
      </w:r>
      <w:r w:rsidR="003262F5">
        <w:rPr>
          <w:rFonts w:ascii="Georgia" w:hAnsi="Georgia"/>
          <w:sz w:val="24"/>
          <w:szCs w:val="24"/>
        </w:rPr>
        <w:t xml:space="preserve">neither </w:t>
      </w:r>
      <w:r w:rsidR="001B5AE9">
        <w:rPr>
          <w:rFonts w:ascii="Georgia" w:hAnsi="Georgia"/>
          <w:sz w:val="24"/>
          <w:szCs w:val="24"/>
        </w:rPr>
        <w:t xml:space="preserve">IIF US Holding nor JP Morgan Chase. </w:t>
      </w:r>
      <w:r w:rsidR="00182493">
        <w:rPr>
          <w:rFonts w:ascii="Georgia" w:hAnsi="Georgia"/>
          <w:sz w:val="24"/>
          <w:szCs w:val="24"/>
        </w:rPr>
        <w:t>The Commission must correct its error in two ways.</w:t>
      </w:r>
      <w:r w:rsidR="002F1EDF">
        <w:rPr>
          <w:rFonts w:ascii="Georgia" w:hAnsi="Georgia"/>
          <w:sz w:val="24"/>
          <w:szCs w:val="24"/>
        </w:rPr>
        <w:t xml:space="preserve"> First, th</w:t>
      </w:r>
      <w:r w:rsidR="006870D8">
        <w:rPr>
          <w:rFonts w:ascii="Georgia" w:hAnsi="Georgia"/>
          <w:sz w:val="24"/>
          <w:szCs w:val="24"/>
        </w:rPr>
        <w:t>is</w:t>
      </w:r>
      <w:r w:rsidR="002F1EDF">
        <w:rPr>
          <w:rFonts w:ascii="Georgia" w:hAnsi="Georgia"/>
          <w:sz w:val="24"/>
          <w:szCs w:val="24"/>
        </w:rPr>
        <w:t xml:space="preserve"> investigation</w:t>
      </w:r>
      <w:r w:rsidR="00227ED9">
        <w:rPr>
          <w:rFonts w:ascii="Georgia" w:hAnsi="Georgia"/>
          <w:sz w:val="24"/>
          <w:szCs w:val="24"/>
        </w:rPr>
        <w:t xml:space="preserve"> under Section 206 of the Federal Power Act</w:t>
      </w:r>
      <w:r w:rsidR="006D1EE2">
        <w:rPr>
          <w:rFonts w:ascii="Georgia" w:hAnsi="Georgia"/>
          <w:sz w:val="24"/>
          <w:szCs w:val="24"/>
        </w:rPr>
        <w:t xml:space="preserve"> </w:t>
      </w:r>
      <w:r w:rsidR="00EC0EDB">
        <w:rPr>
          <w:rFonts w:ascii="Georgia" w:hAnsi="Georgia"/>
          <w:sz w:val="24"/>
          <w:szCs w:val="24"/>
        </w:rPr>
        <w:t>must include a determination of</w:t>
      </w:r>
      <w:r w:rsidR="006D1EE2">
        <w:rPr>
          <w:rFonts w:ascii="Georgia" w:hAnsi="Georgia"/>
          <w:sz w:val="24"/>
          <w:szCs w:val="24"/>
        </w:rPr>
        <w:t xml:space="preserve"> affiliation </w:t>
      </w:r>
      <w:r w:rsidR="00F75FC6">
        <w:rPr>
          <w:rFonts w:ascii="Georgia" w:hAnsi="Georgia"/>
          <w:sz w:val="24"/>
          <w:szCs w:val="24"/>
        </w:rPr>
        <w:t xml:space="preserve">between </w:t>
      </w:r>
      <w:r w:rsidR="006D1EE2" w:rsidRPr="00C0191E">
        <w:rPr>
          <w:rFonts w:ascii="Georgia" w:hAnsi="Georgia"/>
          <w:sz w:val="24"/>
          <w:szCs w:val="24"/>
        </w:rPr>
        <w:t>IIF Int’l Holding L.P.</w:t>
      </w:r>
      <w:r w:rsidR="00224A81">
        <w:rPr>
          <w:rFonts w:ascii="Georgia" w:hAnsi="Georgia"/>
          <w:sz w:val="24"/>
          <w:szCs w:val="24"/>
        </w:rPr>
        <w:t xml:space="preserve"> </w:t>
      </w:r>
      <w:r w:rsidR="00EC0EDB">
        <w:rPr>
          <w:rFonts w:ascii="Georgia" w:hAnsi="Georgia"/>
          <w:sz w:val="24"/>
          <w:szCs w:val="24"/>
        </w:rPr>
        <w:t xml:space="preserve">and </w:t>
      </w:r>
      <w:r w:rsidR="00224A81">
        <w:rPr>
          <w:rFonts w:ascii="Georgia" w:hAnsi="Georgia"/>
          <w:sz w:val="24"/>
          <w:szCs w:val="24"/>
        </w:rPr>
        <w:t>JP Morgan Cha</w:t>
      </w:r>
      <w:r w:rsidR="00F75FC6">
        <w:rPr>
          <w:rFonts w:ascii="Georgia" w:hAnsi="Georgia"/>
          <w:sz w:val="24"/>
          <w:szCs w:val="24"/>
        </w:rPr>
        <w:t xml:space="preserve">se. </w:t>
      </w:r>
      <w:r w:rsidR="00AA396B">
        <w:rPr>
          <w:rFonts w:ascii="Georgia" w:hAnsi="Georgia"/>
          <w:sz w:val="24"/>
          <w:szCs w:val="24"/>
        </w:rPr>
        <w:t xml:space="preserve">Second, the Commission must compel the public disclosure of </w:t>
      </w:r>
      <w:r w:rsidR="00FD7300">
        <w:rPr>
          <w:rFonts w:ascii="Georgia" w:hAnsi="Georgia"/>
          <w:sz w:val="24"/>
          <w:szCs w:val="24"/>
        </w:rPr>
        <w:t xml:space="preserve">two relevant documents: </w:t>
      </w:r>
      <w:r w:rsidR="00AA396B">
        <w:rPr>
          <w:rFonts w:ascii="Georgia" w:hAnsi="Georgia"/>
          <w:sz w:val="24"/>
          <w:szCs w:val="24"/>
        </w:rPr>
        <w:t xml:space="preserve">the </w:t>
      </w:r>
      <w:r w:rsidR="00FD7300">
        <w:rPr>
          <w:rFonts w:ascii="Georgia" w:hAnsi="Georgia"/>
          <w:sz w:val="24"/>
          <w:szCs w:val="24"/>
        </w:rPr>
        <w:t xml:space="preserve">investment advisory agreement between JP Morgan and IIF Int’l Holding, and the </w:t>
      </w:r>
      <w:r w:rsidR="000160BA">
        <w:rPr>
          <w:rFonts w:ascii="Georgia" w:hAnsi="Georgia"/>
          <w:sz w:val="24"/>
          <w:szCs w:val="24"/>
        </w:rPr>
        <w:t>a</w:t>
      </w:r>
      <w:r w:rsidR="00AF4543" w:rsidRPr="00AF4543">
        <w:rPr>
          <w:rFonts w:ascii="Georgia" w:hAnsi="Georgia"/>
          <w:sz w:val="24"/>
          <w:szCs w:val="24"/>
        </w:rPr>
        <w:t xml:space="preserve">greement of </w:t>
      </w:r>
      <w:r w:rsidR="000160BA">
        <w:rPr>
          <w:rFonts w:ascii="Georgia" w:hAnsi="Georgia"/>
          <w:sz w:val="24"/>
          <w:szCs w:val="24"/>
        </w:rPr>
        <w:t>l</w:t>
      </w:r>
      <w:r w:rsidR="00AF4543" w:rsidRPr="00AF4543">
        <w:rPr>
          <w:rFonts w:ascii="Georgia" w:hAnsi="Georgia"/>
          <w:sz w:val="24"/>
          <w:szCs w:val="24"/>
        </w:rPr>
        <w:t xml:space="preserve">imited </w:t>
      </w:r>
      <w:r w:rsidR="000160BA">
        <w:rPr>
          <w:rFonts w:ascii="Georgia" w:hAnsi="Georgia"/>
          <w:sz w:val="24"/>
          <w:szCs w:val="24"/>
        </w:rPr>
        <w:t>p</w:t>
      </w:r>
      <w:r w:rsidR="00AF4543" w:rsidRPr="00AF4543">
        <w:rPr>
          <w:rFonts w:ascii="Georgia" w:hAnsi="Georgia"/>
          <w:sz w:val="24"/>
          <w:szCs w:val="24"/>
        </w:rPr>
        <w:t>artnership</w:t>
      </w:r>
      <w:r w:rsidR="00AF4543">
        <w:rPr>
          <w:rFonts w:ascii="Georgia" w:hAnsi="Georgia"/>
          <w:sz w:val="24"/>
          <w:szCs w:val="24"/>
        </w:rPr>
        <w:t xml:space="preserve"> of IIF Int’l Holding. Both documents must be made public, </w:t>
      </w:r>
      <w:r w:rsidR="00CB0E6B" w:rsidRPr="00472BDE">
        <w:rPr>
          <w:rFonts w:ascii="Georgia" w:hAnsi="Georgia"/>
          <w:sz w:val="24"/>
          <w:szCs w:val="24"/>
        </w:rPr>
        <w:t>per 18 CFR § 388.112(e).</w:t>
      </w:r>
    </w:p>
    <w:p w14:paraId="7BF45C22" w14:textId="77777777" w:rsidR="002F1EDF" w:rsidRDefault="002F1EDF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4A43EF87" w14:textId="21BDC8C6" w:rsidR="00763B6F" w:rsidRDefault="00D5791C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3D1870">
        <w:rPr>
          <w:rFonts w:ascii="Georgia" w:hAnsi="Georgia"/>
          <w:sz w:val="24"/>
          <w:szCs w:val="24"/>
        </w:rPr>
        <w:t xml:space="preserve">This proceeding </w:t>
      </w:r>
      <w:r w:rsidR="00422130">
        <w:rPr>
          <w:rFonts w:ascii="Georgia" w:hAnsi="Georgia"/>
          <w:sz w:val="24"/>
          <w:szCs w:val="24"/>
        </w:rPr>
        <w:t>was</w:t>
      </w:r>
      <w:r w:rsidR="003D1870">
        <w:rPr>
          <w:rFonts w:ascii="Georgia" w:hAnsi="Georgia"/>
          <w:sz w:val="24"/>
          <w:szCs w:val="24"/>
        </w:rPr>
        <w:t xml:space="preserve"> initiated by the Commission under Section 206 of the Federal Power Act to determine</w:t>
      </w:r>
      <w:r w:rsidR="008E3663">
        <w:rPr>
          <w:rFonts w:ascii="Georgia" w:hAnsi="Georgia"/>
          <w:sz w:val="24"/>
          <w:szCs w:val="24"/>
        </w:rPr>
        <w:t>―</w:t>
      </w:r>
      <w:r w:rsidR="00914A96">
        <w:rPr>
          <w:rFonts w:ascii="Georgia" w:hAnsi="Georgia"/>
          <w:sz w:val="24"/>
          <w:szCs w:val="24"/>
        </w:rPr>
        <w:t xml:space="preserve">per </w:t>
      </w:r>
      <w:r w:rsidR="00914A96" w:rsidRPr="00372531">
        <w:rPr>
          <w:rFonts w:ascii="Georgia" w:hAnsi="Georgia"/>
          <w:sz w:val="24"/>
          <w:szCs w:val="24"/>
        </w:rPr>
        <w:t>18 CFR § 35.36(a)(9)(</w:t>
      </w:r>
      <w:proofErr w:type="gramStart"/>
      <w:r w:rsidR="00914A96" w:rsidRPr="00372531">
        <w:rPr>
          <w:rFonts w:ascii="Georgia" w:hAnsi="Georgia"/>
          <w:sz w:val="24"/>
          <w:szCs w:val="24"/>
        </w:rPr>
        <w:t>iii)</w:t>
      </w:r>
      <w:r w:rsidR="008E3663">
        <w:rPr>
          <w:rFonts w:ascii="Georgia" w:hAnsi="Georgia"/>
          <w:sz w:val="24"/>
          <w:szCs w:val="24"/>
        </w:rPr>
        <w:t>―</w:t>
      </w:r>
      <w:proofErr w:type="gramEnd"/>
      <w:r w:rsidR="003D1870">
        <w:rPr>
          <w:rFonts w:ascii="Georgia" w:hAnsi="Georgia"/>
          <w:sz w:val="24"/>
          <w:szCs w:val="24"/>
        </w:rPr>
        <w:t xml:space="preserve">whether JP Morgan Chase </w:t>
      </w:r>
      <w:r w:rsidR="00C86502">
        <w:rPr>
          <w:rFonts w:ascii="Georgia" w:hAnsi="Georgia"/>
          <w:sz w:val="24"/>
          <w:szCs w:val="24"/>
        </w:rPr>
        <w:t>is</w:t>
      </w:r>
      <w:r w:rsidR="003D1870">
        <w:rPr>
          <w:rFonts w:ascii="Georgia" w:hAnsi="Georgia"/>
          <w:sz w:val="24"/>
          <w:szCs w:val="24"/>
        </w:rPr>
        <w:t xml:space="preserve"> affiliated with </w:t>
      </w:r>
      <w:r w:rsidR="00914A96">
        <w:rPr>
          <w:rFonts w:ascii="Georgia" w:hAnsi="Georgia"/>
          <w:sz w:val="24"/>
          <w:szCs w:val="24"/>
        </w:rPr>
        <w:t>IIF</w:t>
      </w:r>
      <w:r w:rsidR="00761D65">
        <w:rPr>
          <w:rFonts w:ascii="Georgia" w:hAnsi="Georgia"/>
          <w:sz w:val="24"/>
          <w:szCs w:val="24"/>
        </w:rPr>
        <w:t xml:space="preserve"> and its </w:t>
      </w:r>
      <w:r w:rsidR="00C86502">
        <w:rPr>
          <w:rFonts w:ascii="Georgia" w:hAnsi="Georgia"/>
          <w:sz w:val="24"/>
          <w:szCs w:val="24"/>
        </w:rPr>
        <w:t>associated</w:t>
      </w:r>
      <w:r w:rsidR="009441EC">
        <w:rPr>
          <w:rFonts w:ascii="Georgia" w:hAnsi="Georgia"/>
          <w:sz w:val="24"/>
          <w:szCs w:val="24"/>
        </w:rPr>
        <w:t xml:space="preserve"> companies. IIF is a</w:t>
      </w:r>
      <w:r w:rsidR="003D1870">
        <w:rPr>
          <w:rFonts w:ascii="Georgia" w:hAnsi="Georgia"/>
          <w:sz w:val="24"/>
          <w:szCs w:val="24"/>
        </w:rPr>
        <w:t xml:space="preserve"> </w:t>
      </w:r>
      <w:r w:rsidR="00D34CBA">
        <w:rPr>
          <w:rFonts w:ascii="Georgia" w:hAnsi="Georgia"/>
          <w:sz w:val="24"/>
          <w:szCs w:val="24"/>
        </w:rPr>
        <w:t xml:space="preserve">network of private equity shell companies </w:t>
      </w:r>
      <w:r w:rsidR="00C86502">
        <w:rPr>
          <w:rFonts w:ascii="Georgia" w:hAnsi="Georgia"/>
          <w:sz w:val="24"/>
          <w:szCs w:val="24"/>
        </w:rPr>
        <w:t>created by</w:t>
      </w:r>
      <w:r w:rsidR="00851037">
        <w:rPr>
          <w:rFonts w:ascii="Georgia" w:hAnsi="Georgia"/>
          <w:sz w:val="24"/>
          <w:szCs w:val="24"/>
        </w:rPr>
        <w:t xml:space="preserve"> JP Morgan</w:t>
      </w:r>
      <w:r w:rsidR="00A8323A">
        <w:rPr>
          <w:rFonts w:ascii="Georgia" w:hAnsi="Georgia"/>
          <w:sz w:val="24"/>
          <w:szCs w:val="24"/>
        </w:rPr>
        <w:t xml:space="preserve"> Chase</w:t>
      </w:r>
      <w:r w:rsidR="00914A96">
        <w:rPr>
          <w:rFonts w:ascii="Georgia" w:hAnsi="Georgia"/>
          <w:sz w:val="24"/>
          <w:szCs w:val="24"/>
        </w:rPr>
        <w:t xml:space="preserve"> in 2006</w:t>
      </w:r>
      <w:r w:rsidR="003D1870">
        <w:rPr>
          <w:rFonts w:ascii="Georgia" w:hAnsi="Georgia"/>
          <w:sz w:val="24"/>
          <w:szCs w:val="24"/>
        </w:rPr>
        <w:t>.</w:t>
      </w:r>
      <w:r w:rsidR="005D0B4C">
        <w:rPr>
          <w:rFonts w:ascii="Georgia" w:hAnsi="Georgia"/>
          <w:sz w:val="24"/>
          <w:szCs w:val="24"/>
        </w:rPr>
        <w:t xml:space="preserve"> </w:t>
      </w:r>
    </w:p>
    <w:p w14:paraId="2974E265" w14:textId="109CABE2" w:rsidR="006443BB" w:rsidRDefault="00763B6F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</w:t>
      </w:r>
      <w:r w:rsidR="0000486A">
        <w:rPr>
          <w:rFonts w:ascii="Georgia" w:hAnsi="Georgia"/>
          <w:sz w:val="24"/>
          <w:szCs w:val="24"/>
        </w:rPr>
        <w:t xml:space="preserve">on-public </w:t>
      </w:r>
      <w:r w:rsidR="009441EC" w:rsidRPr="00763B6F">
        <w:rPr>
          <w:rFonts w:ascii="Georgia" w:hAnsi="Georgia"/>
          <w:i/>
          <w:iCs/>
          <w:sz w:val="24"/>
          <w:szCs w:val="24"/>
        </w:rPr>
        <w:t>Investment Advisory Agreement</w:t>
      </w:r>
      <w:r w:rsidR="009441EC">
        <w:rPr>
          <w:rFonts w:ascii="Georgia" w:hAnsi="Georgia"/>
          <w:sz w:val="24"/>
          <w:szCs w:val="24"/>
        </w:rPr>
        <w:t xml:space="preserve"> between IIF </w:t>
      </w:r>
      <w:r w:rsidR="00480AC2">
        <w:rPr>
          <w:rFonts w:ascii="Georgia" w:hAnsi="Georgia"/>
          <w:sz w:val="24"/>
          <w:szCs w:val="24"/>
        </w:rPr>
        <w:t xml:space="preserve">US Holding </w:t>
      </w:r>
      <w:r w:rsidR="009441EC">
        <w:rPr>
          <w:rFonts w:ascii="Georgia" w:hAnsi="Georgia"/>
          <w:sz w:val="24"/>
          <w:szCs w:val="24"/>
        </w:rPr>
        <w:t>and JP Morgan</w:t>
      </w:r>
      <w:r w:rsidR="004A5320">
        <w:rPr>
          <w:rFonts w:ascii="Georgia" w:hAnsi="Georgia"/>
          <w:sz w:val="24"/>
          <w:szCs w:val="24"/>
        </w:rPr>
        <w:t xml:space="preserve">, in addition to </w:t>
      </w:r>
      <w:r w:rsidR="0034468A">
        <w:rPr>
          <w:rFonts w:ascii="Georgia" w:hAnsi="Georgia"/>
          <w:sz w:val="24"/>
          <w:szCs w:val="24"/>
        </w:rPr>
        <w:t>IIF</w:t>
      </w:r>
      <w:r w:rsidR="00480AC2">
        <w:rPr>
          <w:rFonts w:ascii="Georgia" w:hAnsi="Georgia"/>
          <w:sz w:val="24"/>
          <w:szCs w:val="24"/>
        </w:rPr>
        <w:t xml:space="preserve"> US Holding’s</w:t>
      </w:r>
      <w:r w:rsidR="00035C29">
        <w:rPr>
          <w:rFonts w:ascii="Georgia" w:hAnsi="Georgia"/>
          <w:sz w:val="24"/>
          <w:szCs w:val="24"/>
        </w:rPr>
        <w:t xml:space="preserve"> non-public</w:t>
      </w:r>
      <w:r w:rsidR="0034468A">
        <w:rPr>
          <w:rFonts w:ascii="Georgia" w:hAnsi="Georgia"/>
          <w:sz w:val="24"/>
          <w:szCs w:val="24"/>
        </w:rPr>
        <w:t xml:space="preserve"> </w:t>
      </w:r>
      <w:r w:rsidR="0034468A" w:rsidRPr="0034468A">
        <w:rPr>
          <w:rFonts w:ascii="Georgia" w:hAnsi="Georgia"/>
          <w:i/>
          <w:iCs/>
          <w:sz w:val="24"/>
          <w:szCs w:val="24"/>
        </w:rPr>
        <w:t>Agreement of Limited Partnership</w:t>
      </w:r>
      <w:r w:rsidR="00E259E8">
        <w:rPr>
          <w:rFonts w:ascii="Georgia" w:hAnsi="Georgia"/>
          <w:sz w:val="24"/>
          <w:szCs w:val="24"/>
        </w:rPr>
        <w:t>,</w:t>
      </w:r>
      <w:r w:rsidR="0034468A">
        <w:rPr>
          <w:rFonts w:ascii="Georgia" w:hAnsi="Georgia"/>
          <w:sz w:val="24"/>
          <w:szCs w:val="24"/>
        </w:rPr>
        <w:t xml:space="preserve"> </w:t>
      </w:r>
      <w:r w:rsidR="0008429A">
        <w:rPr>
          <w:rFonts w:ascii="Georgia" w:hAnsi="Georgia"/>
          <w:sz w:val="24"/>
          <w:szCs w:val="24"/>
        </w:rPr>
        <w:t xml:space="preserve">detail </w:t>
      </w:r>
      <w:r w:rsidR="00B55E43">
        <w:rPr>
          <w:rFonts w:ascii="Georgia" w:hAnsi="Georgia"/>
          <w:sz w:val="24"/>
          <w:szCs w:val="24"/>
        </w:rPr>
        <w:t>various rights and privileges enjoyed by JP Morgan Chase that demonstrate the bank</w:t>
      </w:r>
      <w:r w:rsidR="00E259E8">
        <w:rPr>
          <w:rFonts w:ascii="Georgia" w:hAnsi="Georgia"/>
          <w:sz w:val="24"/>
          <w:szCs w:val="24"/>
        </w:rPr>
        <w:t>’s affiliation wit</w:t>
      </w:r>
      <w:r w:rsidR="007124E6">
        <w:rPr>
          <w:rFonts w:ascii="Georgia" w:hAnsi="Georgia"/>
          <w:sz w:val="24"/>
          <w:szCs w:val="24"/>
        </w:rPr>
        <w:t>h</w:t>
      </w:r>
      <w:r w:rsidR="00B55E43">
        <w:rPr>
          <w:rFonts w:ascii="Georgia" w:hAnsi="Georgia"/>
          <w:sz w:val="24"/>
          <w:szCs w:val="24"/>
        </w:rPr>
        <w:t xml:space="preserve"> IIF, per </w:t>
      </w:r>
      <w:r w:rsidR="00B55E43" w:rsidRPr="00372531">
        <w:rPr>
          <w:rFonts w:ascii="Georgia" w:hAnsi="Georgia"/>
          <w:sz w:val="24"/>
          <w:szCs w:val="24"/>
        </w:rPr>
        <w:t>18 CFR § 35.36(a)(9)(iii)</w:t>
      </w:r>
      <w:r w:rsidR="00B55E43">
        <w:rPr>
          <w:rFonts w:ascii="Georgia" w:hAnsi="Georgia"/>
          <w:sz w:val="24"/>
          <w:szCs w:val="24"/>
        </w:rPr>
        <w:t>.</w:t>
      </w:r>
    </w:p>
    <w:p w14:paraId="488378D1" w14:textId="3AAB14EC" w:rsidR="00B458C6" w:rsidRDefault="009444CD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65155A">
        <w:rPr>
          <w:rFonts w:ascii="Georgia" w:hAnsi="Georgia"/>
          <w:sz w:val="24"/>
          <w:szCs w:val="24"/>
        </w:rPr>
        <w:t xml:space="preserve">n November 24, </w:t>
      </w:r>
      <w:proofErr w:type="gramStart"/>
      <w:r w:rsidR="0065155A">
        <w:rPr>
          <w:rFonts w:ascii="Georgia" w:hAnsi="Georgia"/>
          <w:sz w:val="24"/>
          <w:szCs w:val="24"/>
        </w:rPr>
        <w:t>2021</w:t>
      </w:r>
      <w:proofErr w:type="gramEnd"/>
      <w:r w:rsidR="0065155A">
        <w:rPr>
          <w:rFonts w:ascii="Georgia" w:hAnsi="Georgia"/>
          <w:sz w:val="24"/>
          <w:szCs w:val="24"/>
        </w:rPr>
        <w:t xml:space="preserve"> </w:t>
      </w:r>
      <w:r w:rsidR="00C0191E" w:rsidRPr="00C0191E">
        <w:rPr>
          <w:rFonts w:ascii="Georgia" w:hAnsi="Georgia"/>
          <w:sz w:val="24"/>
          <w:szCs w:val="24"/>
        </w:rPr>
        <w:t>IIF Int’l Holding L.P.</w:t>
      </w:r>
      <w:r w:rsidR="00035C29">
        <w:rPr>
          <w:rFonts w:ascii="Georgia" w:hAnsi="Georgia"/>
          <w:sz w:val="24"/>
          <w:szCs w:val="24"/>
        </w:rPr>
        <w:t xml:space="preserve"> applied</w:t>
      </w:r>
      <w:r w:rsidR="00AF7796">
        <w:rPr>
          <w:rFonts w:ascii="Georgia" w:hAnsi="Georgia"/>
          <w:sz w:val="24"/>
          <w:szCs w:val="24"/>
        </w:rPr>
        <w:t xml:space="preserve"> under Section 203 of the Federal Power Act to acquire </w:t>
      </w:r>
      <w:r w:rsidR="00075A35">
        <w:rPr>
          <w:rFonts w:ascii="Georgia" w:hAnsi="Georgia"/>
          <w:sz w:val="24"/>
          <w:szCs w:val="24"/>
        </w:rPr>
        <w:t xml:space="preserve">51% of </w:t>
      </w:r>
      <w:r w:rsidR="002B63BA">
        <w:rPr>
          <w:rFonts w:ascii="Georgia" w:hAnsi="Georgia"/>
          <w:sz w:val="24"/>
          <w:szCs w:val="24"/>
        </w:rPr>
        <w:t xml:space="preserve">a </w:t>
      </w:r>
      <w:r w:rsidR="00794889">
        <w:rPr>
          <w:rFonts w:ascii="Georgia" w:hAnsi="Georgia"/>
          <w:sz w:val="24"/>
          <w:szCs w:val="24"/>
        </w:rPr>
        <w:t>FERC-</w:t>
      </w:r>
      <w:r w:rsidR="00075A35">
        <w:rPr>
          <w:rFonts w:ascii="Georgia" w:hAnsi="Georgia"/>
          <w:sz w:val="24"/>
          <w:szCs w:val="24"/>
        </w:rPr>
        <w:t>jurisdictional</w:t>
      </w:r>
      <w:r w:rsidR="00794889">
        <w:rPr>
          <w:rFonts w:ascii="Georgia" w:hAnsi="Georgia"/>
          <w:sz w:val="24"/>
          <w:szCs w:val="24"/>
        </w:rPr>
        <w:t xml:space="preserve"> asset</w:t>
      </w:r>
      <w:r w:rsidR="00646C69">
        <w:rPr>
          <w:rStyle w:val="FootnoteReference"/>
          <w:rFonts w:ascii="Georgia" w:hAnsi="Georgia"/>
          <w:sz w:val="24"/>
          <w:szCs w:val="24"/>
        </w:rPr>
        <w:footnoteReference w:id="1"/>
      </w:r>
      <w:r w:rsidR="00794889">
        <w:rPr>
          <w:rFonts w:ascii="Georgia" w:hAnsi="Georgia"/>
          <w:sz w:val="24"/>
          <w:szCs w:val="24"/>
        </w:rPr>
        <w:t xml:space="preserve">. </w:t>
      </w:r>
      <w:r w:rsidR="00A347B1">
        <w:rPr>
          <w:rFonts w:ascii="Georgia" w:hAnsi="Georgia"/>
          <w:sz w:val="24"/>
          <w:szCs w:val="24"/>
        </w:rPr>
        <w:t xml:space="preserve">In that application, </w:t>
      </w:r>
      <w:r w:rsidR="00A347B1">
        <w:rPr>
          <w:rFonts w:ascii="Georgia" w:hAnsi="Georgia"/>
          <w:sz w:val="24"/>
          <w:szCs w:val="24"/>
        </w:rPr>
        <w:lastRenderedPageBreak/>
        <w:t>counsel for IIF Int’l</w:t>
      </w:r>
      <w:r w:rsidR="00035C29">
        <w:rPr>
          <w:rFonts w:ascii="Georgia" w:hAnsi="Georgia"/>
          <w:sz w:val="24"/>
          <w:szCs w:val="24"/>
        </w:rPr>
        <w:t xml:space="preserve"> </w:t>
      </w:r>
      <w:r w:rsidR="006438FC" w:rsidRPr="00C0191E">
        <w:rPr>
          <w:rFonts w:ascii="Georgia" w:hAnsi="Georgia"/>
          <w:sz w:val="24"/>
          <w:szCs w:val="24"/>
        </w:rPr>
        <w:t>Holding L.P.</w:t>
      </w:r>
      <w:r w:rsidR="00DB6BBC">
        <w:rPr>
          <w:rFonts w:ascii="Georgia" w:hAnsi="Georgia"/>
          <w:sz w:val="24"/>
          <w:szCs w:val="24"/>
        </w:rPr>
        <w:t xml:space="preserve"> made the unsupported claim that</w:t>
      </w:r>
      <w:r w:rsidR="009560DE">
        <w:rPr>
          <w:rFonts w:ascii="Georgia" w:hAnsi="Georgia"/>
          <w:sz w:val="24"/>
          <w:szCs w:val="24"/>
        </w:rPr>
        <w:t xml:space="preserve"> “</w:t>
      </w:r>
      <w:r w:rsidR="009560DE" w:rsidRPr="009560DE">
        <w:rPr>
          <w:rFonts w:ascii="Georgia" w:hAnsi="Georgia"/>
          <w:sz w:val="24"/>
          <w:szCs w:val="24"/>
        </w:rPr>
        <w:t>IIF Int’l and IIF US Holding 2 are not affiliates under the Commission’s regulations.</w:t>
      </w:r>
      <w:r w:rsidR="009560DE">
        <w:rPr>
          <w:rFonts w:ascii="Georgia" w:hAnsi="Georgia"/>
          <w:sz w:val="24"/>
          <w:szCs w:val="24"/>
        </w:rPr>
        <w:t>”</w:t>
      </w:r>
      <w:r w:rsidR="009C553B"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6E3244B6" w14:textId="15F552A1" w:rsidR="00DB6BBC" w:rsidRDefault="00DB6BBC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8C5CB9">
        <w:rPr>
          <w:rFonts w:ascii="Georgia" w:hAnsi="Georgia"/>
          <w:sz w:val="24"/>
          <w:szCs w:val="24"/>
        </w:rPr>
        <w:t xml:space="preserve">Commission’s notice of the </w:t>
      </w:r>
      <w:r>
        <w:rPr>
          <w:rFonts w:ascii="Georgia" w:hAnsi="Georgia"/>
          <w:sz w:val="24"/>
          <w:szCs w:val="24"/>
        </w:rPr>
        <w:t xml:space="preserve">November 24, </w:t>
      </w:r>
      <w:proofErr w:type="gramStart"/>
      <w:r>
        <w:rPr>
          <w:rFonts w:ascii="Georgia" w:hAnsi="Georgia"/>
          <w:sz w:val="24"/>
          <w:szCs w:val="24"/>
        </w:rPr>
        <w:t>2021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E62943">
        <w:rPr>
          <w:rFonts w:ascii="Georgia" w:hAnsi="Georgia"/>
          <w:sz w:val="24"/>
          <w:szCs w:val="24"/>
        </w:rPr>
        <w:t xml:space="preserve">application </w:t>
      </w:r>
      <w:r w:rsidR="008C5CB9">
        <w:rPr>
          <w:rFonts w:ascii="Georgia" w:hAnsi="Georgia"/>
          <w:sz w:val="24"/>
          <w:szCs w:val="24"/>
        </w:rPr>
        <w:t>did not</w:t>
      </w:r>
      <w:r w:rsidR="00735DC8">
        <w:rPr>
          <w:rFonts w:ascii="Georgia" w:hAnsi="Georgia"/>
          <w:sz w:val="24"/>
          <w:szCs w:val="24"/>
        </w:rPr>
        <w:t xml:space="preserve"> include the name IIF, as it </w:t>
      </w:r>
      <w:r w:rsidR="007124E6">
        <w:rPr>
          <w:rFonts w:ascii="Georgia" w:hAnsi="Georgia"/>
          <w:sz w:val="24"/>
          <w:szCs w:val="24"/>
        </w:rPr>
        <w:t>unhelpfully</w:t>
      </w:r>
      <w:r w:rsidR="003B50B9">
        <w:rPr>
          <w:rFonts w:ascii="Georgia" w:hAnsi="Georgia"/>
          <w:sz w:val="24"/>
          <w:szCs w:val="24"/>
        </w:rPr>
        <w:t xml:space="preserve"> </w:t>
      </w:r>
      <w:r w:rsidR="00735DC8">
        <w:rPr>
          <w:rFonts w:ascii="Georgia" w:hAnsi="Georgia"/>
          <w:sz w:val="24"/>
          <w:szCs w:val="24"/>
        </w:rPr>
        <w:t>listed</w:t>
      </w:r>
      <w:r w:rsidR="003B50B9">
        <w:rPr>
          <w:rFonts w:ascii="Georgia" w:hAnsi="Georgia"/>
          <w:sz w:val="24"/>
          <w:szCs w:val="24"/>
        </w:rPr>
        <w:t xml:space="preserve"> </w:t>
      </w:r>
      <w:r w:rsidR="008D3276">
        <w:rPr>
          <w:rFonts w:ascii="Georgia" w:hAnsi="Georgia"/>
          <w:sz w:val="24"/>
          <w:szCs w:val="24"/>
        </w:rPr>
        <w:t xml:space="preserve">only </w:t>
      </w:r>
      <w:r w:rsidR="003B50B9">
        <w:rPr>
          <w:rFonts w:ascii="Georgia" w:hAnsi="Georgia"/>
          <w:sz w:val="24"/>
          <w:szCs w:val="24"/>
        </w:rPr>
        <w:t xml:space="preserve">the name </w:t>
      </w:r>
      <w:r w:rsidR="003B50B9" w:rsidRPr="003B50B9">
        <w:rPr>
          <w:rFonts w:ascii="Georgia" w:hAnsi="Georgia"/>
          <w:sz w:val="24"/>
          <w:szCs w:val="24"/>
        </w:rPr>
        <w:t>Innovative Solar 42, LLC</w:t>
      </w:r>
      <w:r w:rsidR="003B50B9">
        <w:rPr>
          <w:rFonts w:ascii="Georgia" w:hAnsi="Georgia"/>
          <w:sz w:val="24"/>
          <w:szCs w:val="24"/>
        </w:rPr>
        <w:t xml:space="preserve">. </w:t>
      </w:r>
      <w:r w:rsidR="008D3276">
        <w:rPr>
          <w:rFonts w:ascii="Georgia" w:hAnsi="Georgia"/>
          <w:sz w:val="24"/>
          <w:szCs w:val="24"/>
        </w:rPr>
        <w:t>It was therefore</w:t>
      </w:r>
      <w:r w:rsidR="00AC2284">
        <w:rPr>
          <w:rFonts w:ascii="Georgia" w:hAnsi="Georgia"/>
          <w:sz w:val="24"/>
          <w:szCs w:val="24"/>
        </w:rPr>
        <w:t xml:space="preserve"> unintuitive</w:t>
      </w:r>
      <w:r w:rsidR="008D3276">
        <w:rPr>
          <w:rFonts w:ascii="Georgia" w:hAnsi="Georgia"/>
          <w:sz w:val="24"/>
          <w:szCs w:val="24"/>
        </w:rPr>
        <w:t xml:space="preserve"> for intervenors such as Public Citizen to recognize</w:t>
      </w:r>
      <w:r w:rsidR="00A14CD8">
        <w:rPr>
          <w:rFonts w:ascii="Georgia" w:hAnsi="Georgia"/>
          <w:sz w:val="24"/>
          <w:szCs w:val="24"/>
        </w:rPr>
        <w:t xml:space="preserve"> </w:t>
      </w:r>
      <w:r w:rsidR="00BE3A1E">
        <w:rPr>
          <w:rFonts w:ascii="Georgia" w:hAnsi="Georgia"/>
          <w:sz w:val="24"/>
          <w:szCs w:val="24"/>
        </w:rPr>
        <w:t>any relationship between Innovate Solar and an open investigation under Section 206 of the Federal Power Act.</w:t>
      </w:r>
      <w:r w:rsidR="005A273C">
        <w:rPr>
          <w:rFonts w:ascii="Georgia" w:hAnsi="Georgia"/>
          <w:sz w:val="24"/>
          <w:szCs w:val="24"/>
        </w:rPr>
        <w:t xml:space="preserve"> Unsurprisingly</w:t>
      </w:r>
      <w:r w:rsidR="00A14CD8">
        <w:rPr>
          <w:rFonts w:ascii="Georgia" w:hAnsi="Georgia"/>
          <w:sz w:val="24"/>
          <w:szCs w:val="24"/>
        </w:rPr>
        <w:t>, there were no intervenors</w:t>
      </w:r>
      <w:r w:rsidR="00DC3DFE">
        <w:rPr>
          <w:rFonts w:ascii="Georgia" w:hAnsi="Georgia"/>
          <w:sz w:val="24"/>
          <w:szCs w:val="24"/>
        </w:rPr>
        <w:t>.</w:t>
      </w:r>
    </w:p>
    <w:p w14:paraId="339DA96A" w14:textId="24C2D148" w:rsidR="0033710B" w:rsidRDefault="00A14CD8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what </w:t>
      </w:r>
      <w:r w:rsidRPr="00D70C73">
        <w:rPr>
          <w:rFonts w:ascii="Georgia" w:hAnsi="Georgia"/>
          <w:i/>
          <w:iCs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 surprising is that the Commission issued an order </w:t>
      </w:r>
      <w:r w:rsidR="00A06D0E">
        <w:rPr>
          <w:rFonts w:ascii="Georgia" w:hAnsi="Georgia"/>
          <w:sz w:val="24"/>
          <w:szCs w:val="24"/>
        </w:rPr>
        <w:t xml:space="preserve">on January 21, </w:t>
      </w:r>
      <w:proofErr w:type="gramStart"/>
      <w:r w:rsidR="00A06D0E">
        <w:rPr>
          <w:rFonts w:ascii="Georgia" w:hAnsi="Georgia"/>
          <w:sz w:val="24"/>
          <w:szCs w:val="24"/>
        </w:rPr>
        <w:t>2022</w:t>
      </w:r>
      <w:proofErr w:type="gramEnd"/>
      <w:r w:rsidR="00A06D0E">
        <w:rPr>
          <w:rFonts w:ascii="Georgia" w:hAnsi="Georgia"/>
          <w:sz w:val="24"/>
          <w:szCs w:val="24"/>
        </w:rPr>
        <w:t xml:space="preserve"> </w:t>
      </w:r>
      <w:r w:rsidR="009171FD">
        <w:rPr>
          <w:rFonts w:ascii="Georgia" w:hAnsi="Georgia"/>
          <w:sz w:val="24"/>
          <w:szCs w:val="24"/>
        </w:rPr>
        <w:t xml:space="preserve">that </w:t>
      </w:r>
      <w:r w:rsidR="002A2A59">
        <w:rPr>
          <w:rFonts w:ascii="Georgia" w:hAnsi="Georgia"/>
          <w:sz w:val="24"/>
          <w:szCs w:val="24"/>
        </w:rPr>
        <w:t>neither</w:t>
      </w:r>
      <w:r w:rsidR="009171FD">
        <w:rPr>
          <w:rFonts w:ascii="Georgia" w:hAnsi="Georgia"/>
          <w:sz w:val="24"/>
          <w:szCs w:val="24"/>
        </w:rPr>
        <w:t xml:space="preserve"> question</w:t>
      </w:r>
      <w:r w:rsidR="002A2A59">
        <w:rPr>
          <w:rFonts w:ascii="Georgia" w:hAnsi="Georgia"/>
          <w:sz w:val="24"/>
          <w:szCs w:val="24"/>
        </w:rPr>
        <w:t>ed</w:t>
      </w:r>
      <w:r w:rsidR="009171FD">
        <w:rPr>
          <w:rFonts w:ascii="Georgia" w:hAnsi="Georgia"/>
          <w:sz w:val="24"/>
          <w:szCs w:val="24"/>
        </w:rPr>
        <w:t xml:space="preserve"> </w:t>
      </w:r>
      <w:r w:rsidR="002A2A59">
        <w:rPr>
          <w:rFonts w:ascii="Georgia" w:hAnsi="Georgia"/>
          <w:sz w:val="24"/>
          <w:szCs w:val="24"/>
        </w:rPr>
        <w:t>n</w:t>
      </w:r>
      <w:r w:rsidR="009171FD">
        <w:rPr>
          <w:rFonts w:ascii="Georgia" w:hAnsi="Georgia"/>
          <w:sz w:val="24"/>
          <w:szCs w:val="24"/>
        </w:rPr>
        <w:t>or challenge</w:t>
      </w:r>
      <w:r w:rsidR="002A2A59">
        <w:rPr>
          <w:rFonts w:ascii="Georgia" w:hAnsi="Georgia"/>
          <w:sz w:val="24"/>
          <w:szCs w:val="24"/>
        </w:rPr>
        <w:t>d</w:t>
      </w:r>
      <w:r w:rsidR="009171FD">
        <w:rPr>
          <w:rFonts w:ascii="Georgia" w:hAnsi="Georgia"/>
          <w:sz w:val="24"/>
          <w:szCs w:val="24"/>
        </w:rPr>
        <w:t xml:space="preserve"> the </w:t>
      </w:r>
      <w:r w:rsidR="00E33536">
        <w:rPr>
          <w:rFonts w:ascii="Georgia" w:hAnsi="Georgia"/>
          <w:sz w:val="24"/>
          <w:szCs w:val="24"/>
        </w:rPr>
        <w:t>application’s</w:t>
      </w:r>
      <w:r w:rsidR="00192726" w:rsidRPr="00192726">
        <w:rPr>
          <w:rFonts w:ascii="Georgia" w:hAnsi="Georgia"/>
          <w:sz w:val="24"/>
          <w:szCs w:val="24"/>
        </w:rPr>
        <w:t xml:space="preserve"> </w:t>
      </w:r>
      <w:r w:rsidR="00192726">
        <w:rPr>
          <w:rFonts w:ascii="Georgia" w:hAnsi="Georgia"/>
          <w:sz w:val="24"/>
          <w:szCs w:val="24"/>
        </w:rPr>
        <w:t>unsubstantiated</w:t>
      </w:r>
      <w:r w:rsidR="009171FD">
        <w:rPr>
          <w:rFonts w:ascii="Georgia" w:hAnsi="Georgia"/>
          <w:sz w:val="24"/>
          <w:szCs w:val="24"/>
        </w:rPr>
        <w:t xml:space="preserve"> </w:t>
      </w:r>
      <w:r w:rsidR="00E33536">
        <w:rPr>
          <w:rFonts w:ascii="Georgia" w:hAnsi="Georgia"/>
          <w:sz w:val="24"/>
          <w:szCs w:val="24"/>
        </w:rPr>
        <w:t>assertion</w:t>
      </w:r>
      <w:r w:rsidR="009171FD">
        <w:rPr>
          <w:rFonts w:ascii="Georgia" w:hAnsi="Georgia"/>
          <w:sz w:val="24"/>
          <w:szCs w:val="24"/>
        </w:rPr>
        <w:t xml:space="preserve"> that “</w:t>
      </w:r>
      <w:r w:rsidR="009171FD" w:rsidRPr="009560DE">
        <w:rPr>
          <w:rFonts w:ascii="Georgia" w:hAnsi="Georgia"/>
          <w:sz w:val="24"/>
          <w:szCs w:val="24"/>
        </w:rPr>
        <w:t>IIF Int’l and IIF US Holding 2 are not affiliates</w:t>
      </w:r>
      <w:r w:rsidR="009171FD">
        <w:rPr>
          <w:rFonts w:ascii="Georgia" w:hAnsi="Georgia"/>
          <w:sz w:val="24"/>
          <w:szCs w:val="24"/>
        </w:rPr>
        <w:t xml:space="preserve">.” </w:t>
      </w:r>
      <w:r w:rsidR="0033710B">
        <w:rPr>
          <w:rFonts w:ascii="Georgia" w:hAnsi="Georgia"/>
          <w:sz w:val="24"/>
          <w:szCs w:val="24"/>
        </w:rPr>
        <w:t xml:space="preserve">One would </w:t>
      </w:r>
      <w:r w:rsidR="00E17157">
        <w:rPr>
          <w:rFonts w:ascii="Georgia" w:hAnsi="Georgia"/>
          <w:sz w:val="24"/>
          <w:szCs w:val="24"/>
        </w:rPr>
        <w:t>hope</w:t>
      </w:r>
      <w:r w:rsidR="0033710B">
        <w:rPr>
          <w:rFonts w:ascii="Georgia" w:hAnsi="Georgia"/>
          <w:sz w:val="24"/>
          <w:szCs w:val="24"/>
        </w:rPr>
        <w:t xml:space="preserve"> that a federal regulator that initiated an investigation to determine affiliation between IIF and JP Morgan would</w:t>
      </w:r>
      <w:r w:rsidR="00842F02">
        <w:rPr>
          <w:rFonts w:ascii="Georgia" w:hAnsi="Georgia"/>
          <w:sz w:val="24"/>
          <w:szCs w:val="24"/>
        </w:rPr>
        <w:t xml:space="preserve"> </w:t>
      </w:r>
      <w:r w:rsidR="004C31CE">
        <w:rPr>
          <w:rFonts w:ascii="Georgia" w:hAnsi="Georgia"/>
          <w:sz w:val="24"/>
          <w:szCs w:val="24"/>
        </w:rPr>
        <w:t>attempt to verify</w:t>
      </w:r>
      <w:r w:rsidR="0033710B">
        <w:rPr>
          <w:rFonts w:ascii="Georgia" w:hAnsi="Georgia"/>
          <w:sz w:val="24"/>
          <w:szCs w:val="24"/>
        </w:rPr>
        <w:t xml:space="preserve"> the accuracy of </w:t>
      </w:r>
      <w:r w:rsidR="00842F02">
        <w:rPr>
          <w:rFonts w:ascii="Georgia" w:hAnsi="Georgia"/>
          <w:sz w:val="24"/>
          <w:szCs w:val="24"/>
        </w:rPr>
        <w:t>a</w:t>
      </w:r>
      <w:r w:rsidR="0033710B">
        <w:rPr>
          <w:rFonts w:ascii="Georgia" w:hAnsi="Georgia"/>
          <w:sz w:val="24"/>
          <w:szCs w:val="24"/>
        </w:rPr>
        <w:t xml:space="preserve"> claim that “</w:t>
      </w:r>
      <w:r w:rsidR="0033710B" w:rsidRPr="009560DE">
        <w:rPr>
          <w:rFonts w:ascii="Georgia" w:hAnsi="Georgia"/>
          <w:sz w:val="24"/>
          <w:szCs w:val="24"/>
        </w:rPr>
        <w:t>IIF Int’l and IIF US Holding 2 are not affiliates</w:t>
      </w:r>
      <w:r w:rsidR="005874F5">
        <w:rPr>
          <w:rFonts w:ascii="Georgia" w:hAnsi="Georgia"/>
          <w:sz w:val="24"/>
          <w:szCs w:val="24"/>
        </w:rPr>
        <w:t>”</w:t>
      </w:r>
      <w:r w:rsidR="00E17157">
        <w:rPr>
          <w:rFonts w:ascii="Georgia" w:hAnsi="Georgia"/>
          <w:sz w:val="24"/>
          <w:szCs w:val="24"/>
        </w:rPr>
        <w:t xml:space="preserve">, as such a claim is directly related to </w:t>
      </w:r>
      <w:r w:rsidR="0060539D">
        <w:rPr>
          <w:rFonts w:ascii="Georgia" w:hAnsi="Georgia"/>
          <w:sz w:val="24"/>
          <w:szCs w:val="24"/>
        </w:rPr>
        <w:t xml:space="preserve">the 206 </w:t>
      </w:r>
      <w:proofErr w:type="gramStart"/>
      <w:r w:rsidR="0060539D">
        <w:rPr>
          <w:rFonts w:ascii="Georgia" w:hAnsi="Georgia"/>
          <w:sz w:val="24"/>
          <w:szCs w:val="24"/>
        </w:rPr>
        <w:t>investigation</w:t>
      </w:r>
      <w:proofErr w:type="gramEnd"/>
      <w:r w:rsidR="0060539D">
        <w:rPr>
          <w:rFonts w:ascii="Georgia" w:hAnsi="Georgia"/>
          <w:sz w:val="24"/>
          <w:szCs w:val="24"/>
        </w:rPr>
        <w:t>.</w:t>
      </w:r>
      <w:r w:rsidR="00F23FF6">
        <w:rPr>
          <w:rFonts w:ascii="Georgia" w:hAnsi="Georgia"/>
          <w:sz w:val="24"/>
          <w:szCs w:val="24"/>
        </w:rPr>
        <w:t xml:space="preserve"> But the Commission did not.</w:t>
      </w:r>
    </w:p>
    <w:p w14:paraId="3663BC6B" w14:textId="19EE9659" w:rsidR="00A14CD8" w:rsidRDefault="00A03090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C61C0E">
        <w:rPr>
          <w:rFonts w:ascii="Georgia" w:hAnsi="Georgia"/>
          <w:sz w:val="24"/>
          <w:szCs w:val="24"/>
        </w:rPr>
        <w:t xml:space="preserve"> result of the Commission’s </w:t>
      </w:r>
      <w:r w:rsidR="00C61C0E" w:rsidRPr="00C61C0E">
        <w:rPr>
          <w:rFonts w:ascii="Georgia" w:hAnsi="Georgia"/>
          <w:sz w:val="24"/>
          <w:szCs w:val="24"/>
        </w:rPr>
        <w:t>dereliction</w:t>
      </w:r>
      <w:r>
        <w:rPr>
          <w:rFonts w:ascii="Georgia" w:hAnsi="Georgia"/>
          <w:sz w:val="24"/>
          <w:szCs w:val="24"/>
        </w:rPr>
        <w:t xml:space="preserve"> has </w:t>
      </w:r>
      <w:r w:rsidR="00B20581">
        <w:rPr>
          <w:rFonts w:ascii="Georgia" w:hAnsi="Georgia"/>
          <w:sz w:val="24"/>
          <w:szCs w:val="24"/>
        </w:rPr>
        <w:t xml:space="preserve">been a </w:t>
      </w:r>
      <w:r>
        <w:rPr>
          <w:rFonts w:ascii="Georgia" w:hAnsi="Georgia"/>
          <w:sz w:val="24"/>
          <w:szCs w:val="24"/>
        </w:rPr>
        <w:t xml:space="preserve">cascading </w:t>
      </w:r>
      <w:r w:rsidR="003F7E03">
        <w:rPr>
          <w:rFonts w:ascii="Georgia" w:hAnsi="Georgia"/>
          <w:sz w:val="24"/>
          <w:szCs w:val="24"/>
        </w:rPr>
        <w:t>series</w:t>
      </w:r>
      <w:r>
        <w:rPr>
          <w:rFonts w:ascii="Georgia" w:hAnsi="Georgia"/>
          <w:sz w:val="24"/>
          <w:szCs w:val="24"/>
        </w:rPr>
        <w:t xml:space="preserve"> of</w:t>
      </w:r>
      <w:r w:rsidR="00C61C0E">
        <w:rPr>
          <w:rFonts w:ascii="Georgia" w:hAnsi="Georgia"/>
          <w:sz w:val="24"/>
          <w:szCs w:val="24"/>
        </w:rPr>
        <w:t xml:space="preserve"> IIF </w:t>
      </w:r>
      <w:r w:rsidR="003F7E03">
        <w:rPr>
          <w:rFonts w:ascii="Georgia" w:hAnsi="Georgia"/>
          <w:sz w:val="24"/>
          <w:szCs w:val="24"/>
        </w:rPr>
        <w:t xml:space="preserve">filings in other proceedings </w:t>
      </w:r>
      <w:r w:rsidR="003D783D">
        <w:rPr>
          <w:rFonts w:ascii="Georgia" w:hAnsi="Georgia"/>
          <w:sz w:val="24"/>
          <w:szCs w:val="24"/>
        </w:rPr>
        <w:t>waiving off Public Citizen</w:t>
      </w:r>
      <w:r w:rsidR="00066E35">
        <w:rPr>
          <w:rFonts w:ascii="Georgia" w:hAnsi="Georgia"/>
          <w:sz w:val="24"/>
          <w:szCs w:val="24"/>
        </w:rPr>
        <w:t xml:space="preserve"> challenges to </w:t>
      </w:r>
      <w:r w:rsidR="00252C8D">
        <w:rPr>
          <w:rFonts w:ascii="Georgia" w:hAnsi="Georgia"/>
          <w:sz w:val="24"/>
          <w:szCs w:val="24"/>
        </w:rPr>
        <w:t>the affiliation between IIF Int’l and JP Morgan</w:t>
      </w:r>
      <w:r>
        <w:rPr>
          <w:rFonts w:ascii="Georgia" w:hAnsi="Georgia"/>
          <w:sz w:val="24"/>
          <w:szCs w:val="24"/>
        </w:rPr>
        <w:t>.</w:t>
      </w:r>
      <w:r w:rsidR="000B6B8C">
        <w:rPr>
          <w:rStyle w:val="FootnoteReference"/>
          <w:rFonts w:ascii="Georgia" w:hAnsi="Georgia"/>
          <w:sz w:val="24"/>
          <w:szCs w:val="24"/>
        </w:rPr>
        <w:footnoteReference w:id="3"/>
      </w:r>
    </w:p>
    <w:p w14:paraId="5860BAA1" w14:textId="6AC9FC11" w:rsidR="00964FBD" w:rsidRDefault="000B6B8C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the reality of the Commission’s review of otherwise routine filings: if</w:t>
      </w:r>
      <w:r w:rsidR="00C109B5">
        <w:rPr>
          <w:rFonts w:ascii="Georgia" w:hAnsi="Georgia"/>
          <w:sz w:val="24"/>
          <w:szCs w:val="24"/>
        </w:rPr>
        <w:t xml:space="preserve"> </w:t>
      </w:r>
      <w:r w:rsidR="00387A14">
        <w:rPr>
          <w:rFonts w:ascii="Georgia" w:hAnsi="Georgia"/>
          <w:sz w:val="24"/>
          <w:szCs w:val="24"/>
        </w:rPr>
        <w:t>a proceeding features</w:t>
      </w:r>
      <w:r w:rsidR="00C109B5">
        <w:rPr>
          <w:rFonts w:ascii="Georgia" w:hAnsi="Georgia"/>
          <w:sz w:val="24"/>
          <w:szCs w:val="24"/>
        </w:rPr>
        <w:t xml:space="preserve"> no intervenors raising substantive issues</w:t>
      </w:r>
      <w:r w:rsidR="00DE5DBF">
        <w:rPr>
          <w:rFonts w:ascii="Georgia" w:hAnsi="Georgia"/>
          <w:sz w:val="24"/>
          <w:szCs w:val="24"/>
        </w:rPr>
        <w:t xml:space="preserve">, the Commission typically </w:t>
      </w:r>
      <w:r w:rsidR="0098335F">
        <w:rPr>
          <w:rFonts w:ascii="Georgia" w:hAnsi="Georgia"/>
          <w:sz w:val="24"/>
          <w:szCs w:val="24"/>
        </w:rPr>
        <w:t xml:space="preserve">and uncritically </w:t>
      </w:r>
      <w:r w:rsidR="00F46CA6">
        <w:rPr>
          <w:rFonts w:ascii="Georgia" w:hAnsi="Georgia"/>
          <w:sz w:val="24"/>
          <w:szCs w:val="24"/>
        </w:rPr>
        <w:t>regurgitates</w:t>
      </w:r>
      <w:r w:rsidR="00FE1DD9">
        <w:rPr>
          <w:rFonts w:ascii="Georgia" w:hAnsi="Georgia"/>
          <w:sz w:val="24"/>
          <w:szCs w:val="24"/>
        </w:rPr>
        <w:t xml:space="preserve"> whatever </w:t>
      </w:r>
      <w:r w:rsidR="00F46CA6">
        <w:rPr>
          <w:rFonts w:ascii="Georgia" w:hAnsi="Georgia"/>
          <w:sz w:val="24"/>
          <w:szCs w:val="24"/>
        </w:rPr>
        <w:t>narrative</w:t>
      </w:r>
      <w:r w:rsidR="00FE1DD9">
        <w:rPr>
          <w:rFonts w:ascii="Georgia" w:hAnsi="Georgia"/>
          <w:sz w:val="24"/>
          <w:szCs w:val="24"/>
        </w:rPr>
        <w:t xml:space="preserve"> is </w:t>
      </w:r>
      <w:r w:rsidR="00F46CA6">
        <w:rPr>
          <w:rFonts w:ascii="Georgia" w:hAnsi="Georgia"/>
          <w:sz w:val="24"/>
          <w:szCs w:val="24"/>
        </w:rPr>
        <w:t>proffered</w:t>
      </w:r>
      <w:r w:rsidR="00FE1DD9">
        <w:rPr>
          <w:rFonts w:ascii="Georgia" w:hAnsi="Georgia"/>
          <w:sz w:val="24"/>
          <w:szCs w:val="24"/>
        </w:rPr>
        <w:t xml:space="preserve"> by applicants</w:t>
      </w:r>
      <w:r w:rsidR="0098335F">
        <w:rPr>
          <w:rFonts w:ascii="Georgia" w:hAnsi="Georgia"/>
          <w:sz w:val="24"/>
          <w:szCs w:val="24"/>
        </w:rPr>
        <w:t>.</w:t>
      </w:r>
      <w:r w:rsidR="00965AE1">
        <w:rPr>
          <w:rFonts w:ascii="Georgia" w:hAnsi="Georgia"/>
          <w:sz w:val="24"/>
          <w:szCs w:val="24"/>
        </w:rPr>
        <w:t xml:space="preserve"> </w:t>
      </w:r>
      <w:r w:rsidR="00F46CA6">
        <w:rPr>
          <w:rFonts w:ascii="Georgia" w:hAnsi="Georgia"/>
          <w:sz w:val="24"/>
          <w:szCs w:val="24"/>
        </w:rPr>
        <w:t>I</w:t>
      </w:r>
      <w:r w:rsidR="00835F30">
        <w:rPr>
          <w:rFonts w:ascii="Georgia" w:hAnsi="Georgia"/>
          <w:sz w:val="24"/>
          <w:szCs w:val="24"/>
        </w:rPr>
        <w:t xml:space="preserve">ntervenors like Public Citizen </w:t>
      </w:r>
      <w:r w:rsidR="00910128">
        <w:rPr>
          <w:rFonts w:ascii="Georgia" w:hAnsi="Georgia"/>
          <w:sz w:val="24"/>
          <w:szCs w:val="24"/>
        </w:rPr>
        <w:t>therefore serve an essential</w:t>
      </w:r>
      <w:r w:rsidR="00835F30">
        <w:rPr>
          <w:rFonts w:ascii="Georgia" w:hAnsi="Georgia"/>
          <w:sz w:val="24"/>
          <w:szCs w:val="24"/>
        </w:rPr>
        <w:t xml:space="preserve"> role to assist the Commission </w:t>
      </w:r>
      <w:r w:rsidR="0064127B">
        <w:rPr>
          <w:rFonts w:ascii="Georgia" w:hAnsi="Georgia"/>
          <w:sz w:val="24"/>
          <w:szCs w:val="24"/>
        </w:rPr>
        <w:t>in</w:t>
      </w:r>
      <w:r w:rsidR="003F7D58">
        <w:rPr>
          <w:rFonts w:ascii="Georgia" w:hAnsi="Georgia"/>
          <w:sz w:val="24"/>
          <w:szCs w:val="24"/>
        </w:rPr>
        <w:t xml:space="preserve"> ensur</w:t>
      </w:r>
      <w:r w:rsidR="0064127B">
        <w:rPr>
          <w:rFonts w:ascii="Georgia" w:hAnsi="Georgia"/>
          <w:sz w:val="24"/>
          <w:szCs w:val="24"/>
        </w:rPr>
        <w:t>ing</w:t>
      </w:r>
      <w:r w:rsidR="003F7D58">
        <w:rPr>
          <w:rFonts w:ascii="Georgia" w:hAnsi="Georgia"/>
          <w:sz w:val="24"/>
          <w:szCs w:val="24"/>
        </w:rPr>
        <w:t xml:space="preserve"> that the record is factual</w:t>
      </w:r>
      <w:r w:rsidR="00753900">
        <w:rPr>
          <w:rFonts w:ascii="Georgia" w:hAnsi="Georgia"/>
          <w:sz w:val="24"/>
          <w:szCs w:val="24"/>
        </w:rPr>
        <w:t xml:space="preserve"> and accurate</w:t>
      </w:r>
      <w:r w:rsidR="003F7D58">
        <w:rPr>
          <w:rFonts w:ascii="Georgia" w:hAnsi="Georgia"/>
          <w:sz w:val="24"/>
          <w:szCs w:val="24"/>
        </w:rPr>
        <w:t>.</w:t>
      </w:r>
      <w:r w:rsidR="00F94317">
        <w:rPr>
          <w:rStyle w:val="FootnoteReference"/>
          <w:rFonts w:ascii="Georgia" w:hAnsi="Georgia"/>
          <w:sz w:val="24"/>
          <w:szCs w:val="24"/>
        </w:rPr>
        <w:footnoteReference w:id="4"/>
      </w:r>
      <w:r w:rsidR="003F7D58">
        <w:rPr>
          <w:rFonts w:ascii="Georgia" w:hAnsi="Georgia"/>
          <w:sz w:val="24"/>
          <w:szCs w:val="24"/>
        </w:rPr>
        <w:t xml:space="preserve"> </w:t>
      </w:r>
    </w:p>
    <w:p w14:paraId="1FBCF1FC" w14:textId="3BC04B8D" w:rsidR="000B6B8C" w:rsidRDefault="00964FBD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3B7050">
        <w:rPr>
          <w:rFonts w:ascii="Georgia" w:hAnsi="Georgia"/>
          <w:sz w:val="24"/>
          <w:szCs w:val="24"/>
        </w:rPr>
        <w:t xml:space="preserve">t is </w:t>
      </w:r>
      <w:r>
        <w:rPr>
          <w:rFonts w:ascii="Georgia" w:hAnsi="Georgia"/>
          <w:sz w:val="24"/>
          <w:szCs w:val="24"/>
        </w:rPr>
        <w:t xml:space="preserve">problematic that the </w:t>
      </w:r>
      <w:r w:rsidR="003B7050">
        <w:rPr>
          <w:rFonts w:ascii="Georgia" w:hAnsi="Georgia"/>
          <w:sz w:val="24"/>
          <w:szCs w:val="24"/>
        </w:rPr>
        <w:t>Commission fail</w:t>
      </w:r>
      <w:r w:rsidR="0064127B">
        <w:rPr>
          <w:rFonts w:ascii="Georgia" w:hAnsi="Georgia"/>
          <w:sz w:val="24"/>
          <w:szCs w:val="24"/>
        </w:rPr>
        <w:t>ed</w:t>
      </w:r>
      <w:r w:rsidR="003B7050">
        <w:rPr>
          <w:rFonts w:ascii="Georgia" w:hAnsi="Georgia"/>
          <w:sz w:val="24"/>
          <w:szCs w:val="24"/>
        </w:rPr>
        <w:t xml:space="preserve"> to recognize that an unopposed proceeding involving IIF </w:t>
      </w:r>
      <w:r w:rsidR="003B7050" w:rsidRPr="009560DE">
        <w:rPr>
          <w:rFonts w:ascii="Georgia" w:hAnsi="Georgia"/>
          <w:sz w:val="24"/>
          <w:szCs w:val="24"/>
        </w:rPr>
        <w:t>Int’l</w:t>
      </w:r>
      <w:r w:rsidR="00A63A14">
        <w:rPr>
          <w:rFonts w:ascii="Georgia" w:hAnsi="Georgia"/>
          <w:sz w:val="24"/>
          <w:szCs w:val="24"/>
        </w:rPr>
        <w:t xml:space="preserve"> had a direct impact on an open </w:t>
      </w:r>
      <w:r w:rsidR="00EB4EEA">
        <w:rPr>
          <w:rFonts w:ascii="Georgia" w:hAnsi="Georgia"/>
          <w:sz w:val="24"/>
          <w:szCs w:val="24"/>
        </w:rPr>
        <w:t xml:space="preserve">206 </w:t>
      </w:r>
      <w:r w:rsidR="00A63A14">
        <w:rPr>
          <w:rFonts w:ascii="Georgia" w:hAnsi="Georgia"/>
          <w:sz w:val="24"/>
          <w:szCs w:val="24"/>
        </w:rPr>
        <w:t>investigation</w:t>
      </w:r>
      <w:r w:rsidR="00F753E6">
        <w:rPr>
          <w:rFonts w:ascii="Georgia" w:hAnsi="Georgia"/>
          <w:sz w:val="24"/>
          <w:szCs w:val="24"/>
        </w:rPr>
        <w:t xml:space="preserve"> to determine affiliation between IIF and JP Morgan</w:t>
      </w:r>
      <w:r w:rsidR="00A63A14">
        <w:rPr>
          <w:rFonts w:ascii="Georgia" w:hAnsi="Georgia"/>
          <w:sz w:val="24"/>
          <w:szCs w:val="24"/>
        </w:rPr>
        <w:t>.</w:t>
      </w:r>
      <w:r w:rsidR="00F753E6">
        <w:rPr>
          <w:rFonts w:ascii="Georgia" w:hAnsi="Georgia"/>
          <w:sz w:val="24"/>
          <w:szCs w:val="24"/>
        </w:rPr>
        <w:t xml:space="preserve"> </w:t>
      </w:r>
    </w:p>
    <w:p w14:paraId="419AC5E7" w14:textId="135A3351" w:rsidR="00F95F8D" w:rsidRDefault="00F95F8D" w:rsidP="00FA56C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Furthermore, one of IIF Int’l Holding</w:t>
      </w:r>
      <w:r w:rsidR="00836B73">
        <w:rPr>
          <w:rFonts w:ascii="Georgia" w:hAnsi="Georgia"/>
          <w:sz w:val="24"/>
          <w:szCs w:val="24"/>
        </w:rPr>
        <w:t>’s</w:t>
      </w:r>
      <w:r>
        <w:rPr>
          <w:rFonts w:ascii="Georgia" w:hAnsi="Georgia"/>
          <w:sz w:val="24"/>
          <w:szCs w:val="24"/>
        </w:rPr>
        <w:t xml:space="preserve"> </w:t>
      </w:r>
      <w:r w:rsidR="00FD7DA4">
        <w:rPr>
          <w:rFonts w:ascii="Georgia" w:hAnsi="Georgia"/>
          <w:sz w:val="24"/>
          <w:szCs w:val="24"/>
        </w:rPr>
        <w:t>alleged “</w:t>
      </w:r>
      <w:r>
        <w:rPr>
          <w:rFonts w:ascii="Georgia" w:hAnsi="Georgia"/>
          <w:sz w:val="24"/>
          <w:szCs w:val="24"/>
        </w:rPr>
        <w:t>owners</w:t>
      </w:r>
      <w:r w:rsidR="00FD7DA4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, </w:t>
      </w:r>
      <w:r w:rsidRPr="0040237A">
        <w:rPr>
          <w:rFonts w:ascii="Georgia" w:hAnsi="Georgia"/>
          <w:sz w:val="24"/>
          <w:szCs w:val="24"/>
        </w:rPr>
        <w:t xml:space="preserve">Henry </w:t>
      </w:r>
      <w:proofErr w:type="spellStart"/>
      <w:r w:rsidRPr="0040237A">
        <w:rPr>
          <w:rFonts w:ascii="Georgia" w:hAnsi="Georgia"/>
          <w:sz w:val="24"/>
          <w:szCs w:val="24"/>
        </w:rPr>
        <w:t>Fayne</w:t>
      </w:r>
      <w:proofErr w:type="spellEnd"/>
      <w:r>
        <w:rPr>
          <w:rFonts w:ascii="Georgia" w:hAnsi="Georgia"/>
          <w:sz w:val="24"/>
          <w:szCs w:val="24"/>
        </w:rPr>
        <w:t>, has long-standing affiliation with IIF US Holding.</w:t>
      </w:r>
      <w:r>
        <w:rPr>
          <w:rStyle w:val="FootnoteReference"/>
          <w:rFonts w:ascii="Georgia" w:hAnsi="Georgia"/>
          <w:sz w:val="24"/>
          <w:szCs w:val="24"/>
        </w:rPr>
        <w:footnoteReference w:id="5"/>
      </w:r>
      <w:r>
        <w:rPr>
          <w:rFonts w:ascii="Georgia" w:hAnsi="Georgia"/>
          <w:sz w:val="24"/>
          <w:szCs w:val="24"/>
        </w:rPr>
        <w:t xml:space="preserve"> </w:t>
      </w:r>
      <w:r w:rsidR="00C2379A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 xml:space="preserve">hen IIF US Holding was acquiring El Paso Electric, Mr. </w:t>
      </w:r>
      <w:proofErr w:type="spellStart"/>
      <w:r>
        <w:rPr>
          <w:rFonts w:ascii="Georgia" w:hAnsi="Georgia"/>
          <w:sz w:val="24"/>
          <w:szCs w:val="24"/>
        </w:rPr>
        <w:t>Fayne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081F37">
        <w:rPr>
          <w:rFonts w:ascii="Georgia" w:hAnsi="Georgia"/>
          <w:sz w:val="24"/>
          <w:szCs w:val="24"/>
        </w:rPr>
        <w:t xml:space="preserve">was listed </w:t>
      </w:r>
      <w:r>
        <w:rPr>
          <w:rFonts w:ascii="Georgia" w:hAnsi="Georgia"/>
          <w:sz w:val="24"/>
          <w:szCs w:val="24"/>
        </w:rPr>
        <w:t xml:space="preserve">as the sole director of the merger sub in documents filed </w:t>
      </w:r>
      <w:r>
        <w:rPr>
          <w:rFonts w:ascii="Georgia" w:hAnsi="Georgia"/>
          <w:sz w:val="24"/>
          <w:szCs w:val="24"/>
        </w:rPr>
        <w:lastRenderedPageBreak/>
        <w:t xml:space="preserve">with the Texas Secretary of State. Mr. </w:t>
      </w:r>
      <w:proofErr w:type="spellStart"/>
      <w:r>
        <w:rPr>
          <w:rFonts w:ascii="Georgia" w:hAnsi="Georgia"/>
          <w:sz w:val="24"/>
          <w:szCs w:val="24"/>
        </w:rPr>
        <w:t>Fayne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081F37">
        <w:rPr>
          <w:rFonts w:ascii="Georgia" w:hAnsi="Georgia"/>
          <w:sz w:val="24"/>
          <w:szCs w:val="24"/>
        </w:rPr>
        <w:t>also served as director o</w:t>
      </w:r>
      <w:r w:rsidR="00352F8D">
        <w:rPr>
          <w:rFonts w:ascii="Georgia" w:hAnsi="Georgia"/>
          <w:sz w:val="24"/>
          <w:szCs w:val="24"/>
        </w:rPr>
        <w:t>f</w:t>
      </w:r>
      <w:r w:rsidR="00081F37">
        <w:rPr>
          <w:rFonts w:ascii="Georgia" w:hAnsi="Georgia"/>
          <w:sz w:val="24"/>
          <w:szCs w:val="24"/>
        </w:rPr>
        <w:t xml:space="preserve"> two other </w:t>
      </w:r>
      <w:r w:rsidR="009907DE">
        <w:rPr>
          <w:rFonts w:ascii="Georgia" w:hAnsi="Georgia"/>
          <w:sz w:val="24"/>
          <w:szCs w:val="24"/>
        </w:rPr>
        <w:t>entities controlled by IIF US Holding</w:t>
      </w:r>
      <w:r w:rsidR="00352F8D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Summit Utilities and </w:t>
      </w:r>
      <w:r w:rsidRPr="0085753E">
        <w:rPr>
          <w:rFonts w:ascii="Georgia" w:hAnsi="Georgia"/>
          <w:sz w:val="24"/>
          <w:szCs w:val="24"/>
        </w:rPr>
        <w:t>Southwest Generation Operating Company</w:t>
      </w:r>
      <w:r>
        <w:rPr>
          <w:rFonts w:ascii="Georgia" w:hAnsi="Georgia"/>
          <w:sz w:val="24"/>
          <w:szCs w:val="24"/>
        </w:rPr>
        <w:t>.</w:t>
      </w:r>
      <w:r w:rsidRPr="006E5B6A">
        <w:rPr>
          <w:rStyle w:val="FootnoteReference"/>
          <w:rFonts w:ascii="Georgia" w:hAnsi="Georgia"/>
          <w:sz w:val="24"/>
          <w:szCs w:val="24"/>
        </w:rPr>
        <w:t xml:space="preserve"> </w:t>
      </w:r>
      <w:r>
        <w:rPr>
          <w:rStyle w:val="FootnoteReference"/>
          <w:rFonts w:ascii="Georgia" w:hAnsi="Georgia"/>
          <w:sz w:val="24"/>
          <w:szCs w:val="24"/>
        </w:rPr>
        <w:footnoteReference w:id="6"/>
      </w:r>
      <w:r>
        <w:rPr>
          <w:rFonts w:ascii="Georgia" w:hAnsi="Georgia"/>
          <w:sz w:val="24"/>
          <w:szCs w:val="24"/>
        </w:rPr>
        <w:t xml:space="preserve"> Mr. </w:t>
      </w:r>
      <w:proofErr w:type="spellStart"/>
      <w:r>
        <w:rPr>
          <w:rFonts w:ascii="Georgia" w:hAnsi="Georgia"/>
          <w:sz w:val="24"/>
          <w:szCs w:val="24"/>
        </w:rPr>
        <w:t>Fayne</w:t>
      </w:r>
      <w:r w:rsidR="00E95839">
        <w:rPr>
          <w:rFonts w:ascii="Georgia" w:hAnsi="Georgia"/>
          <w:sz w:val="24"/>
          <w:szCs w:val="24"/>
        </w:rPr>
        <w:t>’s</w:t>
      </w:r>
      <w:proofErr w:type="spellEnd"/>
      <w:r w:rsidR="005514EB">
        <w:rPr>
          <w:rFonts w:ascii="Georgia" w:hAnsi="Georgia"/>
          <w:sz w:val="24"/>
          <w:szCs w:val="24"/>
        </w:rPr>
        <w:t xml:space="preserve"> </w:t>
      </w:r>
      <w:r w:rsidR="00311B02">
        <w:rPr>
          <w:rFonts w:ascii="Georgia" w:hAnsi="Georgia"/>
          <w:sz w:val="24"/>
          <w:szCs w:val="24"/>
        </w:rPr>
        <w:t>record</w:t>
      </w:r>
      <w:r w:rsidR="00311499">
        <w:rPr>
          <w:rFonts w:ascii="Georgia" w:hAnsi="Georgia"/>
          <w:sz w:val="24"/>
          <w:szCs w:val="24"/>
        </w:rPr>
        <w:t xml:space="preserve"> </w:t>
      </w:r>
      <w:r w:rsidR="009907DE">
        <w:rPr>
          <w:rFonts w:ascii="Georgia" w:hAnsi="Georgia"/>
          <w:sz w:val="24"/>
          <w:szCs w:val="24"/>
        </w:rPr>
        <w:t>serving as director for</w:t>
      </w:r>
      <w:r>
        <w:rPr>
          <w:rFonts w:ascii="Georgia" w:hAnsi="Georgia"/>
          <w:sz w:val="24"/>
          <w:szCs w:val="24"/>
        </w:rPr>
        <w:t xml:space="preserve"> </w:t>
      </w:r>
      <w:r w:rsidR="009907DE">
        <w:rPr>
          <w:rFonts w:ascii="Georgia" w:hAnsi="Georgia"/>
          <w:sz w:val="24"/>
          <w:szCs w:val="24"/>
        </w:rPr>
        <w:t>entities controlled by</w:t>
      </w:r>
      <w:r>
        <w:rPr>
          <w:rFonts w:ascii="Georgia" w:hAnsi="Georgia"/>
          <w:sz w:val="24"/>
          <w:szCs w:val="24"/>
        </w:rPr>
        <w:t xml:space="preserve"> IIF US Holding</w:t>
      </w:r>
      <w:r w:rsidR="005514EB">
        <w:rPr>
          <w:rFonts w:ascii="Georgia" w:hAnsi="Georgia"/>
          <w:sz w:val="24"/>
          <w:szCs w:val="24"/>
        </w:rPr>
        <w:t xml:space="preserve"> </w:t>
      </w:r>
      <w:r w:rsidR="00971417">
        <w:rPr>
          <w:rFonts w:ascii="Georgia" w:hAnsi="Georgia"/>
          <w:sz w:val="24"/>
          <w:szCs w:val="24"/>
        </w:rPr>
        <w:t xml:space="preserve">makes </w:t>
      </w:r>
      <w:r w:rsidR="00311B02">
        <w:rPr>
          <w:rFonts w:ascii="Georgia" w:hAnsi="Georgia"/>
          <w:sz w:val="24"/>
          <w:szCs w:val="24"/>
        </w:rPr>
        <w:t xml:space="preserve">the claim that </w:t>
      </w:r>
      <w:r w:rsidR="00971417">
        <w:rPr>
          <w:rFonts w:ascii="Georgia" w:hAnsi="Georgia"/>
          <w:sz w:val="24"/>
          <w:szCs w:val="24"/>
        </w:rPr>
        <w:t>his current role as an “owner” of the supposed unaffiliated IIF Int’l</w:t>
      </w:r>
      <w:r w:rsidR="00CA492A">
        <w:rPr>
          <w:rFonts w:ascii="Georgia" w:hAnsi="Georgia"/>
          <w:sz w:val="24"/>
          <w:szCs w:val="24"/>
        </w:rPr>
        <w:t xml:space="preserve"> dubious.</w:t>
      </w:r>
    </w:p>
    <w:p w14:paraId="2A361092" w14:textId="5ECCEF1E" w:rsidR="00933682" w:rsidRDefault="00C31111" w:rsidP="003B130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F753E6">
        <w:rPr>
          <w:rFonts w:ascii="Georgia" w:hAnsi="Georgia"/>
          <w:sz w:val="24"/>
          <w:szCs w:val="24"/>
        </w:rPr>
        <w:t xml:space="preserve">he Commission has an </w:t>
      </w:r>
      <w:r w:rsidR="006C3C9A">
        <w:rPr>
          <w:rFonts w:ascii="Georgia" w:hAnsi="Georgia"/>
          <w:sz w:val="24"/>
          <w:szCs w:val="24"/>
        </w:rPr>
        <w:t>obligation</w:t>
      </w:r>
      <w:r w:rsidR="00F753E6">
        <w:rPr>
          <w:rFonts w:ascii="Georgia" w:hAnsi="Georgia"/>
          <w:sz w:val="24"/>
          <w:szCs w:val="24"/>
        </w:rPr>
        <w:t xml:space="preserve"> to correct the record by</w:t>
      </w:r>
      <w:r w:rsidR="00400B9D">
        <w:rPr>
          <w:rFonts w:ascii="Georgia" w:hAnsi="Georgia"/>
          <w:sz w:val="24"/>
          <w:szCs w:val="24"/>
        </w:rPr>
        <w:t xml:space="preserve"> expanding its investigation to include a determination of affiliation between JP Morgan Chase and IIF Int’l. To this end, it is necessary for the Commission to </w:t>
      </w:r>
      <w:r w:rsidR="004F1CC2">
        <w:rPr>
          <w:rFonts w:ascii="Georgia" w:hAnsi="Georgia"/>
          <w:sz w:val="24"/>
          <w:szCs w:val="24"/>
        </w:rPr>
        <w:t xml:space="preserve">compel IIF to provide both the </w:t>
      </w:r>
      <w:r w:rsidR="00E84775">
        <w:rPr>
          <w:rFonts w:ascii="Georgia" w:hAnsi="Georgia"/>
          <w:sz w:val="24"/>
          <w:szCs w:val="24"/>
        </w:rPr>
        <w:t>i</w:t>
      </w:r>
      <w:r w:rsidR="004F1CC2" w:rsidRPr="00E84775">
        <w:rPr>
          <w:rFonts w:ascii="Georgia" w:hAnsi="Georgia"/>
          <w:sz w:val="24"/>
          <w:szCs w:val="24"/>
        </w:rPr>
        <w:t xml:space="preserve">nvestment </w:t>
      </w:r>
      <w:r w:rsidR="00E84775">
        <w:rPr>
          <w:rFonts w:ascii="Georgia" w:hAnsi="Georgia"/>
          <w:sz w:val="24"/>
          <w:szCs w:val="24"/>
        </w:rPr>
        <w:t>a</w:t>
      </w:r>
      <w:r w:rsidR="004F1CC2" w:rsidRPr="00E84775">
        <w:rPr>
          <w:rFonts w:ascii="Georgia" w:hAnsi="Georgia"/>
          <w:sz w:val="24"/>
          <w:szCs w:val="24"/>
        </w:rPr>
        <w:t xml:space="preserve">dvisory </w:t>
      </w:r>
      <w:r w:rsidR="00E84775">
        <w:rPr>
          <w:rFonts w:ascii="Georgia" w:hAnsi="Georgia"/>
          <w:sz w:val="24"/>
          <w:szCs w:val="24"/>
        </w:rPr>
        <w:t>a</w:t>
      </w:r>
      <w:r w:rsidR="004F1CC2" w:rsidRPr="00E84775">
        <w:rPr>
          <w:rFonts w:ascii="Georgia" w:hAnsi="Georgia"/>
          <w:sz w:val="24"/>
          <w:szCs w:val="24"/>
        </w:rPr>
        <w:t>greement</w:t>
      </w:r>
      <w:r w:rsidR="004F1CC2">
        <w:rPr>
          <w:rFonts w:ascii="Georgia" w:hAnsi="Georgia"/>
          <w:sz w:val="24"/>
          <w:szCs w:val="24"/>
        </w:rPr>
        <w:t xml:space="preserve"> between IIF </w:t>
      </w:r>
      <w:r w:rsidR="00112A53">
        <w:rPr>
          <w:rFonts w:ascii="Georgia" w:hAnsi="Georgia"/>
          <w:sz w:val="24"/>
          <w:szCs w:val="24"/>
        </w:rPr>
        <w:t xml:space="preserve">Int’l </w:t>
      </w:r>
      <w:r w:rsidR="004F1CC2">
        <w:rPr>
          <w:rFonts w:ascii="Georgia" w:hAnsi="Georgia"/>
          <w:sz w:val="24"/>
          <w:szCs w:val="24"/>
        </w:rPr>
        <w:t xml:space="preserve">and JP Morgan, </w:t>
      </w:r>
      <w:r w:rsidR="00353883">
        <w:rPr>
          <w:rFonts w:ascii="Georgia" w:hAnsi="Georgia"/>
          <w:sz w:val="24"/>
          <w:szCs w:val="24"/>
        </w:rPr>
        <w:t>and</w:t>
      </w:r>
      <w:r w:rsidR="004F1CC2">
        <w:rPr>
          <w:rFonts w:ascii="Georgia" w:hAnsi="Georgia"/>
          <w:sz w:val="24"/>
          <w:szCs w:val="24"/>
        </w:rPr>
        <w:t xml:space="preserve"> </w:t>
      </w:r>
      <w:r w:rsidR="00353883">
        <w:rPr>
          <w:rFonts w:ascii="Georgia" w:hAnsi="Georgia"/>
          <w:sz w:val="24"/>
          <w:szCs w:val="24"/>
        </w:rPr>
        <w:t>the</w:t>
      </w:r>
      <w:r w:rsidR="004F1CC2">
        <w:rPr>
          <w:rFonts w:ascii="Georgia" w:hAnsi="Georgia"/>
          <w:sz w:val="24"/>
          <w:szCs w:val="24"/>
        </w:rPr>
        <w:t xml:space="preserve"> </w:t>
      </w:r>
      <w:r w:rsidR="00E84775">
        <w:rPr>
          <w:rFonts w:ascii="Georgia" w:hAnsi="Georgia"/>
          <w:sz w:val="24"/>
          <w:szCs w:val="24"/>
        </w:rPr>
        <w:t>a</w:t>
      </w:r>
      <w:r w:rsidR="004F1CC2" w:rsidRPr="00E84775">
        <w:rPr>
          <w:rFonts w:ascii="Georgia" w:hAnsi="Georgia"/>
          <w:sz w:val="24"/>
          <w:szCs w:val="24"/>
        </w:rPr>
        <w:t xml:space="preserve">greement of </w:t>
      </w:r>
      <w:r w:rsidR="00E84775">
        <w:rPr>
          <w:rFonts w:ascii="Georgia" w:hAnsi="Georgia"/>
          <w:sz w:val="24"/>
          <w:szCs w:val="24"/>
        </w:rPr>
        <w:t>l</w:t>
      </w:r>
      <w:r w:rsidR="004F1CC2" w:rsidRPr="00E84775">
        <w:rPr>
          <w:rFonts w:ascii="Georgia" w:hAnsi="Georgia"/>
          <w:sz w:val="24"/>
          <w:szCs w:val="24"/>
        </w:rPr>
        <w:t xml:space="preserve">imited </w:t>
      </w:r>
      <w:r w:rsidR="00E84775">
        <w:rPr>
          <w:rFonts w:ascii="Georgia" w:hAnsi="Georgia"/>
          <w:sz w:val="24"/>
          <w:szCs w:val="24"/>
        </w:rPr>
        <w:t>p</w:t>
      </w:r>
      <w:r w:rsidR="004F1CC2" w:rsidRPr="00E84775">
        <w:rPr>
          <w:rFonts w:ascii="Georgia" w:hAnsi="Georgia"/>
          <w:sz w:val="24"/>
          <w:szCs w:val="24"/>
        </w:rPr>
        <w:t>artnership</w:t>
      </w:r>
      <w:r w:rsidR="00353883">
        <w:rPr>
          <w:rFonts w:ascii="Georgia" w:hAnsi="Georgia"/>
          <w:sz w:val="24"/>
          <w:szCs w:val="24"/>
        </w:rPr>
        <w:t xml:space="preserve"> of IIF Int’l. </w:t>
      </w:r>
      <w:proofErr w:type="gramStart"/>
      <w:r w:rsidR="00353883">
        <w:rPr>
          <w:rFonts w:ascii="Georgia" w:hAnsi="Georgia"/>
          <w:sz w:val="24"/>
          <w:szCs w:val="24"/>
        </w:rPr>
        <w:t>Both of these</w:t>
      </w:r>
      <w:proofErr w:type="gramEnd"/>
      <w:r w:rsidR="00353883">
        <w:rPr>
          <w:rFonts w:ascii="Georgia" w:hAnsi="Georgia"/>
          <w:sz w:val="24"/>
          <w:szCs w:val="24"/>
        </w:rPr>
        <w:t xml:space="preserve"> documents must be </w:t>
      </w:r>
      <w:r w:rsidR="00542C3E">
        <w:rPr>
          <w:rFonts w:ascii="Georgia" w:hAnsi="Georgia"/>
          <w:sz w:val="24"/>
          <w:szCs w:val="24"/>
        </w:rPr>
        <w:t>publicly</w:t>
      </w:r>
      <w:r w:rsidR="002316D6">
        <w:rPr>
          <w:rFonts w:ascii="Georgia" w:hAnsi="Georgia"/>
          <w:sz w:val="24"/>
          <w:szCs w:val="24"/>
        </w:rPr>
        <w:t xml:space="preserve"> available, per </w:t>
      </w:r>
      <w:r w:rsidR="002316D6" w:rsidRPr="00472BDE">
        <w:rPr>
          <w:rFonts w:ascii="Georgia" w:hAnsi="Georgia"/>
          <w:sz w:val="24"/>
          <w:szCs w:val="24"/>
        </w:rPr>
        <w:t>18 CFR § 388.112(e).</w:t>
      </w:r>
      <w:r w:rsidR="003B1305">
        <w:rPr>
          <w:rFonts w:ascii="Georgia" w:hAnsi="Georgia"/>
          <w:sz w:val="24"/>
          <w:szCs w:val="24"/>
        </w:rPr>
        <w:t xml:space="preserve"> </w:t>
      </w:r>
      <w:r w:rsidR="00933682">
        <w:rPr>
          <w:rFonts w:ascii="Georgia" w:hAnsi="Georgia"/>
          <w:sz w:val="24"/>
          <w:szCs w:val="24"/>
        </w:rPr>
        <w:t>Since IIF Int’l and IIF US Holding</w:t>
      </w:r>
      <w:r w:rsidR="00E86785">
        <w:rPr>
          <w:rFonts w:ascii="Georgia" w:hAnsi="Georgia"/>
          <w:sz w:val="24"/>
          <w:szCs w:val="24"/>
        </w:rPr>
        <w:t xml:space="preserve"> share the same</w:t>
      </w:r>
      <w:r w:rsidR="00FA56C3">
        <w:rPr>
          <w:rFonts w:ascii="Georgia" w:hAnsi="Georgia"/>
          <w:sz w:val="24"/>
          <w:szCs w:val="24"/>
        </w:rPr>
        <w:t xml:space="preserve"> </w:t>
      </w:r>
      <w:r w:rsidR="00E86785">
        <w:rPr>
          <w:rFonts w:ascii="Georgia" w:hAnsi="Georgia"/>
          <w:sz w:val="24"/>
          <w:szCs w:val="24"/>
        </w:rPr>
        <w:t>counsel (which</w:t>
      </w:r>
      <w:r w:rsidR="00FA56C3">
        <w:rPr>
          <w:rFonts w:ascii="Georgia" w:hAnsi="Georgia"/>
          <w:sz w:val="24"/>
          <w:szCs w:val="24"/>
        </w:rPr>
        <w:t>, of course they do, as they are affiliates)</w:t>
      </w:r>
      <w:r w:rsidR="00E86785">
        <w:rPr>
          <w:rFonts w:ascii="Georgia" w:hAnsi="Georgia"/>
          <w:sz w:val="24"/>
          <w:szCs w:val="24"/>
        </w:rPr>
        <w:t>,</w:t>
      </w:r>
      <w:r w:rsidR="00933682">
        <w:rPr>
          <w:rFonts w:ascii="Georgia" w:hAnsi="Georgia"/>
          <w:sz w:val="24"/>
          <w:szCs w:val="24"/>
        </w:rPr>
        <w:t xml:space="preserve"> it should</w:t>
      </w:r>
      <w:r w:rsidR="003B1305">
        <w:rPr>
          <w:rFonts w:ascii="Georgia" w:hAnsi="Georgia"/>
          <w:sz w:val="24"/>
          <w:szCs w:val="24"/>
        </w:rPr>
        <w:t xml:space="preserve"> not</w:t>
      </w:r>
      <w:r w:rsidR="00933682">
        <w:rPr>
          <w:rFonts w:ascii="Georgia" w:hAnsi="Georgia"/>
          <w:sz w:val="24"/>
          <w:szCs w:val="24"/>
        </w:rPr>
        <w:t xml:space="preserve"> be difficult</w:t>
      </w:r>
      <w:r w:rsidR="00136B79">
        <w:rPr>
          <w:rFonts w:ascii="Georgia" w:hAnsi="Georgia"/>
          <w:sz w:val="24"/>
          <w:szCs w:val="24"/>
        </w:rPr>
        <w:t xml:space="preserve"> for </w:t>
      </w:r>
      <w:r w:rsidR="00FA56C3">
        <w:rPr>
          <w:rFonts w:ascii="Georgia" w:hAnsi="Georgia"/>
          <w:sz w:val="24"/>
          <w:szCs w:val="24"/>
        </w:rPr>
        <w:t xml:space="preserve">IIF </w:t>
      </w:r>
      <w:r w:rsidR="00136B79">
        <w:rPr>
          <w:rFonts w:ascii="Georgia" w:hAnsi="Georgia"/>
          <w:sz w:val="24"/>
          <w:szCs w:val="24"/>
        </w:rPr>
        <w:t>to comply with such an order</w:t>
      </w:r>
      <w:r w:rsidR="00933682">
        <w:rPr>
          <w:rFonts w:ascii="Georgia" w:hAnsi="Georgia"/>
          <w:sz w:val="24"/>
          <w:szCs w:val="24"/>
        </w:rPr>
        <w:t>.</w:t>
      </w:r>
    </w:p>
    <w:p w14:paraId="6D2B34EF" w14:textId="77777777" w:rsidR="003B1305" w:rsidRDefault="003B1305" w:rsidP="003B1305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470E7BBE" w14:textId="77777777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</w:p>
    <w:p w14:paraId="5A7664D6" w14:textId="7513417C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Respectfully submitted,</w:t>
      </w:r>
    </w:p>
    <w:p w14:paraId="486F4B7F" w14:textId="77777777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</w:p>
    <w:p w14:paraId="2F97AC60" w14:textId="76D585F4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04C95D2F" w14:textId="641DBBAD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Public Citizen, Inc.</w:t>
      </w:r>
    </w:p>
    <w:p w14:paraId="4E38A4E6" w14:textId="4664B6EA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215 Pennsylvania Ave SE</w:t>
      </w:r>
    </w:p>
    <w:p w14:paraId="01FE9BCB" w14:textId="1650964A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Washington, DC  20003</w:t>
      </w:r>
    </w:p>
    <w:p w14:paraId="681AEA77" w14:textId="1DB351AA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(202) 454-5191</w:t>
      </w:r>
    </w:p>
    <w:p w14:paraId="496FDC7B" w14:textId="742B57B9" w:rsidR="00F60814" w:rsidRDefault="00F60814" w:rsidP="00E86785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tslocum@citizen.org</w:t>
      </w:r>
    </w:p>
    <w:p w14:paraId="10A61A36" w14:textId="77777777" w:rsidR="008241E8" w:rsidRDefault="008241E8" w:rsidP="00D5791C">
      <w:pPr>
        <w:ind w:firstLine="720"/>
        <w:rPr>
          <w:rFonts w:ascii="Georgia" w:hAnsi="Georgia"/>
          <w:sz w:val="24"/>
          <w:szCs w:val="24"/>
        </w:rPr>
      </w:pPr>
    </w:p>
    <w:p w14:paraId="34393DE9" w14:textId="77777777" w:rsidR="00AD78A7" w:rsidRDefault="00AD78A7" w:rsidP="00D5791C">
      <w:pPr>
        <w:ind w:firstLine="720"/>
        <w:rPr>
          <w:rFonts w:ascii="Georgia" w:hAnsi="Georgia"/>
          <w:sz w:val="24"/>
          <w:szCs w:val="24"/>
        </w:rPr>
      </w:pPr>
    </w:p>
    <w:p w14:paraId="24BAEC98" w14:textId="48852F93" w:rsidR="008241E8" w:rsidRPr="00AA20AE" w:rsidRDefault="003B1305" w:rsidP="00D5791C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July 21, 2022</w:t>
      </w:r>
    </w:p>
    <w:sectPr w:rsidR="008241E8" w:rsidRPr="00AA20AE" w:rsidSect="000B784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77A6" w14:textId="77777777" w:rsidR="001709CF" w:rsidRDefault="001709CF" w:rsidP="00646C69">
      <w:r>
        <w:separator/>
      </w:r>
    </w:p>
  </w:endnote>
  <w:endnote w:type="continuationSeparator" w:id="0">
    <w:p w14:paraId="3946D039" w14:textId="77777777" w:rsidR="001709CF" w:rsidRDefault="001709CF" w:rsidP="0064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483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83CA3" w14:textId="2CC9E78B" w:rsidR="000B7841" w:rsidRDefault="000B78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CD9663" w14:textId="77777777" w:rsidR="000B7841" w:rsidRDefault="000B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AB0" w14:textId="77777777" w:rsidR="001709CF" w:rsidRDefault="001709CF" w:rsidP="00646C69">
      <w:r>
        <w:separator/>
      </w:r>
    </w:p>
  </w:footnote>
  <w:footnote w:type="continuationSeparator" w:id="0">
    <w:p w14:paraId="4BF7D40E" w14:textId="77777777" w:rsidR="001709CF" w:rsidRDefault="001709CF" w:rsidP="00646C69">
      <w:r>
        <w:continuationSeparator/>
      </w:r>
    </w:p>
  </w:footnote>
  <w:footnote w:id="1">
    <w:p w14:paraId="253A54D5" w14:textId="03C2D05C" w:rsidR="00646C69" w:rsidRDefault="00646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6C69">
        <w:rPr>
          <w:rFonts w:ascii="Georgia" w:hAnsi="Georgia"/>
        </w:rPr>
        <w:t>FERC Docket No. EC22-23.</w:t>
      </w:r>
    </w:p>
  </w:footnote>
  <w:footnote w:id="2">
    <w:p w14:paraId="58AD3AA3" w14:textId="34D0952C" w:rsidR="009C553B" w:rsidRDefault="009C55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553B">
        <w:rPr>
          <w:rFonts w:ascii="Georgia" w:hAnsi="Georgia"/>
        </w:rPr>
        <w:t>Application in Docket No. EC22-23, at page 8.</w:t>
      </w:r>
    </w:p>
  </w:footnote>
  <w:footnote w:id="3">
    <w:p w14:paraId="43F2DE3A" w14:textId="4F59B41D" w:rsidR="000B6B8C" w:rsidRDefault="000B6B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6B8C">
        <w:rPr>
          <w:rFonts w:ascii="Georgia" w:hAnsi="Georgia"/>
        </w:rPr>
        <w:t>See FERC Docket Nos. EC22-60 and EC22-63.</w:t>
      </w:r>
    </w:p>
  </w:footnote>
  <w:footnote w:id="4">
    <w:p w14:paraId="148BF5EB" w14:textId="2AD67A3D" w:rsidR="00F94317" w:rsidRDefault="00F943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128">
        <w:rPr>
          <w:rFonts w:ascii="Georgia" w:hAnsi="Georgia"/>
        </w:rPr>
        <w:t xml:space="preserve">Which </w:t>
      </w:r>
      <w:r w:rsidR="009E63CC">
        <w:rPr>
          <w:rFonts w:ascii="Georgia" w:hAnsi="Georgia"/>
        </w:rPr>
        <w:t xml:space="preserve">may </w:t>
      </w:r>
      <w:r w:rsidRPr="00910128">
        <w:rPr>
          <w:rFonts w:ascii="Georgia" w:hAnsi="Georgia"/>
        </w:rPr>
        <w:t xml:space="preserve">explain recent industry challenges to Public Citizen’s right to intervene. </w:t>
      </w:r>
      <w:r w:rsidR="00910128" w:rsidRPr="00910128">
        <w:rPr>
          <w:rFonts w:ascii="Georgia" w:hAnsi="Georgia"/>
        </w:rPr>
        <w:t>See Docket Nos. EC22-78 and OR22-3.</w:t>
      </w:r>
    </w:p>
  </w:footnote>
  <w:footnote w:id="5">
    <w:p w14:paraId="46CE7A3F" w14:textId="6234FB43" w:rsidR="00F95F8D" w:rsidRDefault="00F95F8D" w:rsidP="00F95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492A">
        <w:rPr>
          <w:rFonts w:ascii="Georgia" w:hAnsi="Georgia"/>
          <w:sz w:val="18"/>
          <w:szCs w:val="18"/>
        </w:rPr>
        <w:t xml:space="preserve">The other two </w:t>
      </w:r>
      <w:r w:rsidR="001C443A">
        <w:rPr>
          <w:rFonts w:ascii="Georgia" w:hAnsi="Georgia"/>
          <w:sz w:val="18"/>
          <w:szCs w:val="18"/>
        </w:rPr>
        <w:t>“</w:t>
      </w:r>
      <w:r w:rsidRPr="00CA492A">
        <w:rPr>
          <w:rFonts w:ascii="Georgia" w:hAnsi="Georgia"/>
          <w:sz w:val="18"/>
          <w:szCs w:val="18"/>
        </w:rPr>
        <w:t>owners</w:t>
      </w:r>
      <w:r w:rsidR="001C443A">
        <w:rPr>
          <w:rFonts w:ascii="Georgia" w:hAnsi="Georgia"/>
          <w:sz w:val="18"/>
          <w:szCs w:val="18"/>
        </w:rPr>
        <w:t>”</w:t>
      </w:r>
      <w:r w:rsidRPr="00CA492A">
        <w:rPr>
          <w:rFonts w:ascii="Georgia" w:hAnsi="Georgia"/>
          <w:sz w:val="18"/>
          <w:szCs w:val="18"/>
        </w:rPr>
        <w:t xml:space="preserve"> of IIF Int’l are </w:t>
      </w:r>
      <w:proofErr w:type="spellStart"/>
      <w:r w:rsidRPr="00CA492A">
        <w:rPr>
          <w:rFonts w:ascii="Georgia" w:hAnsi="Georgia"/>
          <w:sz w:val="18"/>
          <w:szCs w:val="18"/>
        </w:rPr>
        <w:t>Vumindaba</w:t>
      </w:r>
      <w:proofErr w:type="spellEnd"/>
      <w:r w:rsidRPr="00CA492A">
        <w:rPr>
          <w:rFonts w:ascii="Georgia" w:hAnsi="Georgia"/>
          <w:sz w:val="18"/>
          <w:szCs w:val="18"/>
        </w:rPr>
        <w:t xml:space="preserve"> Dube and Michael Nagle. See FERC Docket No. EC22-23.</w:t>
      </w:r>
    </w:p>
  </w:footnote>
  <w:footnote w:id="6">
    <w:p w14:paraId="7A34911C" w14:textId="77777777" w:rsidR="00F95F8D" w:rsidRDefault="00F95F8D" w:rsidP="00F95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4CAE">
        <w:rPr>
          <w:rFonts w:ascii="Georgia" w:hAnsi="Georgia"/>
        </w:rPr>
        <w:t xml:space="preserve">See November 6, </w:t>
      </w:r>
      <w:proofErr w:type="gramStart"/>
      <w:r w:rsidRPr="00174CAE">
        <w:rPr>
          <w:rFonts w:ascii="Georgia" w:hAnsi="Georgia"/>
        </w:rPr>
        <w:t>2019</w:t>
      </w:r>
      <w:proofErr w:type="gramEnd"/>
      <w:r w:rsidRPr="00174CAE">
        <w:rPr>
          <w:rFonts w:ascii="Georgia" w:hAnsi="Georgia"/>
        </w:rPr>
        <w:t xml:space="preserve"> </w:t>
      </w:r>
      <w:r w:rsidRPr="002B7FA0">
        <w:rPr>
          <w:rFonts w:ascii="Georgia" w:hAnsi="Georgia"/>
          <w:i/>
          <w:iCs/>
        </w:rPr>
        <w:t>Answer of Public Citizen</w:t>
      </w:r>
      <w:r w:rsidRPr="00174CAE">
        <w:rPr>
          <w:rFonts w:ascii="Georgia" w:hAnsi="Georgia"/>
        </w:rPr>
        <w:t xml:space="preserve"> in FERC Docket No. EC19-120.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A"/>
    <w:rsid w:val="0000486A"/>
    <w:rsid w:val="000160BA"/>
    <w:rsid w:val="00035C29"/>
    <w:rsid w:val="00066E35"/>
    <w:rsid w:val="00075A35"/>
    <w:rsid w:val="00081F37"/>
    <w:rsid w:val="0008429A"/>
    <w:rsid w:val="0009373A"/>
    <w:rsid w:val="00094EF0"/>
    <w:rsid w:val="000B6B8C"/>
    <w:rsid w:val="000B7841"/>
    <w:rsid w:val="000C69A3"/>
    <w:rsid w:val="000F2264"/>
    <w:rsid w:val="000F4965"/>
    <w:rsid w:val="00112A53"/>
    <w:rsid w:val="00136B79"/>
    <w:rsid w:val="00153493"/>
    <w:rsid w:val="001709CF"/>
    <w:rsid w:val="0017599C"/>
    <w:rsid w:val="00182493"/>
    <w:rsid w:val="00192726"/>
    <w:rsid w:val="001B5AE9"/>
    <w:rsid w:val="001C443A"/>
    <w:rsid w:val="00224A81"/>
    <w:rsid w:val="00227ED9"/>
    <w:rsid w:val="002316D6"/>
    <w:rsid w:val="00252C8D"/>
    <w:rsid w:val="002670F0"/>
    <w:rsid w:val="0028541E"/>
    <w:rsid w:val="002A2A59"/>
    <w:rsid w:val="002B63BA"/>
    <w:rsid w:val="002B7FA0"/>
    <w:rsid w:val="002F1EDF"/>
    <w:rsid w:val="00311499"/>
    <w:rsid w:val="00311B02"/>
    <w:rsid w:val="003262F5"/>
    <w:rsid w:val="00327CF1"/>
    <w:rsid w:val="0033710B"/>
    <w:rsid w:val="0034468A"/>
    <w:rsid w:val="00352F8D"/>
    <w:rsid w:val="00353883"/>
    <w:rsid w:val="0037653C"/>
    <w:rsid w:val="00387A14"/>
    <w:rsid w:val="003B1305"/>
    <w:rsid w:val="003B50B9"/>
    <w:rsid w:val="003B7050"/>
    <w:rsid w:val="003D1870"/>
    <w:rsid w:val="003D783D"/>
    <w:rsid w:val="003D7B88"/>
    <w:rsid w:val="003F7D58"/>
    <w:rsid w:val="003F7E03"/>
    <w:rsid w:val="00400B9D"/>
    <w:rsid w:val="00422130"/>
    <w:rsid w:val="00425A5C"/>
    <w:rsid w:val="00480AC2"/>
    <w:rsid w:val="004A5320"/>
    <w:rsid w:val="004C31CE"/>
    <w:rsid w:val="004F1CC2"/>
    <w:rsid w:val="005008A6"/>
    <w:rsid w:val="00501835"/>
    <w:rsid w:val="00531909"/>
    <w:rsid w:val="00542C3E"/>
    <w:rsid w:val="00544881"/>
    <w:rsid w:val="005514EB"/>
    <w:rsid w:val="00553C24"/>
    <w:rsid w:val="00584CFA"/>
    <w:rsid w:val="005874F5"/>
    <w:rsid w:val="005A273C"/>
    <w:rsid w:val="005D0B4C"/>
    <w:rsid w:val="005D389E"/>
    <w:rsid w:val="005E463F"/>
    <w:rsid w:val="0060050A"/>
    <w:rsid w:val="0060539D"/>
    <w:rsid w:val="0062729D"/>
    <w:rsid w:val="0064127B"/>
    <w:rsid w:val="006438FC"/>
    <w:rsid w:val="006443BB"/>
    <w:rsid w:val="00646C69"/>
    <w:rsid w:val="0065155A"/>
    <w:rsid w:val="00656A31"/>
    <w:rsid w:val="006870D8"/>
    <w:rsid w:val="006C3C9A"/>
    <w:rsid w:val="006D1EE2"/>
    <w:rsid w:val="007124E6"/>
    <w:rsid w:val="00735DC8"/>
    <w:rsid w:val="00753900"/>
    <w:rsid w:val="00761D65"/>
    <w:rsid w:val="00763B6F"/>
    <w:rsid w:val="00794889"/>
    <w:rsid w:val="007E30C0"/>
    <w:rsid w:val="007E532C"/>
    <w:rsid w:val="008020B3"/>
    <w:rsid w:val="00805495"/>
    <w:rsid w:val="008241E8"/>
    <w:rsid w:val="00835F30"/>
    <w:rsid w:val="00836B73"/>
    <w:rsid w:val="00842F02"/>
    <w:rsid w:val="00851037"/>
    <w:rsid w:val="00880125"/>
    <w:rsid w:val="008B4009"/>
    <w:rsid w:val="008C395A"/>
    <w:rsid w:val="008C5CB9"/>
    <w:rsid w:val="008C6D08"/>
    <w:rsid w:val="008D3276"/>
    <w:rsid w:val="008D4FE9"/>
    <w:rsid w:val="008E3663"/>
    <w:rsid w:val="0090111F"/>
    <w:rsid w:val="00910128"/>
    <w:rsid w:val="00914A96"/>
    <w:rsid w:val="009171FD"/>
    <w:rsid w:val="00932ACE"/>
    <w:rsid w:val="00933682"/>
    <w:rsid w:val="009441EC"/>
    <w:rsid w:val="009444CD"/>
    <w:rsid w:val="009560DE"/>
    <w:rsid w:val="00964FBD"/>
    <w:rsid w:val="00965AE1"/>
    <w:rsid w:val="00971417"/>
    <w:rsid w:val="0098335F"/>
    <w:rsid w:val="009907DE"/>
    <w:rsid w:val="009C553B"/>
    <w:rsid w:val="009E63CC"/>
    <w:rsid w:val="00A03090"/>
    <w:rsid w:val="00A06D0E"/>
    <w:rsid w:val="00A14CD8"/>
    <w:rsid w:val="00A347B1"/>
    <w:rsid w:val="00A63A14"/>
    <w:rsid w:val="00A8225D"/>
    <w:rsid w:val="00A8323A"/>
    <w:rsid w:val="00AA20AE"/>
    <w:rsid w:val="00AA396B"/>
    <w:rsid w:val="00AB535C"/>
    <w:rsid w:val="00AC2284"/>
    <w:rsid w:val="00AC46AA"/>
    <w:rsid w:val="00AD78A7"/>
    <w:rsid w:val="00AF4543"/>
    <w:rsid w:val="00AF7796"/>
    <w:rsid w:val="00B20581"/>
    <w:rsid w:val="00B458C6"/>
    <w:rsid w:val="00B55E43"/>
    <w:rsid w:val="00BB3586"/>
    <w:rsid w:val="00BE3A1E"/>
    <w:rsid w:val="00C0191E"/>
    <w:rsid w:val="00C109B5"/>
    <w:rsid w:val="00C2379A"/>
    <w:rsid w:val="00C27FF1"/>
    <w:rsid w:val="00C31111"/>
    <w:rsid w:val="00C61C0E"/>
    <w:rsid w:val="00C86502"/>
    <w:rsid w:val="00CA492A"/>
    <w:rsid w:val="00CA5BE6"/>
    <w:rsid w:val="00CB0E6B"/>
    <w:rsid w:val="00D34CBA"/>
    <w:rsid w:val="00D5791C"/>
    <w:rsid w:val="00D70C73"/>
    <w:rsid w:val="00D84282"/>
    <w:rsid w:val="00DB6BBC"/>
    <w:rsid w:val="00DC3DFE"/>
    <w:rsid w:val="00DC7555"/>
    <w:rsid w:val="00DE5DBF"/>
    <w:rsid w:val="00E03332"/>
    <w:rsid w:val="00E17157"/>
    <w:rsid w:val="00E259E8"/>
    <w:rsid w:val="00E30F4A"/>
    <w:rsid w:val="00E33536"/>
    <w:rsid w:val="00E474FD"/>
    <w:rsid w:val="00E62943"/>
    <w:rsid w:val="00E8416E"/>
    <w:rsid w:val="00E84775"/>
    <w:rsid w:val="00E86785"/>
    <w:rsid w:val="00E95839"/>
    <w:rsid w:val="00EB4EEA"/>
    <w:rsid w:val="00EC0EDB"/>
    <w:rsid w:val="00EE3D4C"/>
    <w:rsid w:val="00F23FF6"/>
    <w:rsid w:val="00F46CA6"/>
    <w:rsid w:val="00F60814"/>
    <w:rsid w:val="00F61B67"/>
    <w:rsid w:val="00F753E6"/>
    <w:rsid w:val="00F75FC6"/>
    <w:rsid w:val="00F94317"/>
    <w:rsid w:val="00F95F8D"/>
    <w:rsid w:val="00FA56C3"/>
    <w:rsid w:val="00FD7300"/>
    <w:rsid w:val="00FD7DA4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D0D"/>
  <w15:chartTrackingRefBased/>
  <w15:docId w15:val="{3C058836-3DF9-499D-89EE-F1D1F76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6C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7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41"/>
  </w:style>
  <w:style w:type="paragraph" w:styleId="Footer">
    <w:name w:val="footer"/>
    <w:basedOn w:val="Normal"/>
    <w:link w:val="FooterChar"/>
    <w:uiPriority w:val="99"/>
    <w:unhideWhenUsed/>
    <w:rsid w:val="000B7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0CC9-FEAC-4A2C-B616-A1B14E7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180</cp:revision>
  <dcterms:created xsi:type="dcterms:W3CDTF">2022-07-20T18:21:00Z</dcterms:created>
  <dcterms:modified xsi:type="dcterms:W3CDTF">2022-07-21T12:55:00Z</dcterms:modified>
</cp:coreProperties>
</file>