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FEA68" w14:textId="4FAC81D8" w:rsidR="00AC343E" w:rsidRPr="004C0E19" w:rsidRDefault="00C0590F" w:rsidP="004045F5">
      <w:pPr>
        <w:jc w:val="center"/>
        <w:rPr>
          <w:rFonts w:ascii="Georgia" w:hAnsi="Georgia"/>
          <w:sz w:val="24"/>
          <w:szCs w:val="24"/>
        </w:rPr>
      </w:pPr>
      <w:r w:rsidRPr="004C0E19">
        <w:rPr>
          <w:rFonts w:ascii="Georgia" w:hAnsi="Georgia"/>
          <w:sz w:val="24"/>
          <w:szCs w:val="24"/>
        </w:rPr>
        <w:t>UNITED STATES OF AMERICA</w:t>
      </w:r>
    </w:p>
    <w:p w14:paraId="27FE1130" w14:textId="26094B0F" w:rsidR="00C0590F" w:rsidRPr="004C0E19" w:rsidRDefault="00C0590F" w:rsidP="004045F5">
      <w:pPr>
        <w:jc w:val="center"/>
        <w:rPr>
          <w:rFonts w:ascii="Georgia" w:hAnsi="Georgia"/>
          <w:sz w:val="24"/>
          <w:szCs w:val="24"/>
        </w:rPr>
      </w:pPr>
      <w:r w:rsidRPr="004C0E19">
        <w:rPr>
          <w:rFonts w:ascii="Georgia" w:hAnsi="Georgia"/>
          <w:sz w:val="24"/>
          <w:szCs w:val="24"/>
        </w:rPr>
        <w:t>BEFORE THE</w:t>
      </w:r>
    </w:p>
    <w:p w14:paraId="4D91476E" w14:textId="30B9340B" w:rsidR="00C0590F" w:rsidRPr="004C0E19" w:rsidRDefault="00C0590F" w:rsidP="004045F5">
      <w:pPr>
        <w:jc w:val="center"/>
        <w:rPr>
          <w:rFonts w:ascii="Georgia" w:hAnsi="Georgia"/>
          <w:sz w:val="24"/>
          <w:szCs w:val="24"/>
        </w:rPr>
      </w:pPr>
      <w:r w:rsidRPr="004C0E19">
        <w:rPr>
          <w:rFonts w:ascii="Georgia" w:hAnsi="Georgia"/>
          <w:sz w:val="24"/>
          <w:szCs w:val="24"/>
        </w:rPr>
        <w:t>FEDERAL ENERGY REGULATORY COMMISSION</w:t>
      </w:r>
    </w:p>
    <w:p w14:paraId="4C0E6003" w14:textId="5E864102" w:rsidR="00C0590F" w:rsidRPr="004C0E19" w:rsidRDefault="00C0590F">
      <w:pPr>
        <w:rPr>
          <w:rFonts w:ascii="Georgia" w:hAnsi="Georgia"/>
          <w:sz w:val="24"/>
          <w:szCs w:val="24"/>
        </w:rPr>
      </w:pPr>
    </w:p>
    <w:p w14:paraId="5F78D579" w14:textId="79062786" w:rsidR="00C0590F" w:rsidRDefault="00C0590F">
      <w:pPr>
        <w:rPr>
          <w:rFonts w:ascii="Georgia" w:hAnsi="Georgia"/>
          <w:sz w:val="24"/>
          <w:szCs w:val="24"/>
        </w:rPr>
      </w:pPr>
      <w:r w:rsidRPr="004C0E19">
        <w:rPr>
          <w:rFonts w:ascii="Georgia" w:hAnsi="Georgia"/>
          <w:sz w:val="24"/>
          <w:szCs w:val="24"/>
        </w:rPr>
        <w:t>IIF US Holding LP, IIF US Holding 2 LP</w:t>
      </w:r>
      <w:r w:rsidRPr="004C0E19">
        <w:rPr>
          <w:rFonts w:ascii="Georgia" w:hAnsi="Georgia"/>
          <w:sz w:val="24"/>
          <w:szCs w:val="24"/>
        </w:rPr>
        <w:tab/>
      </w:r>
      <w:r w:rsidRPr="004C0E19">
        <w:rPr>
          <w:rFonts w:ascii="Georgia" w:hAnsi="Georgia"/>
          <w:sz w:val="24"/>
          <w:szCs w:val="24"/>
        </w:rPr>
        <w:tab/>
      </w:r>
      <w:r w:rsidRPr="004C0E19">
        <w:rPr>
          <w:rFonts w:ascii="Georgia" w:hAnsi="Georgia"/>
          <w:sz w:val="24"/>
          <w:szCs w:val="24"/>
        </w:rPr>
        <w:tab/>
      </w:r>
      <w:r w:rsidRPr="004C0E19">
        <w:rPr>
          <w:rFonts w:ascii="Georgia" w:hAnsi="Georgia"/>
          <w:sz w:val="24"/>
          <w:szCs w:val="24"/>
        </w:rPr>
        <w:tab/>
        <w:t>Docket No. EC20-94</w:t>
      </w:r>
    </w:p>
    <w:p w14:paraId="0EAB4ECF" w14:textId="5CFB0D06" w:rsidR="0045382D" w:rsidRDefault="0045382D">
      <w:pPr>
        <w:rPr>
          <w:rFonts w:ascii="Georgia" w:hAnsi="Georgia"/>
          <w:sz w:val="24"/>
          <w:szCs w:val="24"/>
        </w:rPr>
      </w:pPr>
    </w:p>
    <w:p w14:paraId="262F975E" w14:textId="44B60C7D" w:rsidR="0045382D" w:rsidRPr="00EC5D40" w:rsidRDefault="006D2F93" w:rsidP="006D2F93">
      <w:pPr>
        <w:jc w:val="center"/>
        <w:rPr>
          <w:rFonts w:ascii="Georgia" w:hAnsi="Georgia"/>
          <w:b/>
          <w:bCs/>
          <w:sz w:val="24"/>
          <w:szCs w:val="24"/>
        </w:rPr>
      </w:pPr>
      <w:r>
        <w:rPr>
          <w:rFonts w:ascii="Georgia" w:hAnsi="Georgia"/>
          <w:b/>
          <w:bCs/>
          <w:sz w:val="24"/>
          <w:szCs w:val="24"/>
        </w:rPr>
        <w:t>Protest</w:t>
      </w:r>
      <w:r w:rsidR="0045382D" w:rsidRPr="00EC5D40">
        <w:rPr>
          <w:rFonts w:ascii="Georgia" w:hAnsi="Georgia"/>
          <w:b/>
          <w:bCs/>
          <w:sz w:val="24"/>
          <w:szCs w:val="24"/>
        </w:rPr>
        <w:t xml:space="preserve"> of Public Citizen, Inc.</w:t>
      </w:r>
    </w:p>
    <w:p w14:paraId="25F40298" w14:textId="1D1435E5" w:rsidR="00C0590F" w:rsidRPr="004C0E19" w:rsidRDefault="00C0590F">
      <w:pPr>
        <w:rPr>
          <w:rFonts w:ascii="Georgia" w:hAnsi="Georgia"/>
          <w:sz w:val="24"/>
          <w:szCs w:val="24"/>
        </w:rPr>
      </w:pPr>
    </w:p>
    <w:p w14:paraId="73713E7C" w14:textId="323248BB" w:rsidR="00D94288" w:rsidRDefault="006726E8" w:rsidP="007240B7">
      <w:pPr>
        <w:spacing w:line="360" w:lineRule="auto"/>
        <w:rPr>
          <w:rFonts w:ascii="Georgia" w:hAnsi="Georgia"/>
          <w:sz w:val="24"/>
          <w:szCs w:val="24"/>
        </w:rPr>
      </w:pPr>
      <w:r>
        <w:rPr>
          <w:rFonts w:ascii="Georgia" w:hAnsi="Georgia"/>
          <w:sz w:val="24"/>
          <w:szCs w:val="24"/>
        </w:rPr>
        <w:tab/>
        <w:t>Pub</w:t>
      </w:r>
      <w:r w:rsidR="006D2F93">
        <w:rPr>
          <w:rFonts w:ascii="Georgia" w:hAnsi="Georgia"/>
          <w:sz w:val="24"/>
          <w:szCs w:val="24"/>
        </w:rPr>
        <w:t xml:space="preserve">lic Citizen protests the August 31 Application. </w:t>
      </w:r>
      <w:r w:rsidR="001F7CCC">
        <w:rPr>
          <w:rFonts w:ascii="Georgia" w:hAnsi="Georgia"/>
          <w:sz w:val="24"/>
          <w:szCs w:val="24"/>
        </w:rPr>
        <w:t xml:space="preserve">First, </w:t>
      </w:r>
      <w:r w:rsidR="00EA21AA">
        <w:rPr>
          <w:rFonts w:ascii="Georgia" w:hAnsi="Georgia"/>
          <w:sz w:val="24"/>
          <w:szCs w:val="24"/>
        </w:rPr>
        <w:t>the new IIF “owner”</w:t>
      </w:r>
      <w:r w:rsidR="00AC5B1F">
        <w:rPr>
          <w:rFonts w:ascii="Cambria" w:hAnsi="Cambria"/>
          <w:sz w:val="24"/>
          <w:szCs w:val="24"/>
        </w:rPr>
        <w:t>—</w:t>
      </w:r>
      <w:r w:rsidR="00AC5B1F">
        <w:rPr>
          <w:rFonts w:ascii="Georgia" w:hAnsi="Georgia"/>
          <w:sz w:val="24"/>
          <w:szCs w:val="24"/>
        </w:rPr>
        <w:t>Anne M. Cleary</w:t>
      </w:r>
      <w:r w:rsidR="00AC5B1F">
        <w:rPr>
          <w:rFonts w:ascii="Cambria" w:hAnsi="Cambria"/>
          <w:sz w:val="24"/>
          <w:szCs w:val="24"/>
        </w:rPr>
        <w:t>—</w:t>
      </w:r>
      <w:r w:rsidR="001155CE">
        <w:rPr>
          <w:rFonts w:ascii="Georgia" w:hAnsi="Georgia"/>
          <w:sz w:val="24"/>
          <w:szCs w:val="24"/>
        </w:rPr>
        <w:t xml:space="preserve">is not an owner in any typical sense, as none of the IIF “owners” actually contribute any capital. Instead, </w:t>
      </w:r>
      <w:r w:rsidR="00837866">
        <w:rPr>
          <w:rFonts w:ascii="Georgia" w:hAnsi="Georgia"/>
          <w:sz w:val="24"/>
          <w:szCs w:val="24"/>
        </w:rPr>
        <w:t xml:space="preserve">J.P. Morgan Chase &amp; Co. designed the “owners” to serve as a figurehead board of directors in an effort to </w:t>
      </w:r>
      <w:r w:rsidR="00361828">
        <w:rPr>
          <w:rFonts w:ascii="Georgia" w:hAnsi="Georgia"/>
          <w:sz w:val="24"/>
          <w:szCs w:val="24"/>
        </w:rPr>
        <w:t>evade</w:t>
      </w:r>
      <w:r w:rsidR="00837866">
        <w:rPr>
          <w:rFonts w:ascii="Georgia" w:hAnsi="Georgia"/>
          <w:sz w:val="24"/>
          <w:szCs w:val="24"/>
        </w:rPr>
        <w:t xml:space="preserve"> Bank Holding Company Act </w:t>
      </w:r>
      <w:r w:rsidR="007240B7">
        <w:rPr>
          <w:rFonts w:ascii="Georgia" w:hAnsi="Georgia"/>
          <w:sz w:val="24"/>
          <w:szCs w:val="24"/>
        </w:rPr>
        <w:t>restrictions</w:t>
      </w:r>
      <w:r w:rsidR="00837866">
        <w:rPr>
          <w:rFonts w:ascii="Georgia" w:hAnsi="Georgia"/>
          <w:sz w:val="24"/>
          <w:szCs w:val="24"/>
        </w:rPr>
        <w:t xml:space="preserve"> on JP Morgan’s </w:t>
      </w:r>
      <w:r w:rsidR="00361828">
        <w:rPr>
          <w:rFonts w:ascii="Georgia" w:hAnsi="Georgia"/>
          <w:sz w:val="24"/>
          <w:szCs w:val="24"/>
        </w:rPr>
        <w:t>control</w:t>
      </w:r>
      <w:r w:rsidR="00837866">
        <w:rPr>
          <w:rFonts w:ascii="Georgia" w:hAnsi="Georgia"/>
          <w:sz w:val="24"/>
          <w:szCs w:val="24"/>
        </w:rPr>
        <w:t xml:space="preserve"> of energy assets.</w:t>
      </w:r>
      <w:r w:rsidR="004B2885">
        <w:rPr>
          <w:rFonts w:ascii="Georgia" w:hAnsi="Georgia"/>
          <w:sz w:val="24"/>
          <w:szCs w:val="24"/>
        </w:rPr>
        <w:t xml:space="preserve"> </w:t>
      </w:r>
    </w:p>
    <w:p w14:paraId="239D11AC" w14:textId="6AFBF7A5" w:rsidR="00A56006" w:rsidRDefault="00072F2D" w:rsidP="007240B7">
      <w:pPr>
        <w:spacing w:line="360" w:lineRule="auto"/>
        <w:rPr>
          <w:rFonts w:ascii="Georgia" w:hAnsi="Georgia"/>
          <w:sz w:val="24"/>
          <w:szCs w:val="24"/>
        </w:rPr>
      </w:pPr>
      <w:r>
        <w:rPr>
          <w:rFonts w:ascii="Georgia" w:hAnsi="Georgia"/>
          <w:sz w:val="24"/>
          <w:szCs w:val="24"/>
        </w:rPr>
        <w:tab/>
        <w:t xml:space="preserve">Second, </w:t>
      </w:r>
      <w:r w:rsidR="00822B30">
        <w:rPr>
          <w:rFonts w:ascii="Georgia" w:hAnsi="Georgia"/>
          <w:sz w:val="24"/>
          <w:szCs w:val="24"/>
        </w:rPr>
        <w:t xml:space="preserve">the Application </w:t>
      </w:r>
      <w:r w:rsidR="00A8662F">
        <w:rPr>
          <w:rFonts w:ascii="Georgia" w:hAnsi="Georgia"/>
          <w:sz w:val="24"/>
          <w:szCs w:val="24"/>
        </w:rPr>
        <w:t xml:space="preserve">fails to include </w:t>
      </w:r>
      <w:r w:rsidR="00E3419E">
        <w:rPr>
          <w:rFonts w:ascii="Georgia" w:hAnsi="Georgia"/>
          <w:sz w:val="24"/>
          <w:szCs w:val="24"/>
        </w:rPr>
        <w:t>the relevant information required under Exhibits A, B</w:t>
      </w:r>
      <w:r w:rsidR="006A45E7">
        <w:rPr>
          <w:rFonts w:ascii="Georgia" w:hAnsi="Georgia"/>
          <w:sz w:val="24"/>
          <w:szCs w:val="24"/>
        </w:rPr>
        <w:t>, D</w:t>
      </w:r>
      <w:r w:rsidR="00E3419E">
        <w:rPr>
          <w:rFonts w:ascii="Georgia" w:hAnsi="Georgia"/>
          <w:sz w:val="24"/>
          <w:szCs w:val="24"/>
        </w:rPr>
        <w:t xml:space="preserve"> and E for proposed new “owner” </w:t>
      </w:r>
      <w:r w:rsidR="00281057">
        <w:rPr>
          <w:rFonts w:ascii="Georgia" w:hAnsi="Georgia"/>
          <w:sz w:val="24"/>
          <w:szCs w:val="24"/>
        </w:rPr>
        <w:t>Anne M. Cleary</w:t>
      </w:r>
      <w:r w:rsidR="006A45E7">
        <w:rPr>
          <w:rFonts w:ascii="Georgia" w:hAnsi="Georgia"/>
          <w:sz w:val="24"/>
          <w:szCs w:val="24"/>
        </w:rPr>
        <w:t>, as required by</w:t>
      </w:r>
      <w:r w:rsidR="00617DE4">
        <w:rPr>
          <w:rFonts w:ascii="Georgia" w:hAnsi="Georgia"/>
          <w:sz w:val="24"/>
          <w:szCs w:val="24"/>
        </w:rPr>
        <w:t xml:space="preserve"> </w:t>
      </w:r>
      <w:r w:rsidR="00617DE4" w:rsidRPr="00617DE4">
        <w:rPr>
          <w:rFonts w:ascii="Georgia" w:hAnsi="Georgia"/>
          <w:sz w:val="24"/>
          <w:szCs w:val="24"/>
        </w:rPr>
        <w:t>18 CFR § 33.2</w:t>
      </w:r>
      <w:r w:rsidR="00E3419E">
        <w:rPr>
          <w:rFonts w:ascii="Georgia" w:hAnsi="Georgia"/>
          <w:sz w:val="24"/>
          <w:szCs w:val="24"/>
        </w:rPr>
        <w:t>.</w:t>
      </w:r>
      <w:r w:rsidR="006C39D6">
        <w:rPr>
          <w:rFonts w:ascii="Georgia" w:hAnsi="Georgia"/>
          <w:sz w:val="24"/>
          <w:szCs w:val="24"/>
        </w:rPr>
        <w:t xml:space="preserve"> </w:t>
      </w:r>
    </w:p>
    <w:p w14:paraId="6FB58845" w14:textId="77777777" w:rsidR="00117CD9" w:rsidRDefault="00117CD9" w:rsidP="00C0590F">
      <w:pPr>
        <w:rPr>
          <w:rFonts w:ascii="Georgia" w:hAnsi="Georgia"/>
          <w:sz w:val="24"/>
          <w:szCs w:val="24"/>
        </w:rPr>
      </w:pPr>
    </w:p>
    <w:p w14:paraId="5CD3B430" w14:textId="40B48AED" w:rsidR="00707D91" w:rsidRDefault="00707D91" w:rsidP="00C0590F">
      <w:pPr>
        <w:rPr>
          <w:rFonts w:ascii="Georgia" w:hAnsi="Georgia"/>
          <w:sz w:val="24"/>
          <w:szCs w:val="24"/>
        </w:rPr>
      </w:pPr>
    </w:p>
    <w:p w14:paraId="694278BE" w14:textId="54755703" w:rsidR="00707D91" w:rsidRDefault="00F52988" w:rsidP="00117CD9">
      <w:pPr>
        <w:jc w:val="center"/>
        <w:rPr>
          <w:rFonts w:ascii="Georgia" w:hAnsi="Georgia"/>
          <w:b/>
          <w:bCs/>
          <w:sz w:val="24"/>
          <w:szCs w:val="24"/>
        </w:rPr>
      </w:pPr>
      <w:r w:rsidRPr="00117CD9">
        <w:rPr>
          <w:rFonts w:ascii="Georgia" w:hAnsi="Georgia"/>
          <w:b/>
          <w:bCs/>
          <w:sz w:val="24"/>
          <w:szCs w:val="24"/>
        </w:rPr>
        <w:t>About Public Citizen</w:t>
      </w:r>
    </w:p>
    <w:p w14:paraId="3497E8D4" w14:textId="77777777" w:rsidR="006C39D6" w:rsidRPr="00117CD9" w:rsidRDefault="006C39D6" w:rsidP="00117CD9">
      <w:pPr>
        <w:jc w:val="center"/>
        <w:rPr>
          <w:rFonts w:ascii="Georgia" w:hAnsi="Georgia"/>
          <w:b/>
          <w:bCs/>
          <w:sz w:val="24"/>
          <w:szCs w:val="24"/>
        </w:rPr>
      </w:pPr>
    </w:p>
    <w:p w14:paraId="400DA7D4" w14:textId="1E15C865" w:rsidR="00117CD9" w:rsidRDefault="00F52988" w:rsidP="00117CD9">
      <w:pPr>
        <w:spacing w:line="360" w:lineRule="auto"/>
        <w:rPr>
          <w:rFonts w:ascii="Georgia" w:hAnsi="Georgia"/>
          <w:sz w:val="24"/>
          <w:szCs w:val="24"/>
        </w:rPr>
      </w:pPr>
      <w:r>
        <w:rPr>
          <w:rFonts w:ascii="Georgia" w:hAnsi="Georgia"/>
          <w:sz w:val="24"/>
          <w:szCs w:val="24"/>
        </w:rPr>
        <w:tab/>
      </w:r>
      <w:r w:rsidR="00117CD9">
        <w:rPr>
          <w:rFonts w:ascii="Georgia" w:hAnsi="Georgia"/>
          <w:sz w:val="24"/>
          <w:szCs w:val="24"/>
        </w:rPr>
        <w:t xml:space="preserve">Established in 1971, </w:t>
      </w:r>
      <w:r w:rsidR="00117CD9" w:rsidRPr="00F829B0">
        <w:rPr>
          <w:rFonts w:ascii="Georgia" w:hAnsi="Georgia"/>
          <w:sz w:val="24"/>
          <w:szCs w:val="24"/>
        </w:rPr>
        <w:t>Public Citizen is a national, not-for-profit, non-partisan, research and advocacy organization representing the interests of household consumers. We are active before FERC promoting just and reasonable rates, and supporting efforts for utilities to be accountable to the public interest. Our financial details are located at our web site.</w:t>
      </w:r>
      <w:r w:rsidR="00117CD9" w:rsidRPr="00F829B0">
        <w:rPr>
          <w:rStyle w:val="FootnoteReference"/>
          <w:rFonts w:ascii="Georgia" w:hAnsi="Georgia"/>
          <w:sz w:val="24"/>
          <w:szCs w:val="24"/>
        </w:rPr>
        <w:footnoteReference w:id="1"/>
      </w:r>
      <w:r w:rsidR="00117CD9">
        <w:rPr>
          <w:rFonts w:ascii="Georgia" w:hAnsi="Georgia"/>
          <w:sz w:val="24"/>
          <w:szCs w:val="24"/>
        </w:rPr>
        <w:t xml:space="preserve"> We intervened </w:t>
      </w:r>
      <w:r w:rsidR="00B54121">
        <w:rPr>
          <w:rFonts w:ascii="Georgia" w:hAnsi="Georgia"/>
          <w:sz w:val="24"/>
          <w:szCs w:val="24"/>
        </w:rPr>
        <w:t xml:space="preserve">in this docket </w:t>
      </w:r>
      <w:r w:rsidR="00117CD9">
        <w:rPr>
          <w:rFonts w:ascii="Georgia" w:hAnsi="Georgia"/>
          <w:sz w:val="24"/>
          <w:szCs w:val="24"/>
        </w:rPr>
        <w:t>on September 8.</w:t>
      </w:r>
    </w:p>
    <w:p w14:paraId="1CF2C5C1" w14:textId="66EC34A6" w:rsidR="00F52988" w:rsidRDefault="00F52988" w:rsidP="00C0590F">
      <w:pPr>
        <w:rPr>
          <w:rFonts w:ascii="Georgia" w:hAnsi="Georgia"/>
          <w:sz w:val="24"/>
          <w:szCs w:val="24"/>
        </w:rPr>
      </w:pPr>
    </w:p>
    <w:p w14:paraId="240A32B2" w14:textId="1F5A0A36" w:rsidR="00D94288" w:rsidRDefault="00D94288" w:rsidP="00C0590F">
      <w:pPr>
        <w:rPr>
          <w:rFonts w:ascii="Georgia" w:hAnsi="Georgia"/>
          <w:sz w:val="24"/>
          <w:szCs w:val="24"/>
        </w:rPr>
      </w:pPr>
    </w:p>
    <w:p w14:paraId="5C4687C4" w14:textId="550011B8" w:rsidR="00987942" w:rsidRPr="007240B7" w:rsidRDefault="00987942" w:rsidP="007240B7">
      <w:pPr>
        <w:jc w:val="center"/>
        <w:rPr>
          <w:rFonts w:ascii="Georgia" w:hAnsi="Georgia"/>
          <w:b/>
          <w:bCs/>
          <w:sz w:val="24"/>
          <w:szCs w:val="24"/>
        </w:rPr>
      </w:pPr>
      <w:r w:rsidRPr="007240B7">
        <w:rPr>
          <w:rFonts w:ascii="Georgia" w:hAnsi="Georgia"/>
          <w:b/>
          <w:bCs/>
          <w:sz w:val="24"/>
          <w:szCs w:val="24"/>
        </w:rPr>
        <w:t xml:space="preserve">Public Citizen </w:t>
      </w:r>
      <w:r w:rsidR="007240B7">
        <w:rPr>
          <w:rFonts w:ascii="Georgia" w:hAnsi="Georgia"/>
          <w:b/>
          <w:bCs/>
          <w:sz w:val="24"/>
          <w:szCs w:val="24"/>
        </w:rPr>
        <w:t>Protest</w:t>
      </w:r>
    </w:p>
    <w:p w14:paraId="26344619" w14:textId="3E71E7D4" w:rsidR="00C415AD" w:rsidRDefault="00C415AD" w:rsidP="00C0590F">
      <w:pPr>
        <w:rPr>
          <w:rFonts w:ascii="Georgia" w:hAnsi="Georgia"/>
          <w:sz w:val="24"/>
          <w:szCs w:val="24"/>
        </w:rPr>
      </w:pPr>
    </w:p>
    <w:p w14:paraId="3696DBC5" w14:textId="2997034F" w:rsidR="001A0563" w:rsidRDefault="00854272" w:rsidP="001A0563">
      <w:pPr>
        <w:spacing w:line="360" w:lineRule="auto"/>
        <w:ind w:firstLine="720"/>
        <w:rPr>
          <w:rFonts w:ascii="Georgia" w:hAnsi="Georgia"/>
          <w:sz w:val="24"/>
          <w:szCs w:val="24"/>
        </w:rPr>
      </w:pPr>
      <w:r>
        <w:rPr>
          <w:rFonts w:ascii="Georgia" w:hAnsi="Georgia"/>
          <w:sz w:val="24"/>
          <w:szCs w:val="24"/>
        </w:rPr>
        <w:t xml:space="preserve">J.P. Morgan Chase &amp; Co. is a Bank Holding Company subject to regulation by the Federal </w:t>
      </w:r>
      <w:r w:rsidR="002119ED">
        <w:rPr>
          <w:rFonts w:ascii="Georgia" w:hAnsi="Georgia"/>
          <w:sz w:val="24"/>
          <w:szCs w:val="24"/>
        </w:rPr>
        <w:t>Reserve</w:t>
      </w:r>
      <w:r>
        <w:rPr>
          <w:rFonts w:ascii="Georgia" w:hAnsi="Georgia"/>
          <w:sz w:val="24"/>
          <w:szCs w:val="24"/>
        </w:rPr>
        <w:t xml:space="preserve">. </w:t>
      </w:r>
      <w:r w:rsidR="001A0563">
        <w:rPr>
          <w:rFonts w:ascii="Georgia" w:hAnsi="Georgia"/>
          <w:sz w:val="24"/>
          <w:szCs w:val="24"/>
        </w:rPr>
        <w:t xml:space="preserve">J.P. Morgan Chase &amp; Co. created </w:t>
      </w:r>
      <w:r w:rsidR="009E35D7">
        <w:rPr>
          <w:rFonts w:ascii="Georgia" w:hAnsi="Georgia"/>
          <w:sz w:val="24"/>
          <w:szCs w:val="24"/>
        </w:rPr>
        <w:t xml:space="preserve">the </w:t>
      </w:r>
      <w:r w:rsidR="001A0563">
        <w:rPr>
          <w:rFonts w:ascii="Georgia" w:hAnsi="Georgia"/>
          <w:sz w:val="24"/>
          <w:szCs w:val="24"/>
        </w:rPr>
        <w:t>IIF</w:t>
      </w:r>
      <w:r w:rsidR="009E35D7">
        <w:rPr>
          <w:rFonts w:ascii="Georgia" w:hAnsi="Georgia"/>
          <w:sz w:val="24"/>
          <w:szCs w:val="24"/>
        </w:rPr>
        <w:t xml:space="preserve"> shell companies</w:t>
      </w:r>
      <w:r w:rsidR="001A0563">
        <w:rPr>
          <w:rFonts w:ascii="Georgia" w:hAnsi="Georgia"/>
          <w:sz w:val="24"/>
          <w:szCs w:val="24"/>
        </w:rPr>
        <w:t xml:space="preserve"> as off-the-books private equit</w:t>
      </w:r>
      <w:r w:rsidR="009E35D7">
        <w:rPr>
          <w:rFonts w:ascii="Georgia" w:hAnsi="Georgia"/>
          <w:sz w:val="24"/>
          <w:szCs w:val="24"/>
        </w:rPr>
        <w:t>y entities in an effort to evade regulation by the Federal Reserve</w:t>
      </w:r>
      <w:r>
        <w:rPr>
          <w:rFonts w:ascii="Georgia" w:hAnsi="Georgia"/>
          <w:sz w:val="24"/>
          <w:szCs w:val="24"/>
        </w:rPr>
        <w:t>.</w:t>
      </w:r>
      <w:r w:rsidR="001A0563">
        <w:rPr>
          <w:rFonts w:ascii="Georgia" w:hAnsi="Georgia"/>
          <w:sz w:val="24"/>
          <w:szCs w:val="24"/>
        </w:rPr>
        <w:t xml:space="preserve"> J.P. Morgan Chase &amp; Co submitted a </w:t>
      </w:r>
      <w:r w:rsidR="001A0563" w:rsidRPr="000129DE">
        <w:rPr>
          <w:rFonts w:ascii="Georgia" w:hAnsi="Georgia"/>
          <w:i/>
          <w:iCs/>
          <w:sz w:val="24"/>
          <w:szCs w:val="24"/>
        </w:rPr>
        <w:t>Notice to the Board of Governors of the Federal Reserve System</w:t>
      </w:r>
      <w:r w:rsidR="001A0563" w:rsidRPr="000129DE">
        <w:rPr>
          <w:rFonts w:ascii="Georgia" w:hAnsi="Georgia"/>
          <w:sz w:val="24"/>
          <w:szCs w:val="24"/>
        </w:rPr>
        <w:t xml:space="preserve"> on July 21, 2005</w:t>
      </w:r>
      <w:r w:rsidR="001A0563">
        <w:rPr>
          <w:rFonts w:ascii="Georgia" w:hAnsi="Georgia"/>
          <w:sz w:val="24"/>
          <w:szCs w:val="24"/>
        </w:rPr>
        <w:t>, where the bank stated that:</w:t>
      </w:r>
    </w:p>
    <w:p w14:paraId="5479D54E" w14:textId="77777777" w:rsidR="001A0563" w:rsidRPr="0084345F" w:rsidRDefault="001A0563" w:rsidP="001A0563">
      <w:pPr>
        <w:ind w:left="1440"/>
        <w:rPr>
          <w:rFonts w:ascii="Georgia" w:hAnsi="Georgia"/>
          <w:i/>
          <w:iCs/>
        </w:rPr>
      </w:pPr>
      <w:r w:rsidRPr="003666D2">
        <w:rPr>
          <w:rFonts w:ascii="Georgia" w:hAnsi="Georgia"/>
          <w:i/>
          <w:iCs/>
        </w:rPr>
        <w:lastRenderedPageBreak/>
        <w:t>JPM Chase commits to the Board that it will not acquire or operate facilities in the United States for the extraction, transportation, storage or distribution of commodities.</w:t>
      </w:r>
      <w:r>
        <w:rPr>
          <w:rStyle w:val="FootnoteReference"/>
          <w:rFonts w:ascii="Georgia" w:hAnsi="Georgia"/>
          <w:i/>
          <w:iCs/>
        </w:rPr>
        <w:footnoteReference w:id="2"/>
      </w:r>
    </w:p>
    <w:p w14:paraId="60F8E8C7" w14:textId="77777777" w:rsidR="001A0563" w:rsidRDefault="001A0563" w:rsidP="001A0563">
      <w:pPr>
        <w:spacing w:line="360" w:lineRule="auto"/>
        <w:ind w:firstLine="720"/>
        <w:rPr>
          <w:rFonts w:ascii="Georgia" w:hAnsi="Georgia"/>
          <w:sz w:val="24"/>
          <w:szCs w:val="24"/>
        </w:rPr>
      </w:pPr>
    </w:p>
    <w:p w14:paraId="4806F328" w14:textId="73094E97" w:rsidR="001A0563" w:rsidRDefault="001A0563" w:rsidP="001A0563">
      <w:pPr>
        <w:spacing w:line="360" w:lineRule="auto"/>
        <w:ind w:firstLine="720"/>
        <w:rPr>
          <w:rFonts w:ascii="Georgia" w:hAnsi="Georgia"/>
          <w:sz w:val="24"/>
          <w:szCs w:val="24"/>
        </w:rPr>
      </w:pPr>
      <w:r>
        <w:rPr>
          <w:rFonts w:ascii="Georgia" w:hAnsi="Georgia"/>
          <w:sz w:val="24"/>
          <w:szCs w:val="24"/>
        </w:rPr>
        <w:t xml:space="preserve">One year after making this pledge to the Federal Reserve, </w:t>
      </w:r>
      <w:r w:rsidRPr="00E643D6">
        <w:rPr>
          <w:rFonts w:ascii="Georgia" w:hAnsi="Georgia"/>
          <w:sz w:val="24"/>
          <w:szCs w:val="24"/>
        </w:rPr>
        <w:t>J</w:t>
      </w:r>
      <w:r>
        <w:rPr>
          <w:rFonts w:ascii="Georgia" w:hAnsi="Georgia"/>
          <w:sz w:val="24"/>
          <w:szCs w:val="24"/>
        </w:rPr>
        <w:t>.</w:t>
      </w:r>
      <w:r w:rsidRPr="00E643D6">
        <w:rPr>
          <w:rFonts w:ascii="Georgia" w:hAnsi="Georgia"/>
          <w:sz w:val="24"/>
          <w:szCs w:val="24"/>
        </w:rPr>
        <w:t>P</w:t>
      </w:r>
      <w:r>
        <w:rPr>
          <w:rFonts w:ascii="Georgia" w:hAnsi="Georgia"/>
          <w:sz w:val="24"/>
          <w:szCs w:val="24"/>
        </w:rPr>
        <w:t>.</w:t>
      </w:r>
      <w:r w:rsidRPr="00E643D6">
        <w:rPr>
          <w:rFonts w:ascii="Georgia" w:hAnsi="Georgia"/>
          <w:sz w:val="24"/>
          <w:szCs w:val="24"/>
        </w:rPr>
        <w:t xml:space="preserve"> Morgan </w:t>
      </w:r>
      <w:r>
        <w:rPr>
          <w:rFonts w:ascii="Georgia" w:hAnsi="Georgia"/>
          <w:sz w:val="24"/>
          <w:szCs w:val="24"/>
        </w:rPr>
        <w:t xml:space="preserve">Chase &amp; Co. created a new </w:t>
      </w:r>
      <w:r w:rsidRPr="00E643D6">
        <w:rPr>
          <w:rFonts w:ascii="Georgia" w:hAnsi="Georgia"/>
          <w:sz w:val="24"/>
          <w:szCs w:val="24"/>
        </w:rPr>
        <w:t>lightly-regulated private equity arm of the bank’s asset management division</w:t>
      </w:r>
      <w:r w:rsidR="002F5187">
        <w:rPr>
          <w:rFonts w:ascii="Georgia" w:hAnsi="Georgia"/>
          <w:sz w:val="24"/>
          <w:szCs w:val="24"/>
        </w:rPr>
        <w:t>,</w:t>
      </w:r>
      <w:r>
        <w:rPr>
          <w:rFonts w:ascii="Georgia" w:hAnsi="Georgia"/>
          <w:sz w:val="24"/>
          <w:szCs w:val="24"/>
        </w:rPr>
        <w:t xml:space="preserve"> legally </w:t>
      </w:r>
      <w:r w:rsidR="00131B92">
        <w:rPr>
          <w:rFonts w:ascii="Georgia" w:hAnsi="Georgia"/>
          <w:sz w:val="24"/>
          <w:szCs w:val="24"/>
        </w:rPr>
        <w:t>naming</w:t>
      </w:r>
      <w:r>
        <w:rPr>
          <w:rFonts w:ascii="Georgia" w:hAnsi="Georgia"/>
          <w:sz w:val="24"/>
          <w:szCs w:val="24"/>
        </w:rPr>
        <w:t xml:space="preserve"> it </w:t>
      </w:r>
      <w:r w:rsidRPr="00917721">
        <w:rPr>
          <w:rFonts w:ascii="Georgia" w:hAnsi="Georgia"/>
          <w:i/>
          <w:iCs/>
          <w:sz w:val="24"/>
          <w:szCs w:val="24"/>
        </w:rPr>
        <w:t>J.P. Morgan IIF</w:t>
      </w:r>
      <w:r>
        <w:rPr>
          <w:rFonts w:ascii="Georgia" w:hAnsi="Georgia"/>
          <w:sz w:val="24"/>
          <w:szCs w:val="24"/>
        </w:rPr>
        <w:t>.</w:t>
      </w:r>
      <w:r>
        <w:rPr>
          <w:rStyle w:val="FootnoteReference"/>
          <w:rFonts w:ascii="Georgia" w:hAnsi="Georgia"/>
          <w:sz w:val="24"/>
          <w:szCs w:val="24"/>
        </w:rPr>
        <w:footnoteReference w:id="3"/>
      </w:r>
      <w:r>
        <w:rPr>
          <w:rFonts w:ascii="Georgia" w:hAnsi="Georgia"/>
          <w:sz w:val="24"/>
          <w:szCs w:val="24"/>
        </w:rPr>
        <w:t xml:space="preserve"> J.P. Morgan had financial incentive to self-brand its new private equity arm, as selling securities to institutional investors is easier when the name on those securities is “J.P. Morgan”.</w:t>
      </w:r>
      <w:r>
        <w:rPr>
          <w:rFonts w:ascii="Cambria" w:hAnsi="Cambria"/>
          <w:sz w:val="24"/>
          <w:szCs w:val="24"/>
        </w:rPr>
        <w:t xml:space="preserve"> </w:t>
      </w:r>
      <w:r>
        <w:rPr>
          <w:rFonts w:ascii="Georgia" w:hAnsi="Georgia"/>
          <w:sz w:val="24"/>
          <w:szCs w:val="24"/>
        </w:rPr>
        <w:t>J.P. Morgan retained its name on IIF’s securities sales through the first ten years of its existence.</w:t>
      </w:r>
      <w:r>
        <w:rPr>
          <w:rStyle w:val="FootnoteReference"/>
          <w:rFonts w:ascii="Georgia" w:hAnsi="Georgia"/>
          <w:sz w:val="24"/>
          <w:szCs w:val="24"/>
        </w:rPr>
        <w:footnoteReference w:id="4"/>
      </w:r>
      <w:r w:rsidRPr="00E643D6">
        <w:rPr>
          <w:rFonts w:ascii="Georgia" w:hAnsi="Georgia"/>
          <w:sz w:val="24"/>
          <w:szCs w:val="24"/>
        </w:rPr>
        <w:t xml:space="preserve"> </w:t>
      </w:r>
      <w:r>
        <w:rPr>
          <w:rFonts w:ascii="Georgia" w:hAnsi="Georgia"/>
          <w:sz w:val="24"/>
          <w:szCs w:val="24"/>
        </w:rPr>
        <w:t xml:space="preserve">J.P. Morgan’s decision to remove its name from IIF by 2016 did not reflect any diminished management role for the bank, but rather acknowledged that J.P. Morgan had established IIF as an investment vehicle. </w:t>
      </w:r>
    </w:p>
    <w:p w14:paraId="4DAB2FB4" w14:textId="53D3713A" w:rsidR="001A0563" w:rsidRDefault="001A0563" w:rsidP="001A0563">
      <w:pPr>
        <w:spacing w:line="360" w:lineRule="auto"/>
        <w:ind w:firstLine="720"/>
        <w:rPr>
          <w:rFonts w:ascii="Georgia" w:hAnsi="Georgia"/>
          <w:sz w:val="24"/>
          <w:szCs w:val="24"/>
        </w:rPr>
      </w:pPr>
      <w:r>
        <w:rPr>
          <w:rFonts w:ascii="Georgia" w:hAnsi="Georgia"/>
          <w:sz w:val="24"/>
          <w:szCs w:val="24"/>
        </w:rPr>
        <w:t xml:space="preserve">Seventy-nine percent of </w:t>
      </w:r>
      <w:r w:rsidR="00335FB4">
        <w:rPr>
          <w:rFonts w:ascii="Georgia" w:hAnsi="Georgia"/>
          <w:sz w:val="24"/>
          <w:szCs w:val="24"/>
        </w:rPr>
        <w:t xml:space="preserve">the equity invested by </w:t>
      </w:r>
      <w:r>
        <w:rPr>
          <w:rFonts w:ascii="Georgia" w:hAnsi="Georgia"/>
          <w:sz w:val="24"/>
          <w:szCs w:val="24"/>
        </w:rPr>
        <w:t xml:space="preserve">IIF’s </w:t>
      </w:r>
      <w:r w:rsidR="000912A8">
        <w:rPr>
          <w:rFonts w:ascii="Georgia" w:hAnsi="Georgia"/>
          <w:sz w:val="24"/>
          <w:szCs w:val="24"/>
        </w:rPr>
        <w:t>limited partners</w:t>
      </w:r>
      <w:r>
        <w:rPr>
          <w:rFonts w:ascii="Georgia" w:hAnsi="Georgia"/>
          <w:sz w:val="24"/>
          <w:szCs w:val="24"/>
        </w:rPr>
        <w:t xml:space="preserve"> is raised from foreign sources: 27% from the United Kingdom, 18% Europe (excluding the U.K.), 13% Canada, 8% Japan, 6% the Middle East, 4% Australia, 2% Asia (excluding Japan) and 1% “other”. Only 21% of IIF’s equity is from the United States.</w:t>
      </w:r>
      <w:r>
        <w:rPr>
          <w:rStyle w:val="FootnoteReference"/>
          <w:rFonts w:ascii="Georgia" w:hAnsi="Georgia"/>
          <w:sz w:val="24"/>
          <w:szCs w:val="24"/>
        </w:rPr>
        <w:footnoteReference w:id="5"/>
      </w:r>
      <w:r>
        <w:rPr>
          <w:rFonts w:ascii="Georgia" w:hAnsi="Georgia"/>
          <w:sz w:val="24"/>
          <w:szCs w:val="24"/>
        </w:rPr>
        <w:t xml:space="preserve"> </w:t>
      </w:r>
    </w:p>
    <w:p w14:paraId="32D77314" w14:textId="48798B25" w:rsidR="00C415AD" w:rsidRDefault="001A0563" w:rsidP="001374C1">
      <w:pPr>
        <w:spacing w:line="360" w:lineRule="auto"/>
        <w:ind w:firstLine="720"/>
        <w:rPr>
          <w:rFonts w:ascii="Georgia" w:hAnsi="Georgia"/>
          <w:sz w:val="24"/>
          <w:szCs w:val="24"/>
        </w:rPr>
      </w:pPr>
      <w:r w:rsidRPr="00E643D6">
        <w:rPr>
          <w:rFonts w:ascii="Georgia" w:hAnsi="Georgia"/>
          <w:sz w:val="24"/>
          <w:szCs w:val="24"/>
        </w:rPr>
        <w:t>J</w:t>
      </w:r>
      <w:r>
        <w:rPr>
          <w:rFonts w:ascii="Georgia" w:hAnsi="Georgia"/>
          <w:sz w:val="24"/>
          <w:szCs w:val="24"/>
        </w:rPr>
        <w:t>.</w:t>
      </w:r>
      <w:r w:rsidRPr="00E643D6">
        <w:rPr>
          <w:rFonts w:ascii="Georgia" w:hAnsi="Georgia"/>
          <w:sz w:val="24"/>
          <w:szCs w:val="24"/>
        </w:rPr>
        <w:t>P</w:t>
      </w:r>
      <w:r>
        <w:rPr>
          <w:rFonts w:ascii="Georgia" w:hAnsi="Georgia"/>
          <w:sz w:val="24"/>
          <w:szCs w:val="24"/>
        </w:rPr>
        <w:t>.</w:t>
      </w:r>
      <w:r w:rsidRPr="00E643D6">
        <w:rPr>
          <w:rFonts w:ascii="Georgia" w:hAnsi="Georgia"/>
          <w:sz w:val="24"/>
          <w:szCs w:val="24"/>
        </w:rPr>
        <w:t xml:space="preserve"> Morgan</w:t>
      </w:r>
      <w:r>
        <w:rPr>
          <w:rFonts w:ascii="Georgia" w:hAnsi="Georgia"/>
          <w:sz w:val="24"/>
          <w:szCs w:val="24"/>
        </w:rPr>
        <w:t>’s control over IIF is deeper than just the legacy of naming rights</w:t>
      </w:r>
      <w:r>
        <w:rPr>
          <w:rFonts w:ascii="Cambria" w:hAnsi="Cambria"/>
          <w:sz w:val="24"/>
          <w:szCs w:val="24"/>
        </w:rPr>
        <w:t>—</w:t>
      </w:r>
      <w:r>
        <w:rPr>
          <w:rFonts w:ascii="Georgia" w:hAnsi="Georgia"/>
          <w:sz w:val="24"/>
          <w:szCs w:val="24"/>
        </w:rPr>
        <w:t>J.P. Morgan designed IIF’s</w:t>
      </w:r>
      <w:r w:rsidRPr="00E643D6">
        <w:rPr>
          <w:rFonts w:ascii="Georgia" w:hAnsi="Georgia"/>
          <w:sz w:val="24"/>
          <w:szCs w:val="24"/>
        </w:rPr>
        <w:t xml:space="preserve"> weak corporate controls to maximize the bank’s ability to </w:t>
      </w:r>
      <w:r>
        <w:rPr>
          <w:rFonts w:ascii="Georgia" w:hAnsi="Georgia"/>
          <w:sz w:val="24"/>
          <w:szCs w:val="24"/>
        </w:rPr>
        <w:t>direct</w:t>
      </w:r>
      <w:r w:rsidRPr="00E643D6">
        <w:rPr>
          <w:rFonts w:ascii="Georgia" w:hAnsi="Georgia"/>
          <w:sz w:val="24"/>
          <w:szCs w:val="24"/>
        </w:rPr>
        <w:t xml:space="preserve"> IIF</w:t>
      </w:r>
      <w:r>
        <w:rPr>
          <w:rFonts w:ascii="Georgia" w:hAnsi="Georgia"/>
          <w:sz w:val="24"/>
          <w:szCs w:val="24"/>
        </w:rPr>
        <w:t>’s operations and investments. To deflect regulator’s curiosity of upstream control by J.P. Morgan, the bank designed a false “ownership” structure consisting of three term-limited individuals who, in turn, delegate day-to-day authorities to J.P. Morgan Chase &amp; Co. IIF has previously acknowledged that J.P. Morgan Chase &amp; Co. can influence the selection of new “owners”.</w:t>
      </w:r>
      <w:r>
        <w:rPr>
          <w:rStyle w:val="FootnoteReference"/>
          <w:rFonts w:ascii="Georgia" w:hAnsi="Georgia"/>
          <w:sz w:val="24"/>
          <w:szCs w:val="24"/>
        </w:rPr>
        <w:footnoteReference w:id="6"/>
      </w:r>
    </w:p>
    <w:p w14:paraId="0D68E99F" w14:textId="1288AEF8" w:rsidR="00527C75" w:rsidRDefault="00813AA4" w:rsidP="001374C1">
      <w:pPr>
        <w:spacing w:line="360" w:lineRule="auto"/>
        <w:rPr>
          <w:rFonts w:ascii="Georgia" w:hAnsi="Georgia"/>
          <w:sz w:val="24"/>
          <w:szCs w:val="24"/>
        </w:rPr>
      </w:pPr>
      <w:r>
        <w:rPr>
          <w:rFonts w:ascii="Georgia" w:hAnsi="Georgia"/>
          <w:sz w:val="24"/>
          <w:szCs w:val="24"/>
        </w:rPr>
        <w:tab/>
      </w:r>
      <w:r w:rsidR="00094567">
        <w:rPr>
          <w:rFonts w:ascii="Georgia" w:hAnsi="Georgia"/>
          <w:sz w:val="24"/>
          <w:szCs w:val="24"/>
        </w:rPr>
        <w:t xml:space="preserve">IIF </w:t>
      </w:r>
      <w:r w:rsidR="003D4ED5">
        <w:rPr>
          <w:rFonts w:ascii="Georgia" w:hAnsi="Georgia"/>
          <w:sz w:val="24"/>
          <w:szCs w:val="24"/>
        </w:rPr>
        <w:t>earlier</w:t>
      </w:r>
      <w:r w:rsidR="00094567">
        <w:rPr>
          <w:rFonts w:ascii="Georgia" w:hAnsi="Georgia"/>
          <w:sz w:val="24"/>
          <w:szCs w:val="24"/>
        </w:rPr>
        <w:t xml:space="preserve"> disclosed to the Commission that its “owners”</w:t>
      </w:r>
      <w:r w:rsidR="002D2E86">
        <w:rPr>
          <w:rFonts w:ascii="Georgia" w:hAnsi="Georgia"/>
          <w:sz w:val="24"/>
          <w:szCs w:val="24"/>
        </w:rPr>
        <w:t xml:space="preserve"> do not actually contribute any money or capital</w:t>
      </w:r>
      <w:r w:rsidR="00527C75">
        <w:rPr>
          <w:rFonts w:ascii="Georgia" w:hAnsi="Georgia"/>
          <w:sz w:val="24"/>
          <w:szCs w:val="24"/>
        </w:rPr>
        <w:t>:</w:t>
      </w:r>
    </w:p>
    <w:p w14:paraId="7C686D10" w14:textId="77777777" w:rsidR="00404BF0" w:rsidRDefault="00404BF0" w:rsidP="00404BF0">
      <w:pPr>
        <w:rPr>
          <w:rFonts w:ascii="Georgia" w:hAnsi="Georgia"/>
          <w:sz w:val="24"/>
          <w:szCs w:val="24"/>
        </w:rPr>
      </w:pPr>
    </w:p>
    <w:p w14:paraId="4D2CE996" w14:textId="0C0F5299" w:rsidR="00404BF0" w:rsidRPr="00AD2995" w:rsidRDefault="00404BF0" w:rsidP="00404BF0">
      <w:pPr>
        <w:ind w:left="720"/>
        <w:rPr>
          <w:rFonts w:ascii="Georgia" w:hAnsi="Georgia"/>
          <w:i/>
          <w:iCs/>
        </w:rPr>
      </w:pPr>
      <w:r w:rsidRPr="00AD2995">
        <w:rPr>
          <w:rFonts w:ascii="Georgia" w:hAnsi="Georgia"/>
          <w:i/>
          <w:iCs/>
        </w:rPr>
        <w:t xml:space="preserve">The ownership interests in IIF 2 GP held pro rata by each of the three IIF 2 GP Owners have </w:t>
      </w:r>
      <w:r w:rsidRPr="00AD2995">
        <w:rPr>
          <w:rFonts w:ascii="Georgia" w:hAnsi="Georgia"/>
          <w:i/>
          <w:iCs/>
          <w:u w:val="single"/>
        </w:rPr>
        <w:t>an assigned nominal value</w:t>
      </w:r>
      <w:r w:rsidRPr="00AD2995">
        <w:rPr>
          <w:rFonts w:ascii="Georgia" w:hAnsi="Georgia"/>
          <w:i/>
          <w:iCs/>
        </w:rPr>
        <w:t xml:space="preserve"> of $10,000 per holder . . . An IIF 2 GP Owner at the </w:t>
      </w:r>
      <w:r w:rsidRPr="00AD2995">
        <w:rPr>
          <w:rFonts w:ascii="Georgia" w:hAnsi="Georgia"/>
          <w:i/>
          <w:iCs/>
        </w:rPr>
        <w:lastRenderedPageBreak/>
        <w:t xml:space="preserve">end of his or her tenure is required to </w:t>
      </w:r>
      <w:r w:rsidRPr="00AD2995">
        <w:rPr>
          <w:rFonts w:ascii="Georgia" w:hAnsi="Georgia"/>
          <w:i/>
          <w:iCs/>
          <w:u w:val="single"/>
        </w:rPr>
        <w:t>transfer</w:t>
      </w:r>
      <w:r w:rsidRPr="00AD2995">
        <w:rPr>
          <w:rFonts w:ascii="Georgia" w:hAnsi="Georgia"/>
          <w:i/>
          <w:iCs/>
        </w:rPr>
        <w:t>, subject to required regulatory approvals, his or her ownership interest in IIF 2 GP to the replacement IIF 2 GP Owner.</w:t>
      </w:r>
      <w:r w:rsidR="00B01367">
        <w:rPr>
          <w:rFonts w:ascii="Georgia" w:hAnsi="Georgia"/>
          <w:i/>
          <w:iCs/>
        </w:rPr>
        <w:t xml:space="preserve"> </w:t>
      </w:r>
      <w:r w:rsidR="005B40F9" w:rsidRPr="00B01367">
        <w:rPr>
          <w:rFonts w:ascii="Georgia" w:hAnsi="Georgia"/>
        </w:rPr>
        <w:t>[</w:t>
      </w:r>
      <w:r w:rsidR="005B40F9">
        <w:rPr>
          <w:rFonts w:ascii="Georgia" w:hAnsi="Georgia"/>
        </w:rPr>
        <w:t>emphasis added]</w:t>
      </w:r>
      <w:r>
        <w:rPr>
          <w:rStyle w:val="FootnoteReference"/>
          <w:rFonts w:ascii="Georgia" w:hAnsi="Georgia"/>
          <w:i/>
          <w:iCs/>
        </w:rPr>
        <w:footnoteReference w:id="7"/>
      </w:r>
      <w:r w:rsidRPr="00AD2995">
        <w:rPr>
          <w:rFonts w:ascii="Georgia" w:hAnsi="Georgia"/>
          <w:i/>
          <w:iCs/>
        </w:rPr>
        <w:t xml:space="preserve"> </w:t>
      </w:r>
    </w:p>
    <w:p w14:paraId="4F09F330" w14:textId="77777777" w:rsidR="00404BF0" w:rsidRDefault="00404BF0" w:rsidP="00404BF0">
      <w:pPr>
        <w:rPr>
          <w:rFonts w:ascii="Georgia" w:hAnsi="Georgia"/>
          <w:sz w:val="24"/>
          <w:szCs w:val="24"/>
        </w:rPr>
      </w:pPr>
    </w:p>
    <w:p w14:paraId="38FF0CD8" w14:textId="6303538E" w:rsidR="00527C75" w:rsidRDefault="00404BF0" w:rsidP="00BE4BBD">
      <w:pPr>
        <w:spacing w:line="360" w:lineRule="auto"/>
        <w:rPr>
          <w:rFonts w:ascii="Georgia" w:hAnsi="Georgia"/>
          <w:sz w:val="24"/>
          <w:szCs w:val="24"/>
        </w:rPr>
      </w:pPr>
      <w:r>
        <w:rPr>
          <w:rFonts w:ascii="Georgia" w:hAnsi="Georgia"/>
          <w:sz w:val="24"/>
          <w:szCs w:val="24"/>
        </w:rPr>
        <w:tab/>
        <w:t>Note the careful wording: the value of $10,000 is “assigned” to the owners, and the $10,000 is “transferred” to new owners after the terms are up. This implies that the three “owners” are not even required to pony up the $10,000 themselves</w:t>
      </w:r>
      <w:r w:rsidR="007B5593">
        <w:rPr>
          <w:rFonts w:ascii="Georgia" w:hAnsi="Georgia"/>
          <w:sz w:val="24"/>
          <w:szCs w:val="24"/>
        </w:rPr>
        <w:t>. Therefore Ms. Cleary is not an “owner”, but rather</w:t>
      </w:r>
      <w:r w:rsidR="00671C60">
        <w:rPr>
          <w:rFonts w:ascii="Georgia" w:hAnsi="Georgia"/>
          <w:sz w:val="24"/>
          <w:szCs w:val="24"/>
        </w:rPr>
        <w:t xml:space="preserve"> has been selected to serve as one of three caretaker members of a trustee board.</w:t>
      </w:r>
      <w:r w:rsidR="00B01367">
        <w:rPr>
          <w:rFonts w:ascii="Georgia" w:hAnsi="Georgia"/>
          <w:sz w:val="24"/>
          <w:szCs w:val="24"/>
        </w:rPr>
        <w:t xml:space="preserve"> That board, in turn, has delegated sweeping authorities to J.P. Morgan Chase &amp; Co.</w:t>
      </w:r>
    </w:p>
    <w:p w14:paraId="3700A106" w14:textId="2E2E3753" w:rsidR="00892CFC" w:rsidRDefault="00892CFC" w:rsidP="00404BF0">
      <w:pPr>
        <w:rPr>
          <w:rFonts w:ascii="Georgia" w:hAnsi="Georgia"/>
          <w:sz w:val="24"/>
          <w:szCs w:val="24"/>
        </w:rPr>
      </w:pPr>
    </w:p>
    <w:p w14:paraId="3E0D4451" w14:textId="6D853D13" w:rsidR="00892CFC" w:rsidRPr="00D715D7" w:rsidRDefault="00B8728A" w:rsidP="00D715D7">
      <w:pPr>
        <w:jc w:val="center"/>
        <w:rPr>
          <w:rFonts w:ascii="Georgia" w:hAnsi="Georgia"/>
          <w:b/>
          <w:bCs/>
          <w:sz w:val="24"/>
          <w:szCs w:val="24"/>
        </w:rPr>
      </w:pPr>
      <w:r w:rsidRPr="00D715D7">
        <w:rPr>
          <w:rFonts w:ascii="Georgia" w:hAnsi="Georgia"/>
          <w:b/>
          <w:bCs/>
          <w:sz w:val="24"/>
          <w:szCs w:val="24"/>
        </w:rPr>
        <w:t xml:space="preserve">The Commission Should Not Grant Waivers </w:t>
      </w:r>
      <w:r w:rsidR="00FB31F7" w:rsidRPr="00D715D7">
        <w:rPr>
          <w:rFonts w:ascii="Georgia" w:hAnsi="Georgia"/>
          <w:b/>
          <w:bCs/>
          <w:sz w:val="24"/>
          <w:szCs w:val="24"/>
        </w:rPr>
        <w:t>To File Exhibits A, B, D and E</w:t>
      </w:r>
    </w:p>
    <w:p w14:paraId="2B84F392" w14:textId="2680F0A5" w:rsidR="00FB31F7" w:rsidRDefault="00FB31F7" w:rsidP="00404BF0">
      <w:pPr>
        <w:rPr>
          <w:rFonts w:ascii="Georgia" w:hAnsi="Georgia"/>
          <w:sz w:val="24"/>
          <w:szCs w:val="24"/>
        </w:rPr>
      </w:pPr>
    </w:p>
    <w:p w14:paraId="3B9CC428" w14:textId="4EFDE59A" w:rsidR="00FB31F7" w:rsidRDefault="004A0F24" w:rsidP="00BE4BBD">
      <w:pPr>
        <w:spacing w:line="360" w:lineRule="auto"/>
        <w:rPr>
          <w:rFonts w:ascii="Georgia" w:hAnsi="Georgia"/>
          <w:sz w:val="24"/>
          <w:szCs w:val="24"/>
        </w:rPr>
      </w:pPr>
      <w:r>
        <w:rPr>
          <w:rFonts w:ascii="Georgia" w:hAnsi="Georgia"/>
          <w:sz w:val="24"/>
          <w:szCs w:val="24"/>
        </w:rPr>
        <w:tab/>
        <w:t xml:space="preserve">The August 31 </w:t>
      </w:r>
      <w:r w:rsidR="00B251EB">
        <w:rPr>
          <w:rFonts w:ascii="Georgia" w:hAnsi="Georgia"/>
          <w:sz w:val="24"/>
          <w:szCs w:val="24"/>
        </w:rPr>
        <w:t>a</w:t>
      </w:r>
      <w:r>
        <w:rPr>
          <w:rFonts w:ascii="Georgia" w:hAnsi="Georgia"/>
          <w:sz w:val="24"/>
          <w:szCs w:val="24"/>
        </w:rPr>
        <w:t>pplication</w:t>
      </w:r>
      <w:r w:rsidR="009A0270">
        <w:rPr>
          <w:rFonts w:ascii="Georgia" w:hAnsi="Georgia"/>
          <w:sz w:val="24"/>
          <w:szCs w:val="24"/>
        </w:rPr>
        <w:t xml:space="preserve"> asks for waivers to file the required exhibits A, B, D and E</w:t>
      </w:r>
      <w:r w:rsidR="005E2F81">
        <w:rPr>
          <w:rFonts w:ascii="Georgia" w:hAnsi="Georgia"/>
          <w:sz w:val="24"/>
          <w:szCs w:val="24"/>
        </w:rPr>
        <w:t xml:space="preserve"> under </w:t>
      </w:r>
      <w:r w:rsidR="005E2F81" w:rsidRPr="005E2F81">
        <w:rPr>
          <w:rFonts w:ascii="Georgia" w:hAnsi="Georgia"/>
          <w:sz w:val="24"/>
          <w:szCs w:val="24"/>
        </w:rPr>
        <w:t>18 CFR § 33.2</w:t>
      </w:r>
      <w:r w:rsidR="00116A15">
        <w:rPr>
          <w:rFonts w:ascii="Georgia" w:hAnsi="Georgia"/>
          <w:sz w:val="24"/>
          <w:szCs w:val="24"/>
        </w:rPr>
        <w:t xml:space="preserve">. Public </w:t>
      </w:r>
      <w:r w:rsidR="00292DDF">
        <w:rPr>
          <w:rFonts w:ascii="Georgia" w:hAnsi="Georgia"/>
          <w:sz w:val="24"/>
          <w:szCs w:val="24"/>
        </w:rPr>
        <w:t xml:space="preserve">Citizen </w:t>
      </w:r>
      <w:r w:rsidR="00E7399A">
        <w:rPr>
          <w:rFonts w:ascii="Georgia" w:hAnsi="Georgia"/>
          <w:sz w:val="24"/>
          <w:szCs w:val="24"/>
        </w:rPr>
        <w:t>opposes the waiver requests.</w:t>
      </w:r>
    </w:p>
    <w:p w14:paraId="76B3B0E6" w14:textId="2EDA74AD" w:rsidR="00E7399A" w:rsidRDefault="00E7399A" w:rsidP="00BE4BBD">
      <w:pPr>
        <w:spacing w:line="360" w:lineRule="auto"/>
        <w:rPr>
          <w:rFonts w:ascii="Georgia" w:hAnsi="Georgia"/>
          <w:sz w:val="24"/>
          <w:szCs w:val="24"/>
        </w:rPr>
      </w:pPr>
      <w:r>
        <w:rPr>
          <w:rFonts w:ascii="Georgia" w:hAnsi="Georgia"/>
          <w:sz w:val="24"/>
          <w:szCs w:val="24"/>
        </w:rPr>
        <w:tab/>
      </w:r>
      <w:r w:rsidR="00CC41A7">
        <w:rPr>
          <w:rFonts w:ascii="Georgia" w:hAnsi="Georgia"/>
          <w:sz w:val="24"/>
          <w:szCs w:val="24"/>
        </w:rPr>
        <w:t>The</w:t>
      </w:r>
      <w:r w:rsidR="00661A74">
        <w:rPr>
          <w:rFonts w:ascii="Georgia" w:hAnsi="Georgia"/>
          <w:sz w:val="24"/>
          <w:szCs w:val="24"/>
        </w:rPr>
        <w:t xml:space="preserve"> Application </w:t>
      </w:r>
      <w:r w:rsidR="00CC41A7">
        <w:rPr>
          <w:rFonts w:ascii="Georgia" w:hAnsi="Georgia"/>
          <w:sz w:val="24"/>
          <w:szCs w:val="24"/>
        </w:rPr>
        <w:t>should be amended to include Exhibits A</w:t>
      </w:r>
      <w:r w:rsidR="00EA1152">
        <w:rPr>
          <w:rFonts w:ascii="Georgia" w:hAnsi="Georgia"/>
          <w:sz w:val="24"/>
          <w:szCs w:val="24"/>
        </w:rPr>
        <w:t xml:space="preserve">, </w:t>
      </w:r>
      <w:r w:rsidR="00CC41A7">
        <w:rPr>
          <w:rFonts w:ascii="Georgia" w:hAnsi="Georgia"/>
          <w:sz w:val="24"/>
          <w:szCs w:val="24"/>
        </w:rPr>
        <w:t>B</w:t>
      </w:r>
      <w:r w:rsidR="00EA1152">
        <w:rPr>
          <w:rFonts w:ascii="Georgia" w:hAnsi="Georgia"/>
          <w:sz w:val="24"/>
          <w:szCs w:val="24"/>
        </w:rPr>
        <w:t xml:space="preserve"> and D because the </w:t>
      </w:r>
      <w:r w:rsidR="006E10CD">
        <w:rPr>
          <w:rFonts w:ascii="Georgia" w:hAnsi="Georgia"/>
          <w:sz w:val="24"/>
          <w:szCs w:val="24"/>
        </w:rPr>
        <w:t>it</w:t>
      </w:r>
      <w:r w:rsidR="00CC41A7">
        <w:rPr>
          <w:rFonts w:ascii="Georgia" w:hAnsi="Georgia"/>
          <w:sz w:val="24"/>
          <w:szCs w:val="24"/>
        </w:rPr>
        <w:t xml:space="preserve"> </w:t>
      </w:r>
      <w:r w:rsidR="00661A74">
        <w:rPr>
          <w:rFonts w:ascii="Georgia" w:hAnsi="Georgia"/>
          <w:sz w:val="24"/>
          <w:szCs w:val="24"/>
        </w:rPr>
        <w:t xml:space="preserve">fails to comprehensively document </w:t>
      </w:r>
      <w:r w:rsidR="00395A52">
        <w:rPr>
          <w:rFonts w:ascii="Georgia" w:hAnsi="Georgia"/>
          <w:sz w:val="24"/>
          <w:szCs w:val="24"/>
        </w:rPr>
        <w:t>all of the energy-related affiliations of Anne M. Cleary, the proposed new “owner” of IIF:</w:t>
      </w:r>
    </w:p>
    <w:p w14:paraId="1FB9B873" w14:textId="32E5CD8C" w:rsidR="00395A52" w:rsidRDefault="00395A52" w:rsidP="00404BF0">
      <w:pPr>
        <w:rPr>
          <w:rFonts w:ascii="Georgia" w:hAnsi="Georgia"/>
          <w:sz w:val="24"/>
          <w:szCs w:val="24"/>
        </w:rPr>
      </w:pPr>
    </w:p>
    <w:p w14:paraId="350B4F6C" w14:textId="0DBAE7D8" w:rsidR="00395A52" w:rsidRDefault="00E01F3D" w:rsidP="00E01F3D">
      <w:pPr>
        <w:pStyle w:val="ListParagraph"/>
        <w:numPr>
          <w:ilvl w:val="0"/>
          <w:numId w:val="2"/>
        </w:numPr>
        <w:rPr>
          <w:rFonts w:ascii="Georgia" w:hAnsi="Georgia"/>
          <w:sz w:val="24"/>
          <w:szCs w:val="24"/>
        </w:rPr>
      </w:pPr>
      <w:r>
        <w:rPr>
          <w:rFonts w:ascii="Georgia" w:hAnsi="Georgia"/>
          <w:sz w:val="24"/>
          <w:szCs w:val="24"/>
        </w:rPr>
        <w:t>Anne M. Cleary shares affiliation with</w:t>
      </w:r>
      <w:r w:rsidR="00FD65AD">
        <w:rPr>
          <w:rFonts w:ascii="Georgia" w:hAnsi="Georgia"/>
          <w:sz w:val="24"/>
          <w:szCs w:val="24"/>
        </w:rPr>
        <w:t xml:space="preserve"> </w:t>
      </w:r>
      <w:r w:rsidR="00FD65AD" w:rsidRPr="00FD65AD">
        <w:rPr>
          <w:rFonts w:ascii="Georgia" w:hAnsi="Georgia"/>
          <w:sz w:val="24"/>
          <w:szCs w:val="24"/>
        </w:rPr>
        <w:t>Mark Takahashi</w:t>
      </w:r>
      <w:r w:rsidR="00FD65AD">
        <w:rPr>
          <w:rFonts w:ascii="Georgia" w:hAnsi="Georgia"/>
          <w:sz w:val="24"/>
          <w:szCs w:val="24"/>
        </w:rPr>
        <w:t xml:space="preserve"> of PJM’s board of managers</w:t>
      </w:r>
      <w:r w:rsidR="00DC1EE7">
        <w:rPr>
          <w:rFonts w:ascii="Georgia" w:hAnsi="Georgia"/>
          <w:sz w:val="24"/>
          <w:szCs w:val="24"/>
        </w:rPr>
        <w:t>,</w:t>
      </w:r>
      <w:r w:rsidR="00FD65AD">
        <w:rPr>
          <w:rStyle w:val="FootnoteReference"/>
          <w:rFonts w:ascii="Georgia" w:hAnsi="Georgia"/>
          <w:sz w:val="24"/>
          <w:szCs w:val="24"/>
        </w:rPr>
        <w:footnoteReference w:id="8"/>
      </w:r>
      <w:r w:rsidR="00DC1EE7">
        <w:rPr>
          <w:rFonts w:ascii="Georgia" w:hAnsi="Georgia"/>
          <w:sz w:val="24"/>
          <w:szCs w:val="24"/>
        </w:rPr>
        <w:t xml:space="preserve"> as both are affiliated with </w:t>
      </w:r>
      <w:r w:rsidR="00805A2D" w:rsidRPr="00805A2D">
        <w:rPr>
          <w:rFonts w:ascii="Georgia" w:hAnsi="Georgia"/>
          <w:sz w:val="24"/>
          <w:szCs w:val="24"/>
        </w:rPr>
        <w:t>Ascendant Group Ltd.</w:t>
      </w:r>
      <w:r w:rsidR="002C5D22">
        <w:rPr>
          <w:rStyle w:val="FootnoteReference"/>
          <w:rFonts w:ascii="Georgia" w:hAnsi="Georgia"/>
          <w:sz w:val="24"/>
          <w:szCs w:val="24"/>
        </w:rPr>
        <w:footnoteReference w:id="9"/>
      </w:r>
    </w:p>
    <w:p w14:paraId="565CF886" w14:textId="77777777" w:rsidR="006E10CD" w:rsidRDefault="006E10CD" w:rsidP="006E10CD">
      <w:pPr>
        <w:pStyle w:val="ListParagraph"/>
        <w:rPr>
          <w:rFonts w:ascii="Georgia" w:hAnsi="Georgia"/>
          <w:sz w:val="24"/>
          <w:szCs w:val="24"/>
        </w:rPr>
      </w:pPr>
    </w:p>
    <w:p w14:paraId="259FA764" w14:textId="47B70937" w:rsidR="002C5D22" w:rsidRDefault="002A6717" w:rsidP="00E01F3D">
      <w:pPr>
        <w:pStyle w:val="ListParagraph"/>
        <w:numPr>
          <w:ilvl w:val="0"/>
          <w:numId w:val="2"/>
        </w:numPr>
        <w:rPr>
          <w:rFonts w:ascii="Georgia" w:hAnsi="Georgia"/>
          <w:sz w:val="24"/>
          <w:szCs w:val="24"/>
        </w:rPr>
      </w:pPr>
      <w:r>
        <w:rPr>
          <w:rFonts w:ascii="Georgia" w:hAnsi="Georgia"/>
          <w:sz w:val="24"/>
          <w:szCs w:val="24"/>
        </w:rPr>
        <w:t>Anne M. Cleary is a Princi</w:t>
      </w:r>
      <w:r w:rsidR="00845643">
        <w:rPr>
          <w:rFonts w:ascii="Georgia" w:hAnsi="Georgia"/>
          <w:sz w:val="24"/>
          <w:szCs w:val="24"/>
        </w:rPr>
        <w:t>pal with Modern Grid Solutions, which contracts with a number of electric utilities and RTOs/ISOs.</w:t>
      </w:r>
      <w:r w:rsidR="00845643">
        <w:rPr>
          <w:rStyle w:val="FootnoteReference"/>
          <w:rFonts w:ascii="Georgia" w:hAnsi="Georgia"/>
          <w:sz w:val="24"/>
          <w:szCs w:val="24"/>
        </w:rPr>
        <w:footnoteReference w:id="10"/>
      </w:r>
    </w:p>
    <w:p w14:paraId="53E96955" w14:textId="77777777" w:rsidR="006E10CD" w:rsidRPr="006E10CD" w:rsidRDefault="006E10CD" w:rsidP="006E10CD">
      <w:pPr>
        <w:rPr>
          <w:rFonts w:ascii="Georgia" w:hAnsi="Georgia"/>
          <w:sz w:val="24"/>
          <w:szCs w:val="24"/>
        </w:rPr>
      </w:pPr>
    </w:p>
    <w:p w14:paraId="6D351504" w14:textId="00FB1083" w:rsidR="00156C09" w:rsidRDefault="00B94F4E" w:rsidP="00E01F3D">
      <w:pPr>
        <w:pStyle w:val="ListParagraph"/>
        <w:numPr>
          <w:ilvl w:val="0"/>
          <w:numId w:val="2"/>
        </w:numPr>
        <w:rPr>
          <w:rFonts w:ascii="Georgia" w:hAnsi="Georgia"/>
          <w:sz w:val="24"/>
          <w:szCs w:val="24"/>
        </w:rPr>
      </w:pPr>
      <w:r>
        <w:rPr>
          <w:rFonts w:ascii="Georgia" w:hAnsi="Georgia"/>
          <w:sz w:val="24"/>
          <w:szCs w:val="24"/>
        </w:rPr>
        <w:t>Anne M. Cleary is a Senior Advisor with the Traffrail Group</w:t>
      </w:r>
      <w:r w:rsidR="006962A6">
        <w:rPr>
          <w:rFonts w:ascii="Georgia" w:hAnsi="Georgia"/>
          <w:sz w:val="24"/>
          <w:szCs w:val="24"/>
        </w:rPr>
        <w:t xml:space="preserve">, which provides project management services for </w:t>
      </w:r>
      <w:r w:rsidR="00D715D7">
        <w:rPr>
          <w:rFonts w:ascii="Georgia" w:hAnsi="Georgia"/>
          <w:sz w:val="24"/>
          <w:szCs w:val="24"/>
        </w:rPr>
        <w:t>electric power clients.</w:t>
      </w:r>
      <w:r w:rsidR="00D715D7">
        <w:rPr>
          <w:rStyle w:val="FootnoteReference"/>
          <w:rFonts w:ascii="Georgia" w:hAnsi="Georgia"/>
          <w:sz w:val="24"/>
          <w:szCs w:val="24"/>
        </w:rPr>
        <w:footnoteReference w:id="11"/>
      </w:r>
    </w:p>
    <w:p w14:paraId="63C801A5" w14:textId="6235ABCE" w:rsidR="00D715D7" w:rsidRDefault="00D715D7" w:rsidP="00D715D7">
      <w:pPr>
        <w:rPr>
          <w:rFonts w:ascii="Georgia" w:hAnsi="Georgia"/>
          <w:sz w:val="24"/>
          <w:szCs w:val="24"/>
        </w:rPr>
      </w:pPr>
    </w:p>
    <w:p w14:paraId="400CE2C4" w14:textId="2C59C6E3" w:rsidR="00D715D7" w:rsidRPr="00D715D7" w:rsidRDefault="00D715D7" w:rsidP="00614B15">
      <w:pPr>
        <w:spacing w:line="360" w:lineRule="auto"/>
        <w:ind w:firstLine="360"/>
        <w:rPr>
          <w:rFonts w:ascii="Georgia" w:hAnsi="Georgia"/>
          <w:sz w:val="24"/>
          <w:szCs w:val="24"/>
        </w:rPr>
      </w:pPr>
      <w:r>
        <w:rPr>
          <w:rFonts w:ascii="Georgia" w:hAnsi="Georgia"/>
          <w:sz w:val="24"/>
          <w:szCs w:val="24"/>
        </w:rPr>
        <w:t xml:space="preserve">The Commission should </w:t>
      </w:r>
      <w:r w:rsidR="00B176DF">
        <w:rPr>
          <w:rFonts w:ascii="Georgia" w:hAnsi="Georgia"/>
          <w:sz w:val="24"/>
          <w:szCs w:val="24"/>
        </w:rPr>
        <w:t xml:space="preserve">also </w:t>
      </w:r>
      <w:r>
        <w:rPr>
          <w:rFonts w:ascii="Georgia" w:hAnsi="Georgia"/>
          <w:sz w:val="24"/>
          <w:szCs w:val="24"/>
        </w:rPr>
        <w:t>require</w:t>
      </w:r>
      <w:r w:rsidR="00B176DF">
        <w:rPr>
          <w:rFonts w:ascii="Georgia" w:hAnsi="Georgia"/>
          <w:sz w:val="24"/>
          <w:szCs w:val="24"/>
        </w:rPr>
        <w:t xml:space="preserve"> the application to be amended to include Exhibit </w:t>
      </w:r>
      <w:r w:rsidR="00614B15">
        <w:rPr>
          <w:rFonts w:ascii="Georgia" w:hAnsi="Georgia"/>
          <w:sz w:val="24"/>
          <w:szCs w:val="24"/>
        </w:rPr>
        <w:t>E</w:t>
      </w:r>
      <w:r w:rsidR="00B176DF">
        <w:rPr>
          <w:rFonts w:ascii="Georgia" w:hAnsi="Georgia"/>
          <w:sz w:val="24"/>
          <w:szCs w:val="24"/>
        </w:rPr>
        <w:t xml:space="preserve">. </w:t>
      </w:r>
      <w:r w:rsidR="003A2ECA">
        <w:rPr>
          <w:rFonts w:ascii="Georgia" w:hAnsi="Georgia"/>
          <w:sz w:val="24"/>
          <w:szCs w:val="24"/>
        </w:rPr>
        <w:t>Anne M. Cleary serves on the board of directors of the IIF company Southwest Generation</w:t>
      </w:r>
      <w:r w:rsidR="00D70B68">
        <w:rPr>
          <w:rFonts w:ascii="Georgia" w:hAnsi="Georgia"/>
          <w:sz w:val="24"/>
          <w:szCs w:val="24"/>
        </w:rPr>
        <w:t xml:space="preserve">, and it is unclear what role J.P. Morgan played in selected her for </w:t>
      </w:r>
      <w:r w:rsidR="00D70B68">
        <w:rPr>
          <w:rFonts w:ascii="Georgia" w:hAnsi="Georgia"/>
          <w:sz w:val="24"/>
          <w:szCs w:val="24"/>
        </w:rPr>
        <w:lastRenderedPageBreak/>
        <w:t>that board seat</w:t>
      </w:r>
      <w:r w:rsidR="00954FFC">
        <w:rPr>
          <w:rFonts w:ascii="Georgia" w:hAnsi="Georgia"/>
          <w:sz w:val="24"/>
          <w:szCs w:val="24"/>
        </w:rPr>
        <w:t>.</w:t>
      </w:r>
      <w:r w:rsidR="00D70B68">
        <w:rPr>
          <w:rFonts w:ascii="Georgia" w:hAnsi="Georgia"/>
          <w:sz w:val="24"/>
          <w:szCs w:val="24"/>
        </w:rPr>
        <w:t xml:space="preserve"> There is also no information in the application about her compensation for serving on the board of Southwest Generation.</w:t>
      </w:r>
      <w:r w:rsidR="00954FFC">
        <w:rPr>
          <w:rStyle w:val="FootnoteReference"/>
          <w:rFonts w:ascii="Georgia" w:hAnsi="Georgia"/>
          <w:sz w:val="24"/>
          <w:szCs w:val="24"/>
        </w:rPr>
        <w:footnoteReference w:id="12"/>
      </w:r>
    </w:p>
    <w:p w14:paraId="7A4E1150" w14:textId="20743CED" w:rsidR="005C3A8C" w:rsidRDefault="00BC7948" w:rsidP="00614B15">
      <w:pPr>
        <w:spacing w:line="360" w:lineRule="auto"/>
        <w:rPr>
          <w:rFonts w:ascii="Georgia" w:hAnsi="Georgia"/>
          <w:sz w:val="24"/>
          <w:szCs w:val="24"/>
        </w:rPr>
      </w:pPr>
      <w:r>
        <w:rPr>
          <w:rFonts w:ascii="Georgia" w:hAnsi="Georgia"/>
          <w:sz w:val="24"/>
          <w:szCs w:val="24"/>
        </w:rPr>
        <w:tab/>
        <w:t xml:space="preserve">As an aside, </w:t>
      </w:r>
      <w:r w:rsidR="00F9332A">
        <w:rPr>
          <w:rFonts w:ascii="Georgia" w:hAnsi="Georgia"/>
          <w:sz w:val="24"/>
          <w:szCs w:val="24"/>
        </w:rPr>
        <w:t xml:space="preserve">Anne M. Cleary </w:t>
      </w:r>
      <w:r w:rsidR="0098781F">
        <w:rPr>
          <w:rFonts w:ascii="Georgia" w:hAnsi="Georgia"/>
          <w:sz w:val="24"/>
          <w:szCs w:val="24"/>
        </w:rPr>
        <w:t>was</w:t>
      </w:r>
      <w:r w:rsidR="00F9332A">
        <w:rPr>
          <w:rFonts w:ascii="Georgia" w:hAnsi="Georgia"/>
          <w:sz w:val="24"/>
          <w:szCs w:val="24"/>
        </w:rPr>
        <w:t xml:space="preserve"> President of </w:t>
      </w:r>
      <w:r w:rsidR="00AE546A" w:rsidRPr="00AE546A">
        <w:rPr>
          <w:rFonts w:ascii="Georgia" w:hAnsi="Georgia"/>
          <w:sz w:val="24"/>
          <w:szCs w:val="24"/>
        </w:rPr>
        <w:t>Mirant California during the 2000-01 west coast deregulation crisis</w:t>
      </w:r>
      <w:r w:rsidR="00F9332A">
        <w:rPr>
          <w:rFonts w:ascii="Georgia" w:hAnsi="Georgia"/>
          <w:sz w:val="24"/>
          <w:szCs w:val="24"/>
        </w:rPr>
        <w:t xml:space="preserve">. During her tenure, Mirant’s California and west coast operations were </w:t>
      </w:r>
      <w:r w:rsidR="005A44DC">
        <w:rPr>
          <w:rFonts w:ascii="Georgia" w:hAnsi="Georgia"/>
          <w:sz w:val="24"/>
          <w:szCs w:val="24"/>
        </w:rPr>
        <w:t>formally sanctioned by numerous government investigations for engaging in widespread illegal misconduct and market manipulation</w:t>
      </w:r>
      <w:r w:rsidR="00F07749">
        <w:rPr>
          <w:rFonts w:ascii="Georgia" w:hAnsi="Georgia"/>
          <w:sz w:val="24"/>
          <w:szCs w:val="24"/>
        </w:rPr>
        <w:t>, with Mirant being forced to</w:t>
      </w:r>
      <w:r w:rsidR="00015E9A">
        <w:rPr>
          <w:rFonts w:ascii="Georgia" w:hAnsi="Georgia"/>
          <w:sz w:val="24"/>
          <w:szCs w:val="24"/>
        </w:rPr>
        <w:t xml:space="preserve"> pay nearly $1.3 billion in fines and refunds</w:t>
      </w:r>
      <w:r w:rsidR="00FC49AE">
        <w:rPr>
          <w:rFonts w:ascii="Georgia" w:hAnsi="Georgia"/>
          <w:sz w:val="24"/>
          <w:szCs w:val="24"/>
        </w:rPr>
        <w:t>:</w:t>
      </w:r>
    </w:p>
    <w:p w14:paraId="76AF16B0" w14:textId="3606608A" w:rsidR="00FC49AE" w:rsidRDefault="00FC49AE" w:rsidP="00C0590F">
      <w:pPr>
        <w:rPr>
          <w:rFonts w:ascii="Georgia" w:hAnsi="Georgia"/>
          <w:sz w:val="24"/>
          <w:szCs w:val="24"/>
        </w:rPr>
      </w:pPr>
    </w:p>
    <w:p w14:paraId="2DB258B0" w14:textId="3E57338A" w:rsidR="00FC49AE" w:rsidRDefault="00FC49AE" w:rsidP="00FC49AE">
      <w:pPr>
        <w:pStyle w:val="ListParagraph"/>
        <w:numPr>
          <w:ilvl w:val="0"/>
          <w:numId w:val="1"/>
        </w:numPr>
        <w:rPr>
          <w:rFonts w:ascii="Georgia" w:hAnsi="Georgia"/>
          <w:sz w:val="24"/>
          <w:szCs w:val="24"/>
        </w:rPr>
      </w:pPr>
      <w:r>
        <w:rPr>
          <w:rFonts w:ascii="Georgia" w:hAnsi="Georgia"/>
          <w:sz w:val="24"/>
          <w:szCs w:val="24"/>
        </w:rPr>
        <w:t>The California Attorney General reached a $750 million settlement with Mirant</w:t>
      </w:r>
      <w:r w:rsidR="00E25D1A">
        <w:rPr>
          <w:rFonts w:ascii="Georgia" w:hAnsi="Georgia"/>
          <w:sz w:val="24"/>
          <w:szCs w:val="24"/>
        </w:rPr>
        <w:t xml:space="preserve"> “</w:t>
      </w:r>
      <w:r w:rsidR="00E25D1A" w:rsidRPr="00E25D1A">
        <w:rPr>
          <w:rFonts w:ascii="Georgia" w:hAnsi="Georgia"/>
          <w:sz w:val="24"/>
          <w:szCs w:val="24"/>
        </w:rPr>
        <w:t>to resolve allegations of price gouging and other unlawful conduct by Mirant during the California Energy Crisis of 2000-01.</w:t>
      </w:r>
      <w:r w:rsidR="00E25D1A">
        <w:rPr>
          <w:rFonts w:ascii="Georgia" w:hAnsi="Georgia"/>
          <w:sz w:val="24"/>
          <w:szCs w:val="24"/>
        </w:rPr>
        <w:t>”</w:t>
      </w:r>
      <w:r w:rsidR="00DA76DD">
        <w:rPr>
          <w:rStyle w:val="FootnoteReference"/>
          <w:rFonts w:ascii="Georgia" w:hAnsi="Georgia"/>
          <w:sz w:val="24"/>
          <w:szCs w:val="24"/>
        </w:rPr>
        <w:footnoteReference w:id="13"/>
      </w:r>
    </w:p>
    <w:p w14:paraId="326118B7" w14:textId="0B34CD84" w:rsidR="00DA76DD" w:rsidRDefault="00E41C03" w:rsidP="00FC49AE">
      <w:pPr>
        <w:pStyle w:val="ListParagraph"/>
        <w:numPr>
          <w:ilvl w:val="0"/>
          <w:numId w:val="1"/>
        </w:numPr>
        <w:rPr>
          <w:rFonts w:ascii="Georgia" w:hAnsi="Georgia"/>
          <w:sz w:val="24"/>
          <w:szCs w:val="24"/>
        </w:rPr>
      </w:pPr>
      <w:r>
        <w:rPr>
          <w:rFonts w:ascii="Georgia" w:hAnsi="Georgia"/>
          <w:sz w:val="24"/>
          <w:szCs w:val="24"/>
        </w:rPr>
        <w:t xml:space="preserve">FERC approved a settlement that required </w:t>
      </w:r>
      <w:r w:rsidR="00DC6257">
        <w:rPr>
          <w:rFonts w:ascii="Georgia" w:hAnsi="Georgia"/>
          <w:sz w:val="24"/>
          <w:szCs w:val="24"/>
        </w:rPr>
        <w:t xml:space="preserve">Mirant </w:t>
      </w:r>
      <w:r>
        <w:rPr>
          <w:rFonts w:ascii="Georgia" w:hAnsi="Georgia"/>
          <w:sz w:val="24"/>
          <w:szCs w:val="24"/>
        </w:rPr>
        <w:t>to pay</w:t>
      </w:r>
      <w:r w:rsidR="00DC6257">
        <w:rPr>
          <w:rFonts w:ascii="Georgia" w:hAnsi="Georgia"/>
          <w:sz w:val="24"/>
          <w:szCs w:val="24"/>
        </w:rPr>
        <w:t xml:space="preserve"> half a billion dollars to </w:t>
      </w:r>
      <w:r>
        <w:rPr>
          <w:rFonts w:ascii="Georgia" w:hAnsi="Georgia"/>
          <w:sz w:val="24"/>
          <w:szCs w:val="24"/>
        </w:rPr>
        <w:t xml:space="preserve">refund aggrieved </w:t>
      </w:r>
      <w:r w:rsidR="004679C2">
        <w:rPr>
          <w:rFonts w:ascii="Georgia" w:hAnsi="Georgia"/>
          <w:sz w:val="24"/>
          <w:szCs w:val="24"/>
        </w:rPr>
        <w:t>California</w:t>
      </w:r>
      <w:r>
        <w:rPr>
          <w:rFonts w:ascii="Georgia" w:hAnsi="Georgia"/>
          <w:sz w:val="24"/>
          <w:szCs w:val="24"/>
        </w:rPr>
        <w:t xml:space="preserve"> parties</w:t>
      </w:r>
      <w:r w:rsidR="004679C2">
        <w:rPr>
          <w:rFonts w:ascii="Georgia" w:hAnsi="Georgia"/>
          <w:sz w:val="24"/>
          <w:szCs w:val="24"/>
        </w:rPr>
        <w:t xml:space="preserve">, </w:t>
      </w:r>
      <w:r w:rsidR="00E36BFC">
        <w:rPr>
          <w:rFonts w:ascii="Georgia" w:hAnsi="Georgia"/>
          <w:sz w:val="24"/>
          <w:szCs w:val="24"/>
        </w:rPr>
        <w:t>resolv</w:t>
      </w:r>
      <w:r w:rsidR="004679C2">
        <w:rPr>
          <w:rFonts w:ascii="Georgia" w:hAnsi="Georgia"/>
          <w:sz w:val="24"/>
          <w:szCs w:val="24"/>
        </w:rPr>
        <w:t>ing</w:t>
      </w:r>
      <w:r w:rsidR="00E36BFC">
        <w:rPr>
          <w:rFonts w:ascii="Georgia" w:hAnsi="Georgia"/>
          <w:sz w:val="24"/>
          <w:szCs w:val="24"/>
        </w:rPr>
        <w:t xml:space="preserve"> allegations against the company for capacity withholding, market manipulation and other prohibited conduct.</w:t>
      </w:r>
      <w:r w:rsidR="00E26D5A">
        <w:rPr>
          <w:rStyle w:val="FootnoteReference"/>
          <w:rFonts w:ascii="Georgia" w:hAnsi="Georgia"/>
          <w:sz w:val="24"/>
          <w:szCs w:val="24"/>
        </w:rPr>
        <w:footnoteReference w:id="14"/>
      </w:r>
      <w:r w:rsidR="00DC6257">
        <w:rPr>
          <w:rFonts w:ascii="Georgia" w:hAnsi="Georgia"/>
          <w:sz w:val="24"/>
          <w:szCs w:val="24"/>
        </w:rPr>
        <w:t xml:space="preserve"> </w:t>
      </w:r>
    </w:p>
    <w:p w14:paraId="601EFC10" w14:textId="2199E6C4" w:rsidR="00581A37" w:rsidRDefault="00581A37" w:rsidP="00FC49AE">
      <w:pPr>
        <w:pStyle w:val="ListParagraph"/>
        <w:numPr>
          <w:ilvl w:val="0"/>
          <w:numId w:val="1"/>
        </w:numPr>
        <w:rPr>
          <w:rFonts w:ascii="Georgia" w:hAnsi="Georgia"/>
          <w:sz w:val="24"/>
          <w:szCs w:val="24"/>
        </w:rPr>
      </w:pPr>
      <w:r>
        <w:rPr>
          <w:rFonts w:ascii="Georgia" w:hAnsi="Georgia"/>
          <w:sz w:val="24"/>
          <w:szCs w:val="24"/>
        </w:rPr>
        <w:t>Mirant paid $11 million to the U.S. Department of Justice as part of a deferred prosecution agreement stemming from the company’s criminal violations of natural gas market manipulation</w:t>
      </w:r>
      <w:r w:rsidR="00B43AED">
        <w:rPr>
          <w:rFonts w:ascii="Georgia" w:hAnsi="Georgia"/>
          <w:sz w:val="24"/>
          <w:szCs w:val="24"/>
        </w:rPr>
        <w:t xml:space="preserve"> during 2000 in California.</w:t>
      </w:r>
      <w:r w:rsidR="00B43AED">
        <w:rPr>
          <w:rStyle w:val="FootnoteReference"/>
          <w:rFonts w:ascii="Georgia" w:hAnsi="Georgia"/>
          <w:sz w:val="24"/>
          <w:szCs w:val="24"/>
        </w:rPr>
        <w:footnoteReference w:id="15"/>
      </w:r>
    </w:p>
    <w:p w14:paraId="2836A481" w14:textId="4B2B06AC" w:rsidR="004D62C6" w:rsidRDefault="004D62C6" w:rsidP="00FC49AE">
      <w:pPr>
        <w:pStyle w:val="ListParagraph"/>
        <w:numPr>
          <w:ilvl w:val="0"/>
          <w:numId w:val="1"/>
        </w:numPr>
        <w:rPr>
          <w:rFonts w:ascii="Georgia" w:hAnsi="Georgia"/>
          <w:sz w:val="24"/>
          <w:szCs w:val="24"/>
        </w:rPr>
      </w:pPr>
      <w:r>
        <w:rPr>
          <w:rFonts w:ascii="Georgia" w:hAnsi="Georgia"/>
          <w:sz w:val="24"/>
          <w:szCs w:val="24"/>
        </w:rPr>
        <w:t xml:space="preserve">The U.S. Commodity Futures Trading Commission ordered Mirant to pay a </w:t>
      </w:r>
      <w:r w:rsidR="00C965F5">
        <w:rPr>
          <w:rFonts w:ascii="Georgia" w:hAnsi="Georgia"/>
          <w:sz w:val="24"/>
          <w:szCs w:val="24"/>
        </w:rPr>
        <w:t xml:space="preserve">$12.5 million civil penalty for engaging in natural gas market manipulation and false reporting </w:t>
      </w:r>
      <w:r w:rsidR="00992056">
        <w:rPr>
          <w:rFonts w:ascii="Georgia" w:hAnsi="Georgia"/>
          <w:sz w:val="24"/>
          <w:szCs w:val="24"/>
        </w:rPr>
        <w:t>of the company’s west coast trading operations during the 2000-01 deregulation crisis.</w:t>
      </w:r>
      <w:r w:rsidR="00992056">
        <w:rPr>
          <w:rStyle w:val="FootnoteReference"/>
          <w:rFonts w:ascii="Georgia" w:hAnsi="Georgia"/>
          <w:sz w:val="24"/>
          <w:szCs w:val="24"/>
        </w:rPr>
        <w:footnoteReference w:id="16"/>
      </w:r>
    </w:p>
    <w:p w14:paraId="607B59EE" w14:textId="030F3721" w:rsidR="00E92243" w:rsidRDefault="00E92243" w:rsidP="00E92243">
      <w:pPr>
        <w:rPr>
          <w:rFonts w:ascii="Georgia" w:hAnsi="Georgia"/>
          <w:sz w:val="24"/>
          <w:szCs w:val="24"/>
        </w:rPr>
      </w:pPr>
    </w:p>
    <w:p w14:paraId="79C28C61" w14:textId="37906991" w:rsidR="00E92243" w:rsidRDefault="00E92243" w:rsidP="00E92243">
      <w:pPr>
        <w:rPr>
          <w:rFonts w:ascii="Georgia" w:hAnsi="Georgia"/>
          <w:sz w:val="24"/>
          <w:szCs w:val="24"/>
        </w:rPr>
      </w:pPr>
    </w:p>
    <w:p w14:paraId="3A2EA1B0" w14:textId="45B06611" w:rsidR="00E92243" w:rsidRDefault="00E92243" w:rsidP="00FF72C6">
      <w:pPr>
        <w:ind w:left="2160"/>
        <w:rPr>
          <w:rFonts w:ascii="Georgia" w:hAnsi="Georgia"/>
          <w:sz w:val="24"/>
          <w:szCs w:val="24"/>
        </w:rPr>
      </w:pPr>
      <w:r>
        <w:rPr>
          <w:rFonts w:ascii="Georgia" w:hAnsi="Georgia"/>
          <w:sz w:val="24"/>
          <w:szCs w:val="24"/>
        </w:rPr>
        <w:t>Respectfully submitted,</w:t>
      </w:r>
    </w:p>
    <w:p w14:paraId="1B486675" w14:textId="438F4688" w:rsidR="00E92243" w:rsidRDefault="00E92243" w:rsidP="00FF72C6">
      <w:pPr>
        <w:ind w:left="2160"/>
        <w:rPr>
          <w:rFonts w:ascii="Georgia" w:hAnsi="Georgia"/>
          <w:sz w:val="24"/>
          <w:szCs w:val="24"/>
        </w:rPr>
      </w:pPr>
    </w:p>
    <w:p w14:paraId="6A91B9CD" w14:textId="5C72D00A" w:rsidR="00E92243" w:rsidRDefault="00E92243" w:rsidP="00FF72C6">
      <w:pPr>
        <w:ind w:left="2160"/>
        <w:rPr>
          <w:rFonts w:ascii="Georgia" w:hAnsi="Georgia"/>
          <w:sz w:val="24"/>
          <w:szCs w:val="24"/>
        </w:rPr>
      </w:pPr>
      <w:r>
        <w:rPr>
          <w:rFonts w:ascii="Georgia" w:hAnsi="Georgia"/>
          <w:sz w:val="24"/>
          <w:szCs w:val="24"/>
        </w:rPr>
        <w:t>Tyson Slocum, Energy Program Director</w:t>
      </w:r>
    </w:p>
    <w:p w14:paraId="3BA3FC94" w14:textId="7154483A" w:rsidR="00420794" w:rsidRDefault="00420794" w:rsidP="00FF72C6">
      <w:pPr>
        <w:ind w:left="2160"/>
        <w:rPr>
          <w:rFonts w:ascii="Georgia" w:hAnsi="Georgia"/>
          <w:sz w:val="24"/>
          <w:szCs w:val="24"/>
        </w:rPr>
      </w:pPr>
      <w:r>
        <w:rPr>
          <w:rFonts w:ascii="Georgia" w:hAnsi="Georgia"/>
          <w:sz w:val="24"/>
          <w:szCs w:val="24"/>
        </w:rPr>
        <w:t>Public Citizen, Inc.</w:t>
      </w:r>
    </w:p>
    <w:p w14:paraId="4963CEA2" w14:textId="15DF5D1D" w:rsidR="00420794" w:rsidRDefault="00420794" w:rsidP="00FF72C6">
      <w:pPr>
        <w:ind w:left="2160"/>
        <w:rPr>
          <w:rFonts w:ascii="Georgia" w:hAnsi="Georgia"/>
          <w:sz w:val="24"/>
          <w:szCs w:val="24"/>
        </w:rPr>
      </w:pPr>
      <w:r>
        <w:rPr>
          <w:rFonts w:ascii="Georgia" w:hAnsi="Georgia"/>
          <w:sz w:val="24"/>
          <w:szCs w:val="24"/>
        </w:rPr>
        <w:t>215 Pennsyl</w:t>
      </w:r>
      <w:r w:rsidR="00FF72C6">
        <w:rPr>
          <w:rFonts w:ascii="Georgia" w:hAnsi="Georgia"/>
          <w:sz w:val="24"/>
          <w:szCs w:val="24"/>
        </w:rPr>
        <w:t>vania Ave SE</w:t>
      </w:r>
    </w:p>
    <w:p w14:paraId="3503D34A" w14:textId="7804DAC9" w:rsidR="00FF72C6" w:rsidRDefault="00FF72C6" w:rsidP="00FF72C6">
      <w:pPr>
        <w:ind w:left="2160"/>
        <w:rPr>
          <w:rFonts w:ascii="Georgia" w:hAnsi="Georgia"/>
          <w:sz w:val="24"/>
          <w:szCs w:val="24"/>
        </w:rPr>
      </w:pPr>
      <w:r>
        <w:rPr>
          <w:rFonts w:ascii="Georgia" w:hAnsi="Georgia"/>
          <w:sz w:val="24"/>
          <w:szCs w:val="24"/>
        </w:rPr>
        <w:t>Washington, DC  20003</w:t>
      </w:r>
    </w:p>
    <w:p w14:paraId="6D4A4ED2" w14:textId="2FBBBD7D" w:rsidR="00FF72C6" w:rsidRDefault="00FF72C6" w:rsidP="00FF72C6">
      <w:pPr>
        <w:ind w:left="2160"/>
        <w:rPr>
          <w:rFonts w:ascii="Georgia" w:hAnsi="Georgia"/>
          <w:sz w:val="24"/>
          <w:szCs w:val="24"/>
        </w:rPr>
      </w:pPr>
      <w:r>
        <w:rPr>
          <w:rFonts w:ascii="Georgia" w:hAnsi="Georgia"/>
          <w:sz w:val="24"/>
          <w:szCs w:val="24"/>
        </w:rPr>
        <w:t>(202) 454-5191</w:t>
      </w:r>
    </w:p>
    <w:p w14:paraId="506137A8" w14:textId="04ABAB40" w:rsidR="00FF72C6" w:rsidRDefault="00FF72C6" w:rsidP="00FF72C6">
      <w:pPr>
        <w:ind w:left="2160"/>
        <w:rPr>
          <w:rFonts w:ascii="Georgia" w:hAnsi="Georgia"/>
          <w:sz w:val="24"/>
          <w:szCs w:val="24"/>
        </w:rPr>
      </w:pPr>
      <w:r>
        <w:rPr>
          <w:rFonts w:ascii="Georgia" w:hAnsi="Georgia"/>
          <w:sz w:val="24"/>
          <w:szCs w:val="24"/>
        </w:rPr>
        <w:t>tslocum@citizen.org</w:t>
      </w:r>
    </w:p>
    <w:p w14:paraId="067CD09F" w14:textId="77777777" w:rsidR="00E92243" w:rsidRPr="00E92243" w:rsidRDefault="00E92243" w:rsidP="00E92243">
      <w:pPr>
        <w:rPr>
          <w:rFonts w:ascii="Georgia" w:hAnsi="Georgia"/>
          <w:sz w:val="24"/>
          <w:szCs w:val="24"/>
        </w:rPr>
      </w:pPr>
    </w:p>
    <w:p w14:paraId="681BA3E0" w14:textId="7D1EB0FA" w:rsidR="00EE2FC7" w:rsidRDefault="00EE2FC7" w:rsidP="00EE2FC7">
      <w:pPr>
        <w:rPr>
          <w:rFonts w:ascii="Georgia" w:hAnsi="Georgia"/>
          <w:sz w:val="24"/>
          <w:szCs w:val="24"/>
        </w:rPr>
      </w:pPr>
    </w:p>
    <w:p w14:paraId="60FB86D4" w14:textId="41BC0A34" w:rsidR="00EE2FC7" w:rsidRPr="00EE2FC7" w:rsidRDefault="00EE2FC7" w:rsidP="00EE2FC7">
      <w:pPr>
        <w:rPr>
          <w:rFonts w:ascii="Georgia" w:hAnsi="Georgia"/>
          <w:sz w:val="24"/>
          <w:szCs w:val="24"/>
        </w:rPr>
      </w:pPr>
    </w:p>
    <w:sectPr w:rsidR="00EE2FC7" w:rsidRPr="00EE2FC7" w:rsidSect="00FF72C6">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23F37" w14:textId="77777777" w:rsidR="006621A2" w:rsidRDefault="006621A2" w:rsidP="00DA76DD">
      <w:r>
        <w:separator/>
      </w:r>
    </w:p>
  </w:endnote>
  <w:endnote w:type="continuationSeparator" w:id="0">
    <w:p w14:paraId="48AB33D0" w14:textId="77777777" w:rsidR="006621A2" w:rsidRDefault="006621A2" w:rsidP="00DA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178849"/>
      <w:docPartObj>
        <w:docPartGallery w:val="Page Numbers (Bottom of Page)"/>
        <w:docPartUnique/>
      </w:docPartObj>
    </w:sdtPr>
    <w:sdtEndPr>
      <w:rPr>
        <w:color w:val="7F7F7F" w:themeColor="background1" w:themeShade="7F"/>
        <w:spacing w:val="60"/>
      </w:rPr>
    </w:sdtEndPr>
    <w:sdtContent>
      <w:p w14:paraId="16095F6E" w14:textId="648C14B6" w:rsidR="00FF72C6" w:rsidRDefault="00FF72C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F8EAE29" w14:textId="77777777" w:rsidR="00FF72C6" w:rsidRDefault="00FF7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E6898" w14:textId="77777777" w:rsidR="006621A2" w:rsidRDefault="006621A2" w:rsidP="00DA76DD">
      <w:r>
        <w:separator/>
      </w:r>
    </w:p>
  </w:footnote>
  <w:footnote w:type="continuationSeparator" w:id="0">
    <w:p w14:paraId="510DF5CE" w14:textId="77777777" w:rsidR="006621A2" w:rsidRDefault="006621A2" w:rsidP="00DA76DD">
      <w:r>
        <w:continuationSeparator/>
      </w:r>
    </w:p>
  </w:footnote>
  <w:footnote w:id="1">
    <w:p w14:paraId="0EACACD5" w14:textId="77777777" w:rsidR="00117CD9" w:rsidRPr="00102BC8" w:rsidRDefault="00117CD9" w:rsidP="00117CD9">
      <w:pPr>
        <w:pStyle w:val="FootnoteText"/>
        <w:rPr>
          <w:rFonts w:ascii="Georgia" w:hAnsi="Georgia"/>
        </w:rPr>
      </w:pPr>
      <w:r>
        <w:rPr>
          <w:rStyle w:val="FootnoteReference"/>
        </w:rPr>
        <w:footnoteRef/>
      </w:r>
      <w:r>
        <w:t xml:space="preserve"> </w:t>
      </w:r>
      <w:hyperlink r:id="rId1" w:history="1">
        <w:r w:rsidRPr="00010272">
          <w:rPr>
            <w:rStyle w:val="Hyperlink"/>
            <w:rFonts w:ascii="Georgia" w:hAnsi="Georgia"/>
            <w:color w:val="auto"/>
            <w:sz w:val="20"/>
            <w:szCs w:val="20"/>
            <w:u w:val="none"/>
          </w:rPr>
          <w:t>www.citizen.org/about/annual-report/</w:t>
        </w:r>
      </w:hyperlink>
    </w:p>
  </w:footnote>
  <w:footnote w:id="2">
    <w:p w14:paraId="52307DA1" w14:textId="77777777" w:rsidR="001A0563" w:rsidRDefault="001A0563" w:rsidP="001A0563">
      <w:pPr>
        <w:pStyle w:val="FootnoteText"/>
      </w:pPr>
      <w:r>
        <w:rPr>
          <w:rStyle w:val="FootnoteReference"/>
        </w:rPr>
        <w:footnoteRef/>
      </w:r>
      <w:r>
        <w:t xml:space="preserve"> </w:t>
      </w:r>
      <w:r w:rsidRPr="001128EF">
        <w:rPr>
          <w:rFonts w:ascii="Georgia" w:hAnsi="Georgia"/>
          <w:sz w:val="20"/>
          <w:szCs w:val="20"/>
        </w:rPr>
        <w:t xml:space="preserve">At page 1440, </w:t>
      </w:r>
      <w:hyperlink r:id="rId2" w:history="1">
        <w:r w:rsidRPr="001128EF">
          <w:rPr>
            <w:rStyle w:val="Hyperlink"/>
            <w:rFonts w:ascii="Georgia" w:hAnsi="Georgia"/>
            <w:color w:val="auto"/>
            <w:sz w:val="20"/>
            <w:szCs w:val="20"/>
            <w:u w:val="none"/>
          </w:rPr>
          <w:t>www.govinfo.gov/content/pkg/CHRG-113shrg91522/pdf/CHRG-113shrg91522.pdf</w:t>
        </w:r>
      </w:hyperlink>
    </w:p>
  </w:footnote>
  <w:footnote w:id="3">
    <w:p w14:paraId="29505CA9" w14:textId="77777777" w:rsidR="001A0563" w:rsidRDefault="001A0563" w:rsidP="001A0563">
      <w:pPr>
        <w:pStyle w:val="FootnoteText"/>
      </w:pPr>
      <w:r>
        <w:rPr>
          <w:rStyle w:val="FootnoteReference"/>
        </w:rPr>
        <w:footnoteRef/>
      </w:r>
      <w:r>
        <w:t xml:space="preserve"> </w:t>
      </w:r>
      <w:r w:rsidRPr="00451A1C">
        <w:rPr>
          <w:rFonts w:ascii="Georgia" w:hAnsi="Georgia"/>
          <w:sz w:val="20"/>
          <w:szCs w:val="20"/>
        </w:rPr>
        <w:t>www.sec.gov/Archives/edgar/vprr/0606/06064516.pdf</w:t>
      </w:r>
    </w:p>
  </w:footnote>
  <w:footnote w:id="4">
    <w:p w14:paraId="0AFF8AB3" w14:textId="77777777" w:rsidR="001A0563" w:rsidRDefault="001A0563" w:rsidP="001A0563">
      <w:pPr>
        <w:pStyle w:val="FootnoteText"/>
      </w:pPr>
      <w:r>
        <w:rPr>
          <w:rStyle w:val="FootnoteReference"/>
        </w:rPr>
        <w:footnoteRef/>
      </w:r>
      <w:r>
        <w:t xml:space="preserve"> </w:t>
      </w:r>
      <w:hyperlink r:id="rId3" w:history="1">
        <w:r w:rsidRPr="001128EF">
          <w:rPr>
            <w:rStyle w:val="Hyperlink"/>
            <w:rFonts w:ascii="Georgia" w:hAnsi="Georgia"/>
            <w:color w:val="auto"/>
            <w:sz w:val="20"/>
            <w:szCs w:val="20"/>
            <w:u w:val="none"/>
          </w:rPr>
          <w:t>www.sec.gov/Archives/edgar/data/1384002/000114036116050858/xslFormDX01/primary_doc.xml</w:t>
        </w:r>
      </w:hyperlink>
    </w:p>
  </w:footnote>
  <w:footnote w:id="5">
    <w:p w14:paraId="0878BD90" w14:textId="77777777" w:rsidR="001A0563" w:rsidRDefault="001A0563" w:rsidP="001A0563">
      <w:pPr>
        <w:pStyle w:val="FootnoteText"/>
      </w:pPr>
      <w:r>
        <w:rPr>
          <w:rStyle w:val="FootnoteReference"/>
        </w:rPr>
        <w:footnoteRef/>
      </w:r>
      <w:r>
        <w:t xml:space="preserve"> </w:t>
      </w:r>
      <w:r w:rsidRPr="00451A1C">
        <w:rPr>
          <w:rFonts w:ascii="Georgia" w:hAnsi="Georgia"/>
          <w:sz w:val="20"/>
          <w:szCs w:val="20"/>
        </w:rPr>
        <w:t>U.S. Nuclear Regulatory Commission,</w:t>
      </w:r>
      <w:r w:rsidRPr="00451A1C">
        <w:rPr>
          <w:sz w:val="20"/>
          <w:szCs w:val="20"/>
        </w:rPr>
        <w:t xml:space="preserve"> </w:t>
      </w:r>
      <w:r w:rsidRPr="00451A1C">
        <w:rPr>
          <w:rFonts w:ascii="Georgia" w:hAnsi="Georgia"/>
          <w:sz w:val="20"/>
          <w:szCs w:val="20"/>
        </w:rPr>
        <w:t xml:space="preserve">July 26, 2020 </w:t>
      </w:r>
      <w:r w:rsidRPr="00451A1C">
        <w:rPr>
          <w:rFonts w:ascii="Georgia" w:hAnsi="Georgia"/>
          <w:i/>
          <w:iCs/>
          <w:sz w:val="20"/>
          <w:szCs w:val="20"/>
        </w:rPr>
        <w:t>Response to the NRC Request for Additional Information</w:t>
      </w:r>
      <w:r w:rsidRPr="00451A1C">
        <w:rPr>
          <w:rFonts w:ascii="Georgia" w:hAnsi="Georgia"/>
          <w:sz w:val="20"/>
          <w:szCs w:val="20"/>
        </w:rPr>
        <w:t>, at footnote 7.</w:t>
      </w:r>
    </w:p>
  </w:footnote>
  <w:footnote w:id="6">
    <w:p w14:paraId="1B0CEA32" w14:textId="77777777" w:rsidR="001A0563" w:rsidRDefault="001A0563" w:rsidP="001A0563">
      <w:pPr>
        <w:pStyle w:val="FootnoteText"/>
      </w:pPr>
      <w:r>
        <w:rPr>
          <w:rStyle w:val="FootnoteReference"/>
        </w:rPr>
        <w:footnoteRef/>
      </w:r>
      <w:r>
        <w:t xml:space="preserve"> </w:t>
      </w:r>
      <w:r w:rsidRPr="001128EF">
        <w:rPr>
          <w:rFonts w:ascii="Georgia" w:hAnsi="Georgia"/>
          <w:sz w:val="20"/>
          <w:szCs w:val="20"/>
        </w:rPr>
        <w:t xml:space="preserve">See </w:t>
      </w:r>
      <w:r w:rsidRPr="001128EF">
        <w:rPr>
          <w:rFonts w:ascii="Georgia" w:hAnsi="Georgia"/>
          <w:i/>
          <w:iCs/>
          <w:sz w:val="20"/>
          <w:szCs w:val="20"/>
        </w:rPr>
        <w:t>Public Citizen Rehearing Request</w:t>
      </w:r>
      <w:r w:rsidRPr="001128EF">
        <w:rPr>
          <w:rFonts w:ascii="Georgia" w:hAnsi="Georgia"/>
          <w:sz w:val="20"/>
          <w:szCs w:val="20"/>
        </w:rPr>
        <w:t>, Docket No. EC19-120, April 29, 2020, at paragraph 14.</w:t>
      </w:r>
    </w:p>
  </w:footnote>
  <w:footnote w:id="7">
    <w:p w14:paraId="1E9A2695" w14:textId="075E120F" w:rsidR="00404BF0" w:rsidRDefault="00404BF0" w:rsidP="00404BF0">
      <w:pPr>
        <w:pStyle w:val="FootnoteText"/>
      </w:pPr>
      <w:r>
        <w:rPr>
          <w:rStyle w:val="FootnoteReference"/>
        </w:rPr>
        <w:footnoteRef/>
      </w:r>
      <w:r>
        <w:t xml:space="preserve"> </w:t>
      </w:r>
      <w:r w:rsidR="005947E9" w:rsidRPr="007B5593">
        <w:rPr>
          <w:rFonts w:ascii="Georgia" w:hAnsi="Georgia"/>
        </w:rPr>
        <w:t>January 6, 2020</w:t>
      </w:r>
      <w:r w:rsidR="005947E9" w:rsidRPr="007B5593">
        <w:rPr>
          <w:rFonts w:ascii="Georgia" w:hAnsi="Georgia"/>
        </w:rPr>
        <w:t xml:space="preserve"> </w:t>
      </w:r>
      <w:r w:rsidRPr="007B5593">
        <w:rPr>
          <w:rFonts w:ascii="Georgia" w:hAnsi="Georgia"/>
          <w:i/>
          <w:iCs/>
        </w:rPr>
        <w:t>Response to Deficiency Letter</w:t>
      </w:r>
      <w:r w:rsidRPr="007B5593">
        <w:rPr>
          <w:rFonts w:ascii="Georgia" w:hAnsi="Georgia"/>
        </w:rPr>
        <w:t xml:space="preserve">, </w:t>
      </w:r>
      <w:r w:rsidR="006207DD" w:rsidRPr="007B5593">
        <w:rPr>
          <w:rFonts w:ascii="Georgia" w:hAnsi="Georgia"/>
        </w:rPr>
        <w:t xml:space="preserve">FERC Docket No. </w:t>
      </w:r>
      <w:r w:rsidR="00426346" w:rsidRPr="007B5593">
        <w:rPr>
          <w:rFonts w:ascii="Georgia" w:hAnsi="Georgia"/>
        </w:rPr>
        <w:t>EC19-120</w:t>
      </w:r>
      <w:r w:rsidR="00426346" w:rsidRPr="007B5593">
        <w:rPr>
          <w:rFonts w:ascii="Georgia" w:hAnsi="Georgia"/>
        </w:rPr>
        <w:t xml:space="preserve">, </w:t>
      </w:r>
      <w:r w:rsidRPr="007B5593">
        <w:rPr>
          <w:rFonts w:ascii="Georgia" w:hAnsi="Georgia"/>
        </w:rPr>
        <w:t>at pages 9-10.</w:t>
      </w:r>
    </w:p>
  </w:footnote>
  <w:footnote w:id="8">
    <w:p w14:paraId="18078573" w14:textId="5E40AF18" w:rsidR="00FD65AD" w:rsidRDefault="00FD65AD">
      <w:pPr>
        <w:pStyle w:val="FootnoteText"/>
      </w:pPr>
      <w:r>
        <w:rPr>
          <w:rStyle w:val="FootnoteReference"/>
        </w:rPr>
        <w:footnoteRef/>
      </w:r>
      <w:r>
        <w:t xml:space="preserve"> </w:t>
      </w:r>
      <w:r w:rsidRPr="00FD65AD">
        <w:rPr>
          <w:rFonts w:ascii="Georgia" w:hAnsi="Georgia"/>
        </w:rPr>
        <w:t>www.pjm.com/about-pjm/who-we-are/pjm-board.aspx</w:t>
      </w:r>
    </w:p>
  </w:footnote>
  <w:footnote w:id="9">
    <w:p w14:paraId="11CDA4D7" w14:textId="205E7F47" w:rsidR="002C5D22" w:rsidRDefault="002C5D22">
      <w:pPr>
        <w:pStyle w:val="FootnoteText"/>
      </w:pPr>
      <w:r>
        <w:rPr>
          <w:rStyle w:val="FootnoteReference"/>
        </w:rPr>
        <w:footnoteRef/>
      </w:r>
      <w:r>
        <w:t xml:space="preserve"> </w:t>
      </w:r>
      <w:r w:rsidRPr="002C5D22">
        <w:rPr>
          <w:rFonts w:ascii="Georgia" w:hAnsi="Georgia"/>
        </w:rPr>
        <w:t>https://ascendant.bm/about/</w:t>
      </w:r>
    </w:p>
  </w:footnote>
  <w:footnote w:id="10">
    <w:p w14:paraId="08376B10" w14:textId="0562265B" w:rsidR="00845643" w:rsidRDefault="00845643">
      <w:pPr>
        <w:pStyle w:val="FootnoteText"/>
      </w:pPr>
      <w:r>
        <w:rPr>
          <w:rStyle w:val="FootnoteReference"/>
        </w:rPr>
        <w:footnoteRef/>
      </w:r>
      <w:r w:rsidR="001660DB">
        <w:rPr>
          <w:rFonts w:ascii="Georgia" w:hAnsi="Georgia"/>
        </w:rPr>
        <w:t xml:space="preserve"> </w:t>
      </w:r>
      <w:r w:rsidRPr="00156C09">
        <w:rPr>
          <w:rFonts w:ascii="Georgia" w:hAnsi="Georgia"/>
        </w:rPr>
        <w:t>http://moderngridsolutions.com/</w:t>
      </w:r>
    </w:p>
  </w:footnote>
  <w:footnote w:id="11">
    <w:p w14:paraId="4A3ACBF2" w14:textId="6E3FDF7F" w:rsidR="00D715D7" w:rsidRDefault="00D715D7">
      <w:pPr>
        <w:pStyle w:val="FootnoteText"/>
      </w:pPr>
      <w:r>
        <w:rPr>
          <w:rStyle w:val="FootnoteReference"/>
        </w:rPr>
        <w:footnoteRef/>
      </w:r>
      <w:r>
        <w:t xml:space="preserve"> </w:t>
      </w:r>
      <w:r w:rsidRPr="00D715D7">
        <w:rPr>
          <w:rFonts w:ascii="Georgia" w:hAnsi="Georgia"/>
        </w:rPr>
        <w:t>www.taffrailgroup.com/cleary</w:t>
      </w:r>
    </w:p>
  </w:footnote>
  <w:footnote w:id="12">
    <w:p w14:paraId="17C10036" w14:textId="21244EA0" w:rsidR="00954FFC" w:rsidRDefault="00954FFC">
      <w:pPr>
        <w:pStyle w:val="FootnoteText"/>
      </w:pPr>
      <w:r>
        <w:rPr>
          <w:rStyle w:val="FootnoteReference"/>
        </w:rPr>
        <w:footnoteRef/>
      </w:r>
      <w:r>
        <w:t xml:space="preserve"> </w:t>
      </w:r>
      <w:r w:rsidRPr="00954FFC">
        <w:rPr>
          <w:rFonts w:ascii="Georgia" w:hAnsi="Georgia"/>
        </w:rPr>
        <w:t>www.southwestgen.com/about-us/#board-section</w:t>
      </w:r>
    </w:p>
  </w:footnote>
  <w:footnote w:id="13">
    <w:p w14:paraId="470968E3" w14:textId="2BA9EA9D" w:rsidR="00DA76DD" w:rsidRDefault="00DA76DD">
      <w:pPr>
        <w:pStyle w:val="FootnoteText"/>
      </w:pPr>
      <w:r>
        <w:rPr>
          <w:rStyle w:val="FootnoteReference"/>
        </w:rPr>
        <w:footnoteRef/>
      </w:r>
      <w:r>
        <w:t xml:space="preserve"> </w:t>
      </w:r>
      <w:r w:rsidRPr="00DA76DD">
        <w:rPr>
          <w:rFonts w:ascii="Georgia" w:hAnsi="Georgia"/>
        </w:rPr>
        <w:t>https://oag.ca.gov/news/press-releases/attorney-general-lockyer-announces-7497-million-settlement-mirant-energy-price</w:t>
      </w:r>
    </w:p>
  </w:footnote>
  <w:footnote w:id="14">
    <w:p w14:paraId="6F7DEF29" w14:textId="6BD70141" w:rsidR="00E26D5A" w:rsidRDefault="00E26D5A">
      <w:pPr>
        <w:pStyle w:val="FootnoteText"/>
      </w:pPr>
      <w:r>
        <w:rPr>
          <w:rStyle w:val="FootnoteReference"/>
        </w:rPr>
        <w:footnoteRef/>
      </w:r>
      <w:r>
        <w:t xml:space="preserve"> </w:t>
      </w:r>
      <w:r w:rsidRPr="00E26D5A">
        <w:rPr>
          <w:rFonts w:ascii="Georgia" w:hAnsi="Georgia"/>
        </w:rPr>
        <w:t>111 FERC ¶ 61,017</w:t>
      </w:r>
      <w:r w:rsidRPr="00E26D5A">
        <w:rPr>
          <w:rFonts w:ascii="Georgia" w:hAnsi="Georgia"/>
        </w:rPr>
        <w:t>.</w:t>
      </w:r>
    </w:p>
  </w:footnote>
  <w:footnote w:id="15">
    <w:p w14:paraId="79FE91A2" w14:textId="5724D168" w:rsidR="00B43AED" w:rsidRDefault="00B43AED">
      <w:pPr>
        <w:pStyle w:val="FootnoteText"/>
      </w:pPr>
      <w:r>
        <w:rPr>
          <w:rStyle w:val="FootnoteReference"/>
        </w:rPr>
        <w:footnoteRef/>
      </w:r>
      <w:r>
        <w:t xml:space="preserve"> </w:t>
      </w:r>
      <w:r w:rsidRPr="003A6020">
        <w:rPr>
          <w:rFonts w:ascii="Georgia" w:hAnsi="Georgia"/>
        </w:rPr>
        <w:t>www.justice.gov/archive/opa/pr/2007/July/07_crm_495.html</w:t>
      </w:r>
    </w:p>
  </w:footnote>
  <w:footnote w:id="16">
    <w:p w14:paraId="40D5C971" w14:textId="1890A61B" w:rsidR="00992056" w:rsidRDefault="00992056">
      <w:pPr>
        <w:pStyle w:val="FootnoteText"/>
      </w:pPr>
      <w:r>
        <w:rPr>
          <w:rStyle w:val="FootnoteReference"/>
        </w:rPr>
        <w:footnoteRef/>
      </w:r>
      <w:r>
        <w:t xml:space="preserve"> </w:t>
      </w:r>
      <w:r w:rsidRPr="00992056">
        <w:rPr>
          <w:rFonts w:ascii="Georgia" w:hAnsi="Georgia"/>
        </w:rPr>
        <w:t>www.cftc.gov/sites/default/files/opa/enf04/opa5025-04.htm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A133D" w14:textId="22899DC0" w:rsidR="007074FE" w:rsidRPr="007074FE" w:rsidRDefault="007074FE" w:rsidP="007074FE">
    <w:pPr>
      <w:pStyle w:val="Header"/>
      <w:jc w:val="center"/>
      <w:rPr>
        <w:rFonts w:ascii="Georgia" w:hAnsi="Georgia"/>
        <w:i/>
        <w:iCs/>
      </w:rPr>
    </w:pPr>
    <w:r w:rsidRPr="007074FE">
      <w:rPr>
        <w:rFonts w:ascii="Georgia" w:hAnsi="Georgia"/>
        <w:i/>
        <w:iCs/>
      </w:rPr>
      <w:t>Public Citizen Protest • Docket No. EC20-94 • September 21, 2020</w:t>
    </w:r>
  </w:p>
  <w:p w14:paraId="3502045F" w14:textId="77777777" w:rsidR="007074FE" w:rsidRDefault="00707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82668"/>
    <w:multiLevelType w:val="hybridMultilevel"/>
    <w:tmpl w:val="1D36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E4244"/>
    <w:multiLevelType w:val="hybridMultilevel"/>
    <w:tmpl w:val="C540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0F"/>
    <w:rsid w:val="00015E9A"/>
    <w:rsid w:val="00016209"/>
    <w:rsid w:val="0003367D"/>
    <w:rsid w:val="00072F2D"/>
    <w:rsid w:val="000912A8"/>
    <w:rsid w:val="000935E9"/>
    <w:rsid w:val="00094567"/>
    <w:rsid w:val="000E15EC"/>
    <w:rsid w:val="000E3639"/>
    <w:rsid w:val="000E4D49"/>
    <w:rsid w:val="001155CE"/>
    <w:rsid w:val="00116A15"/>
    <w:rsid w:val="00117463"/>
    <w:rsid w:val="00117CD9"/>
    <w:rsid w:val="00131B92"/>
    <w:rsid w:val="001374C1"/>
    <w:rsid w:val="00156C09"/>
    <w:rsid w:val="00166075"/>
    <w:rsid w:val="001660DB"/>
    <w:rsid w:val="00166F75"/>
    <w:rsid w:val="00182A3E"/>
    <w:rsid w:val="001A0563"/>
    <w:rsid w:val="001E68F3"/>
    <w:rsid w:val="001F7CCC"/>
    <w:rsid w:val="002119ED"/>
    <w:rsid w:val="00222E0A"/>
    <w:rsid w:val="00281057"/>
    <w:rsid w:val="00292DDF"/>
    <w:rsid w:val="002A04BA"/>
    <w:rsid w:val="002A1AB1"/>
    <w:rsid w:val="002A6717"/>
    <w:rsid w:val="002C5D22"/>
    <w:rsid w:val="002D2E86"/>
    <w:rsid w:val="002F5187"/>
    <w:rsid w:val="00335FB4"/>
    <w:rsid w:val="00361828"/>
    <w:rsid w:val="00393EF9"/>
    <w:rsid w:val="00395A52"/>
    <w:rsid w:val="003A2ECA"/>
    <w:rsid w:val="003A6020"/>
    <w:rsid w:val="003B31C5"/>
    <w:rsid w:val="003B715F"/>
    <w:rsid w:val="003D4ED5"/>
    <w:rsid w:val="004045F5"/>
    <w:rsid w:val="00404BF0"/>
    <w:rsid w:val="00420794"/>
    <w:rsid w:val="00426346"/>
    <w:rsid w:val="0045382D"/>
    <w:rsid w:val="004679C2"/>
    <w:rsid w:val="004A0350"/>
    <w:rsid w:val="004A0F24"/>
    <w:rsid w:val="004B2885"/>
    <w:rsid w:val="004C0E19"/>
    <w:rsid w:val="004D62C6"/>
    <w:rsid w:val="00527C75"/>
    <w:rsid w:val="00581A37"/>
    <w:rsid w:val="005947E9"/>
    <w:rsid w:val="005A44DC"/>
    <w:rsid w:val="005B40F9"/>
    <w:rsid w:val="005B7D26"/>
    <w:rsid w:val="005C3A8C"/>
    <w:rsid w:val="005E2F81"/>
    <w:rsid w:val="005E6D0E"/>
    <w:rsid w:val="00614B15"/>
    <w:rsid w:val="00617DE4"/>
    <w:rsid w:val="006207DD"/>
    <w:rsid w:val="00661378"/>
    <w:rsid w:val="00661A74"/>
    <w:rsid w:val="006621A2"/>
    <w:rsid w:val="00662EDA"/>
    <w:rsid w:val="00671C60"/>
    <w:rsid w:val="006726E8"/>
    <w:rsid w:val="00685885"/>
    <w:rsid w:val="006962A6"/>
    <w:rsid w:val="006A45E7"/>
    <w:rsid w:val="006C39D6"/>
    <w:rsid w:val="006D2F93"/>
    <w:rsid w:val="006E10CD"/>
    <w:rsid w:val="00701128"/>
    <w:rsid w:val="007045CB"/>
    <w:rsid w:val="007074FE"/>
    <w:rsid w:val="00707D91"/>
    <w:rsid w:val="007240B7"/>
    <w:rsid w:val="007B5593"/>
    <w:rsid w:val="007E4068"/>
    <w:rsid w:val="00805A2D"/>
    <w:rsid w:val="00811876"/>
    <w:rsid w:val="00813AA4"/>
    <w:rsid w:val="00822B30"/>
    <w:rsid w:val="00831531"/>
    <w:rsid w:val="00837866"/>
    <w:rsid w:val="00845643"/>
    <w:rsid w:val="00854272"/>
    <w:rsid w:val="00892CFC"/>
    <w:rsid w:val="008B4F4C"/>
    <w:rsid w:val="008D1F86"/>
    <w:rsid w:val="008F48A2"/>
    <w:rsid w:val="0091295D"/>
    <w:rsid w:val="00925615"/>
    <w:rsid w:val="00954FFC"/>
    <w:rsid w:val="0098781F"/>
    <w:rsid w:val="00987942"/>
    <w:rsid w:val="00992056"/>
    <w:rsid w:val="009A0270"/>
    <w:rsid w:val="009E35D7"/>
    <w:rsid w:val="00A34AF5"/>
    <w:rsid w:val="00A56006"/>
    <w:rsid w:val="00A8662F"/>
    <w:rsid w:val="00AC5B1F"/>
    <w:rsid w:val="00AE546A"/>
    <w:rsid w:val="00B01367"/>
    <w:rsid w:val="00B176DF"/>
    <w:rsid w:val="00B251EB"/>
    <w:rsid w:val="00B43AED"/>
    <w:rsid w:val="00B54121"/>
    <w:rsid w:val="00B8728A"/>
    <w:rsid w:val="00B8750D"/>
    <w:rsid w:val="00B94F4E"/>
    <w:rsid w:val="00BC7948"/>
    <w:rsid w:val="00BD55C8"/>
    <w:rsid w:val="00BE4BBD"/>
    <w:rsid w:val="00BF2118"/>
    <w:rsid w:val="00C0590F"/>
    <w:rsid w:val="00C415AD"/>
    <w:rsid w:val="00C516FB"/>
    <w:rsid w:val="00C965F5"/>
    <w:rsid w:val="00CB41C9"/>
    <w:rsid w:val="00CB6543"/>
    <w:rsid w:val="00CC41A7"/>
    <w:rsid w:val="00CF0CCF"/>
    <w:rsid w:val="00D70B68"/>
    <w:rsid w:val="00D715D7"/>
    <w:rsid w:val="00D7200D"/>
    <w:rsid w:val="00D94288"/>
    <w:rsid w:val="00DA76DD"/>
    <w:rsid w:val="00DC1EE7"/>
    <w:rsid w:val="00DC6257"/>
    <w:rsid w:val="00DC646B"/>
    <w:rsid w:val="00E01F3D"/>
    <w:rsid w:val="00E021AC"/>
    <w:rsid w:val="00E25D1A"/>
    <w:rsid w:val="00E26D5A"/>
    <w:rsid w:val="00E3419E"/>
    <w:rsid w:val="00E36BFC"/>
    <w:rsid w:val="00E41C03"/>
    <w:rsid w:val="00E7399A"/>
    <w:rsid w:val="00E92243"/>
    <w:rsid w:val="00EA1152"/>
    <w:rsid w:val="00EA21AA"/>
    <w:rsid w:val="00EC272B"/>
    <w:rsid w:val="00EC5D40"/>
    <w:rsid w:val="00EE2FC7"/>
    <w:rsid w:val="00EF363E"/>
    <w:rsid w:val="00F07749"/>
    <w:rsid w:val="00F26EA7"/>
    <w:rsid w:val="00F52988"/>
    <w:rsid w:val="00F9332A"/>
    <w:rsid w:val="00FB31F7"/>
    <w:rsid w:val="00FC49AE"/>
    <w:rsid w:val="00FD65AD"/>
    <w:rsid w:val="00FD6F46"/>
    <w:rsid w:val="00FD7C43"/>
    <w:rsid w:val="00FF1182"/>
    <w:rsid w:val="00FF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47D0"/>
  <w15:chartTrackingRefBased/>
  <w15:docId w15:val="{EED04D02-D185-4A8F-BAAD-CA41E003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rsid w:val="001E68F3"/>
    <w:pPr>
      <w:keepLines/>
      <w:widowControl w:val="0"/>
    </w:pPr>
  </w:style>
  <w:style w:type="character" w:customStyle="1" w:styleId="FootnoteTextChar">
    <w:name w:val="Footnote Text Char"/>
    <w:basedOn w:val="DefaultParagraphFont"/>
    <w:link w:val="FootnoteText"/>
    <w:uiPriority w:val="99"/>
    <w:semiHidden/>
    <w:rsid w:val="001E68F3"/>
  </w:style>
  <w:style w:type="character" w:styleId="Hyperlink">
    <w:name w:val="Hyperlink"/>
    <w:basedOn w:val="DefaultParagraphFont"/>
    <w:uiPriority w:val="99"/>
    <w:unhideWhenUsed/>
    <w:rsid w:val="00B8750D"/>
    <w:rPr>
      <w:color w:val="0563C1" w:themeColor="hyperlink"/>
      <w:u w:val="single"/>
    </w:rPr>
  </w:style>
  <w:style w:type="character" w:styleId="UnresolvedMention">
    <w:name w:val="Unresolved Mention"/>
    <w:basedOn w:val="DefaultParagraphFont"/>
    <w:uiPriority w:val="99"/>
    <w:semiHidden/>
    <w:unhideWhenUsed/>
    <w:rsid w:val="00B8750D"/>
    <w:rPr>
      <w:color w:val="605E5C"/>
      <w:shd w:val="clear" w:color="auto" w:fill="E1DFDD"/>
    </w:rPr>
  </w:style>
  <w:style w:type="paragraph" w:styleId="ListParagraph">
    <w:name w:val="List Paragraph"/>
    <w:basedOn w:val="Normal"/>
    <w:uiPriority w:val="34"/>
    <w:qFormat/>
    <w:rsid w:val="00FC49AE"/>
    <w:pPr>
      <w:ind w:left="720"/>
      <w:contextualSpacing/>
    </w:pPr>
  </w:style>
  <w:style w:type="character" w:styleId="FootnoteReference">
    <w:name w:val="footnote reference"/>
    <w:basedOn w:val="DefaultParagraphFont"/>
    <w:uiPriority w:val="99"/>
    <w:semiHidden/>
    <w:unhideWhenUsed/>
    <w:rsid w:val="00DA76DD"/>
    <w:rPr>
      <w:vertAlign w:val="superscript"/>
    </w:rPr>
  </w:style>
  <w:style w:type="paragraph" w:styleId="BalloonText">
    <w:name w:val="Balloon Text"/>
    <w:basedOn w:val="Normal"/>
    <w:link w:val="BalloonTextChar"/>
    <w:uiPriority w:val="99"/>
    <w:semiHidden/>
    <w:unhideWhenUsed/>
    <w:rsid w:val="00BD5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5C8"/>
    <w:rPr>
      <w:rFonts w:ascii="Segoe UI" w:hAnsi="Segoe UI" w:cs="Segoe UI"/>
      <w:sz w:val="18"/>
      <w:szCs w:val="18"/>
    </w:rPr>
  </w:style>
  <w:style w:type="paragraph" w:styleId="Header">
    <w:name w:val="header"/>
    <w:basedOn w:val="Normal"/>
    <w:link w:val="HeaderChar"/>
    <w:uiPriority w:val="99"/>
    <w:unhideWhenUsed/>
    <w:rsid w:val="00FF72C6"/>
    <w:pPr>
      <w:tabs>
        <w:tab w:val="center" w:pos="4680"/>
        <w:tab w:val="right" w:pos="9360"/>
      </w:tabs>
    </w:pPr>
  </w:style>
  <w:style w:type="character" w:customStyle="1" w:styleId="HeaderChar">
    <w:name w:val="Header Char"/>
    <w:basedOn w:val="DefaultParagraphFont"/>
    <w:link w:val="Header"/>
    <w:uiPriority w:val="99"/>
    <w:rsid w:val="00FF72C6"/>
  </w:style>
  <w:style w:type="paragraph" w:styleId="Footer">
    <w:name w:val="footer"/>
    <w:basedOn w:val="Normal"/>
    <w:link w:val="FooterChar"/>
    <w:uiPriority w:val="99"/>
    <w:unhideWhenUsed/>
    <w:rsid w:val="00FF72C6"/>
    <w:pPr>
      <w:tabs>
        <w:tab w:val="center" w:pos="4680"/>
        <w:tab w:val="right" w:pos="9360"/>
      </w:tabs>
    </w:pPr>
  </w:style>
  <w:style w:type="character" w:customStyle="1" w:styleId="FooterChar">
    <w:name w:val="Footer Char"/>
    <w:basedOn w:val="DefaultParagraphFont"/>
    <w:link w:val="Footer"/>
    <w:uiPriority w:val="99"/>
    <w:rsid w:val="00FF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ec.gov/Archives/edgar/data/1384002/000114036116050858/xslFormDX01/primary_doc.xml" TargetMode="External"/><Relationship Id="rId2" Type="http://schemas.openxmlformats.org/officeDocument/2006/relationships/hyperlink" Target="http://www.govinfo.gov/content/pkg/CHRG-113shrg91522/pdf/CHRG-113shrg91522.pdf" TargetMode="External"/><Relationship Id="rId1" Type="http://schemas.openxmlformats.org/officeDocument/2006/relationships/hyperlink" Target="http://www.citizen.org/about/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C5D40-88F3-426E-999E-5823308F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Slocum</dc:creator>
  <cp:keywords/>
  <dc:description/>
  <cp:lastModifiedBy>Tyson Slocum</cp:lastModifiedBy>
  <cp:revision>154</cp:revision>
  <dcterms:created xsi:type="dcterms:W3CDTF">2020-09-05T13:29:00Z</dcterms:created>
  <dcterms:modified xsi:type="dcterms:W3CDTF">2020-09-21T19:28:00Z</dcterms:modified>
</cp:coreProperties>
</file>