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D8A5" w14:textId="77777777" w:rsidR="006443BB" w:rsidRPr="0058766F" w:rsidRDefault="00477988" w:rsidP="006A69EC">
      <w:pPr>
        <w:jc w:val="center"/>
        <w:rPr>
          <w:rFonts w:ascii="Georgia" w:hAnsi="Georgia"/>
          <w:sz w:val="24"/>
          <w:szCs w:val="24"/>
        </w:rPr>
      </w:pPr>
      <w:r w:rsidRPr="0058766F">
        <w:rPr>
          <w:rFonts w:ascii="Georgia" w:hAnsi="Georgia"/>
          <w:sz w:val="24"/>
          <w:szCs w:val="24"/>
        </w:rPr>
        <w:t>UNITED STATES OF AMERICA</w:t>
      </w:r>
    </w:p>
    <w:p w14:paraId="4D7B282E" w14:textId="5484A8CF" w:rsidR="00477988" w:rsidRPr="0058766F" w:rsidRDefault="00477988" w:rsidP="006A69EC">
      <w:pPr>
        <w:jc w:val="center"/>
        <w:rPr>
          <w:rFonts w:ascii="Georgia" w:hAnsi="Georgia"/>
          <w:sz w:val="24"/>
          <w:szCs w:val="24"/>
        </w:rPr>
      </w:pPr>
      <w:r w:rsidRPr="0058766F">
        <w:rPr>
          <w:rFonts w:ascii="Georgia" w:hAnsi="Georgia"/>
          <w:sz w:val="24"/>
          <w:szCs w:val="24"/>
        </w:rPr>
        <w:t>BEFORE THE</w:t>
      </w:r>
    </w:p>
    <w:p w14:paraId="004CE518" w14:textId="0329D5E1" w:rsidR="00477988" w:rsidRPr="0058766F" w:rsidRDefault="00477988" w:rsidP="006A69EC">
      <w:pPr>
        <w:jc w:val="center"/>
        <w:rPr>
          <w:rFonts w:ascii="Georgia" w:hAnsi="Georgia"/>
          <w:sz w:val="24"/>
          <w:szCs w:val="24"/>
        </w:rPr>
      </w:pPr>
      <w:r w:rsidRPr="0058766F">
        <w:rPr>
          <w:rFonts w:ascii="Georgia" w:hAnsi="Georgia"/>
          <w:sz w:val="24"/>
          <w:szCs w:val="24"/>
        </w:rPr>
        <w:t>FEDERAL ENERGY REGULATORY COMMISSION</w:t>
      </w:r>
    </w:p>
    <w:p w14:paraId="76FEC265" w14:textId="26749C99" w:rsidR="00477988" w:rsidRPr="0058766F" w:rsidRDefault="00477988">
      <w:pPr>
        <w:rPr>
          <w:rFonts w:ascii="Georgia" w:hAnsi="Georgia"/>
          <w:sz w:val="24"/>
          <w:szCs w:val="24"/>
        </w:rPr>
      </w:pPr>
    </w:p>
    <w:p w14:paraId="62A86662" w14:textId="199A1AAE" w:rsidR="00477988" w:rsidRPr="0058766F" w:rsidRDefault="00477988">
      <w:pPr>
        <w:rPr>
          <w:rFonts w:ascii="Georgia" w:hAnsi="Georgia"/>
          <w:sz w:val="24"/>
          <w:szCs w:val="24"/>
        </w:rPr>
      </w:pPr>
      <w:r w:rsidRPr="0058766F">
        <w:rPr>
          <w:rFonts w:ascii="Georgia" w:hAnsi="Georgia"/>
          <w:sz w:val="24"/>
          <w:szCs w:val="24"/>
        </w:rPr>
        <w:t>Improving Winter-Readiness of Generating Units</w:t>
      </w:r>
      <w:r w:rsidRPr="0058766F">
        <w:rPr>
          <w:rFonts w:ascii="Georgia" w:hAnsi="Georgia"/>
          <w:sz w:val="24"/>
          <w:szCs w:val="24"/>
        </w:rPr>
        <w:tab/>
      </w:r>
      <w:r w:rsidRPr="0058766F">
        <w:rPr>
          <w:rFonts w:ascii="Georgia" w:hAnsi="Georgia"/>
          <w:sz w:val="24"/>
          <w:szCs w:val="24"/>
        </w:rPr>
        <w:tab/>
      </w:r>
      <w:r w:rsidR="006A69EC">
        <w:rPr>
          <w:rFonts w:ascii="Georgia" w:hAnsi="Georgia"/>
          <w:sz w:val="24"/>
          <w:szCs w:val="24"/>
        </w:rPr>
        <w:tab/>
      </w:r>
      <w:r w:rsidRPr="0058766F">
        <w:rPr>
          <w:rFonts w:ascii="Georgia" w:hAnsi="Georgia"/>
          <w:sz w:val="24"/>
          <w:szCs w:val="24"/>
        </w:rPr>
        <w:t>Docket No. AD22-4</w:t>
      </w:r>
    </w:p>
    <w:p w14:paraId="3D3E1508" w14:textId="11B99E50" w:rsidR="00477988" w:rsidRPr="0058766F" w:rsidRDefault="00477988">
      <w:pPr>
        <w:rPr>
          <w:rFonts w:ascii="Georgia" w:hAnsi="Georgia"/>
          <w:sz w:val="24"/>
          <w:szCs w:val="24"/>
        </w:rPr>
      </w:pPr>
    </w:p>
    <w:p w14:paraId="406B6B38" w14:textId="77777777" w:rsidR="00F94EE2" w:rsidRDefault="00F94EE2" w:rsidP="006A69EC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18FB24B4" w14:textId="6DA3CFE5" w:rsidR="00477988" w:rsidRPr="006A69EC" w:rsidRDefault="00477988" w:rsidP="006A69EC">
      <w:pPr>
        <w:jc w:val="center"/>
        <w:rPr>
          <w:rFonts w:ascii="Georgia" w:hAnsi="Georgia"/>
          <w:b/>
          <w:bCs/>
          <w:sz w:val="24"/>
          <w:szCs w:val="24"/>
        </w:rPr>
      </w:pPr>
      <w:r w:rsidRPr="006A69EC">
        <w:rPr>
          <w:rFonts w:ascii="Georgia" w:hAnsi="Georgia"/>
          <w:b/>
          <w:bCs/>
          <w:sz w:val="24"/>
          <w:szCs w:val="24"/>
        </w:rPr>
        <w:t>Comments of Public Citizen, Inc.</w:t>
      </w:r>
    </w:p>
    <w:p w14:paraId="16D9D78A" w14:textId="77777777" w:rsidR="002669B4" w:rsidRDefault="002669B4">
      <w:pPr>
        <w:rPr>
          <w:rFonts w:ascii="Georgia" w:hAnsi="Georgia"/>
          <w:sz w:val="24"/>
          <w:szCs w:val="24"/>
        </w:rPr>
      </w:pPr>
    </w:p>
    <w:p w14:paraId="4EF0F5C8" w14:textId="77777777" w:rsidR="00F94EE2" w:rsidRDefault="00F94EE2">
      <w:pPr>
        <w:rPr>
          <w:rFonts w:ascii="Georgia" w:hAnsi="Georgia"/>
          <w:sz w:val="24"/>
          <w:szCs w:val="24"/>
        </w:rPr>
      </w:pPr>
    </w:p>
    <w:p w14:paraId="638D216B" w14:textId="485A7E73" w:rsidR="00636558" w:rsidRDefault="002669B4" w:rsidP="008A7B35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105F78">
        <w:rPr>
          <w:rFonts w:ascii="Georgia" w:hAnsi="Georgia"/>
          <w:sz w:val="24"/>
          <w:szCs w:val="24"/>
        </w:rPr>
        <w:t xml:space="preserve">As the nation’s </w:t>
      </w:r>
      <w:r w:rsidR="00105F78" w:rsidRPr="009F6C03">
        <w:rPr>
          <w:rFonts w:ascii="Georgia" w:hAnsi="Georgia"/>
          <w:sz w:val="24"/>
          <w:szCs w:val="24"/>
        </w:rPr>
        <w:t>Electric Reliability Organization</w:t>
      </w:r>
      <w:r w:rsidR="00105F78">
        <w:rPr>
          <w:rFonts w:ascii="Georgia" w:hAnsi="Georgia"/>
          <w:sz w:val="24"/>
          <w:szCs w:val="24"/>
        </w:rPr>
        <w:t xml:space="preserve"> tasked with overseeing and implementing reliability standards, the North American Electric Reliability Corporation (NERC) is responsible for collecting </w:t>
      </w:r>
      <w:r w:rsidR="00583622">
        <w:rPr>
          <w:rFonts w:ascii="Georgia" w:hAnsi="Georgia"/>
          <w:sz w:val="24"/>
          <w:szCs w:val="24"/>
        </w:rPr>
        <w:t>reports</w:t>
      </w:r>
      <w:r w:rsidR="00105F78">
        <w:rPr>
          <w:rFonts w:ascii="Georgia" w:hAnsi="Georgia"/>
          <w:sz w:val="24"/>
          <w:szCs w:val="24"/>
        </w:rPr>
        <w:t xml:space="preserve"> on the causes and duration of unplanned power </w:t>
      </w:r>
      <w:r w:rsidR="009C41EF">
        <w:rPr>
          <w:rFonts w:ascii="Georgia" w:hAnsi="Georgia"/>
          <w:sz w:val="24"/>
          <w:szCs w:val="24"/>
        </w:rPr>
        <w:t>generator</w:t>
      </w:r>
      <w:r w:rsidR="00105F78">
        <w:rPr>
          <w:rFonts w:ascii="Georgia" w:hAnsi="Georgia"/>
          <w:sz w:val="24"/>
          <w:szCs w:val="24"/>
        </w:rPr>
        <w:t xml:space="preserve"> outages. </w:t>
      </w:r>
      <w:r w:rsidR="009D676E">
        <w:rPr>
          <w:rFonts w:ascii="Georgia" w:hAnsi="Georgia"/>
          <w:sz w:val="24"/>
          <w:szCs w:val="24"/>
        </w:rPr>
        <w:t xml:space="preserve">Such </w:t>
      </w:r>
      <w:r w:rsidR="00420E0A">
        <w:rPr>
          <w:rFonts w:ascii="Georgia" w:hAnsi="Georgia"/>
          <w:sz w:val="24"/>
          <w:szCs w:val="24"/>
        </w:rPr>
        <w:t>forced</w:t>
      </w:r>
      <w:r w:rsidR="00D675C8">
        <w:rPr>
          <w:rFonts w:ascii="Georgia" w:hAnsi="Georgia"/>
          <w:sz w:val="24"/>
          <w:szCs w:val="24"/>
        </w:rPr>
        <w:t xml:space="preserve"> outages </w:t>
      </w:r>
      <w:r w:rsidR="009C41EF">
        <w:rPr>
          <w:rFonts w:ascii="Georgia" w:hAnsi="Georgia"/>
          <w:sz w:val="24"/>
          <w:szCs w:val="24"/>
        </w:rPr>
        <w:t>occurring</w:t>
      </w:r>
      <w:r w:rsidR="006C5B42">
        <w:rPr>
          <w:rFonts w:ascii="Georgia" w:hAnsi="Georgia"/>
          <w:sz w:val="24"/>
          <w:szCs w:val="24"/>
        </w:rPr>
        <w:t xml:space="preserve"> during climate-induced extreme we</w:t>
      </w:r>
      <w:r w:rsidR="00D56656">
        <w:rPr>
          <w:rFonts w:ascii="Georgia" w:hAnsi="Georgia"/>
          <w:sz w:val="24"/>
          <w:szCs w:val="24"/>
        </w:rPr>
        <w:t>a</w:t>
      </w:r>
      <w:r w:rsidR="006C5B42">
        <w:rPr>
          <w:rFonts w:ascii="Georgia" w:hAnsi="Georgia"/>
          <w:sz w:val="24"/>
          <w:szCs w:val="24"/>
        </w:rPr>
        <w:t>ther events</w:t>
      </w:r>
      <w:r w:rsidR="00B96D4F">
        <w:rPr>
          <w:rFonts w:ascii="Georgia" w:hAnsi="Georgia"/>
          <w:sz w:val="24"/>
          <w:szCs w:val="24"/>
        </w:rPr>
        <w:t xml:space="preserve"> </w:t>
      </w:r>
      <w:r w:rsidR="00F070F4">
        <w:rPr>
          <w:rFonts w:ascii="Georgia" w:hAnsi="Georgia"/>
          <w:sz w:val="24"/>
          <w:szCs w:val="24"/>
        </w:rPr>
        <w:t>can prompt blackouts for millions of Americans, and result in</w:t>
      </w:r>
      <w:r w:rsidR="00890784">
        <w:rPr>
          <w:rFonts w:ascii="Georgia" w:hAnsi="Georgia"/>
          <w:sz w:val="24"/>
          <w:szCs w:val="24"/>
        </w:rPr>
        <w:t xml:space="preserve"> significant price spikes that </w:t>
      </w:r>
      <w:r w:rsidR="0042508F">
        <w:rPr>
          <w:rFonts w:ascii="Georgia" w:hAnsi="Georgia"/>
          <w:sz w:val="24"/>
          <w:szCs w:val="24"/>
        </w:rPr>
        <w:t>provide</w:t>
      </w:r>
      <w:r w:rsidR="00890784">
        <w:rPr>
          <w:rFonts w:ascii="Georgia" w:hAnsi="Georgia"/>
          <w:sz w:val="24"/>
          <w:szCs w:val="24"/>
        </w:rPr>
        <w:t xml:space="preserve"> generators lucrative profit opportunities.</w:t>
      </w:r>
      <w:r w:rsidR="00E30611">
        <w:rPr>
          <w:rFonts w:ascii="Georgia" w:hAnsi="Georgia"/>
          <w:sz w:val="24"/>
          <w:szCs w:val="24"/>
        </w:rPr>
        <w:t xml:space="preserve"> </w:t>
      </w:r>
    </w:p>
    <w:p w14:paraId="0DDE0608" w14:textId="55452363" w:rsidR="006A69EC" w:rsidRDefault="00636558" w:rsidP="008A7B35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NERC’s </w:t>
      </w:r>
      <w:r w:rsidR="00773D77">
        <w:rPr>
          <w:rFonts w:ascii="Georgia" w:hAnsi="Georgia"/>
          <w:sz w:val="24"/>
          <w:szCs w:val="24"/>
        </w:rPr>
        <w:t>procedures</w:t>
      </w:r>
      <w:r w:rsidR="00120FB0">
        <w:rPr>
          <w:rFonts w:ascii="Georgia" w:hAnsi="Georgia"/>
          <w:sz w:val="24"/>
          <w:szCs w:val="24"/>
        </w:rPr>
        <w:t xml:space="preserve"> of collecting</w:t>
      </w:r>
      <w:r>
        <w:rPr>
          <w:rFonts w:ascii="Georgia" w:hAnsi="Georgia"/>
          <w:sz w:val="24"/>
          <w:szCs w:val="24"/>
        </w:rPr>
        <w:t xml:space="preserve"> unplanned and forced generator outage </w:t>
      </w:r>
      <w:r w:rsidR="00773E22">
        <w:rPr>
          <w:rFonts w:ascii="Georgia" w:hAnsi="Georgia"/>
          <w:sz w:val="24"/>
          <w:szCs w:val="24"/>
        </w:rPr>
        <w:t>data</w:t>
      </w:r>
      <w:r w:rsidR="00B17FF6">
        <w:rPr>
          <w:rFonts w:ascii="Georgia" w:hAnsi="Georgia"/>
          <w:sz w:val="24"/>
          <w:szCs w:val="24"/>
        </w:rPr>
        <w:t xml:space="preserve"> is flawed because it relies upon </w:t>
      </w:r>
      <w:r w:rsidR="00250DEA">
        <w:rPr>
          <w:rFonts w:ascii="Georgia" w:hAnsi="Georgia"/>
          <w:sz w:val="24"/>
          <w:szCs w:val="24"/>
        </w:rPr>
        <w:t xml:space="preserve">unverified submissions by </w:t>
      </w:r>
      <w:r w:rsidR="0042508F">
        <w:rPr>
          <w:rFonts w:ascii="Georgia" w:hAnsi="Georgia"/>
          <w:sz w:val="24"/>
          <w:szCs w:val="24"/>
        </w:rPr>
        <w:t>power plant</w:t>
      </w:r>
      <w:r w:rsidR="00250DEA">
        <w:rPr>
          <w:rFonts w:ascii="Georgia" w:hAnsi="Georgia"/>
          <w:sz w:val="24"/>
          <w:szCs w:val="24"/>
        </w:rPr>
        <w:t xml:space="preserve"> owners. NERC conducts no </w:t>
      </w:r>
      <w:r w:rsidR="00773E22">
        <w:rPr>
          <w:rFonts w:ascii="Georgia" w:hAnsi="Georgia"/>
          <w:sz w:val="24"/>
          <w:szCs w:val="24"/>
        </w:rPr>
        <w:t>independent</w:t>
      </w:r>
      <w:r w:rsidR="00D93EC4">
        <w:rPr>
          <w:rFonts w:ascii="Georgia" w:hAnsi="Georgia"/>
          <w:sz w:val="24"/>
          <w:szCs w:val="24"/>
        </w:rPr>
        <w:t xml:space="preserve"> </w:t>
      </w:r>
      <w:r w:rsidR="00773E22">
        <w:rPr>
          <w:rFonts w:ascii="Georgia" w:hAnsi="Georgia"/>
          <w:sz w:val="24"/>
          <w:szCs w:val="24"/>
        </w:rPr>
        <w:t xml:space="preserve">corroboration </w:t>
      </w:r>
      <w:r w:rsidR="00D93EC4">
        <w:rPr>
          <w:rFonts w:ascii="Georgia" w:hAnsi="Georgia"/>
          <w:sz w:val="24"/>
          <w:szCs w:val="24"/>
        </w:rPr>
        <w:t>of unplanned and forced generator outage</w:t>
      </w:r>
      <w:r w:rsidR="00F2015E">
        <w:rPr>
          <w:rFonts w:ascii="Georgia" w:hAnsi="Georgia"/>
          <w:sz w:val="24"/>
          <w:szCs w:val="24"/>
        </w:rPr>
        <w:t xml:space="preserve"> incidents</w:t>
      </w:r>
      <w:r w:rsidR="00D93EC4">
        <w:rPr>
          <w:rFonts w:ascii="Georgia" w:hAnsi="Georgia"/>
          <w:sz w:val="24"/>
          <w:szCs w:val="24"/>
        </w:rPr>
        <w:t xml:space="preserve">, </w:t>
      </w:r>
      <w:r w:rsidR="00E66A33">
        <w:rPr>
          <w:rFonts w:ascii="Georgia" w:hAnsi="Georgia"/>
          <w:sz w:val="24"/>
          <w:szCs w:val="24"/>
        </w:rPr>
        <w:t>tainting</w:t>
      </w:r>
      <w:r w:rsidR="00D93EC4">
        <w:rPr>
          <w:rFonts w:ascii="Georgia" w:hAnsi="Georgia"/>
          <w:sz w:val="24"/>
          <w:szCs w:val="24"/>
        </w:rPr>
        <w:t xml:space="preserve"> the </w:t>
      </w:r>
      <w:r w:rsidR="00F2015E">
        <w:rPr>
          <w:rFonts w:ascii="Georgia" w:hAnsi="Georgia"/>
          <w:sz w:val="24"/>
          <w:szCs w:val="24"/>
        </w:rPr>
        <w:t xml:space="preserve">data set’s </w:t>
      </w:r>
      <w:r w:rsidR="00D93EC4">
        <w:rPr>
          <w:rFonts w:ascii="Georgia" w:hAnsi="Georgia"/>
          <w:sz w:val="24"/>
          <w:szCs w:val="24"/>
        </w:rPr>
        <w:t>legitimacy</w:t>
      </w:r>
      <w:r w:rsidR="005C092D">
        <w:rPr>
          <w:rFonts w:ascii="Georgia" w:hAnsi="Georgia"/>
          <w:sz w:val="24"/>
          <w:szCs w:val="24"/>
        </w:rPr>
        <w:t xml:space="preserve">. </w:t>
      </w:r>
      <w:r w:rsidR="007B18A6">
        <w:rPr>
          <w:rFonts w:ascii="Georgia" w:hAnsi="Georgia"/>
          <w:sz w:val="24"/>
          <w:szCs w:val="24"/>
        </w:rPr>
        <w:t xml:space="preserve">NERC’s </w:t>
      </w:r>
      <w:r w:rsidR="00C911B8">
        <w:rPr>
          <w:rFonts w:ascii="Georgia" w:hAnsi="Georgia"/>
          <w:sz w:val="24"/>
          <w:szCs w:val="24"/>
        </w:rPr>
        <w:t xml:space="preserve">methods </w:t>
      </w:r>
      <w:r w:rsidR="007B18A6">
        <w:rPr>
          <w:rFonts w:ascii="Georgia" w:hAnsi="Georgia"/>
          <w:sz w:val="24"/>
          <w:szCs w:val="24"/>
        </w:rPr>
        <w:t>ignore the fact that e</w:t>
      </w:r>
      <w:r w:rsidR="00BE7D76">
        <w:rPr>
          <w:rFonts w:ascii="Georgia" w:hAnsi="Georgia"/>
          <w:sz w:val="24"/>
          <w:szCs w:val="24"/>
        </w:rPr>
        <w:t xml:space="preserve">ntities that own more than one </w:t>
      </w:r>
      <w:r w:rsidR="00F2015E">
        <w:rPr>
          <w:rFonts w:ascii="Georgia" w:hAnsi="Georgia"/>
          <w:sz w:val="24"/>
          <w:szCs w:val="24"/>
        </w:rPr>
        <w:t>power plant</w:t>
      </w:r>
      <w:r w:rsidR="00BE7D76">
        <w:rPr>
          <w:rFonts w:ascii="Georgia" w:hAnsi="Georgia"/>
          <w:sz w:val="24"/>
          <w:szCs w:val="24"/>
        </w:rPr>
        <w:t xml:space="preserve"> in a market have financial incentive to prolong scarcity events</w:t>
      </w:r>
      <w:r w:rsidR="007B18A6">
        <w:rPr>
          <w:rFonts w:ascii="Georgia" w:hAnsi="Georgia"/>
          <w:sz w:val="24"/>
          <w:szCs w:val="24"/>
        </w:rPr>
        <w:t xml:space="preserve"> in order to</w:t>
      </w:r>
      <w:r w:rsidR="007773B9">
        <w:rPr>
          <w:rFonts w:ascii="Georgia" w:hAnsi="Georgia"/>
          <w:sz w:val="24"/>
          <w:szCs w:val="24"/>
        </w:rPr>
        <w:t xml:space="preserve"> earn higher profits at their still-operating units. Such intentional capacity withholding is a threat </w:t>
      </w:r>
      <w:r w:rsidR="00A46F8D">
        <w:rPr>
          <w:rFonts w:ascii="Georgia" w:hAnsi="Georgia"/>
          <w:sz w:val="24"/>
          <w:szCs w:val="24"/>
        </w:rPr>
        <w:t>in</w:t>
      </w:r>
      <w:r w:rsidR="007773B9">
        <w:rPr>
          <w:rFonts w:ascii="Georgia" w:hAnsi="Georgia"/>
          <w:sz w:val="24"/>
          <w:szCs w:val="24"/>
        </w:rPr>
        <w:t xml:space="preserve"> FERC’s market-based</w:t>
      </w:r>
      <w:r w:rsidR="00037A18">
        <w:rPr>
          <w:rFonts w:ascii="Georgia" w:hAnsi="Georgia"/>
          <w:sz w:val="24"/>
          <w:szCs w:val="24"/>
        </w:rPr>
        <w:t xml:space="preserve"> rate program, and NERC’s failure to verify the accuracy of the data may be concealing market manipulation </w:t>
      </w:r>
      <w:r w:rsidR="007773CC">
        <w:rPr>
          <w:rFonts w:ascii="Georgia" w:hAnsi="Georgia"/>
          <w:sz w:val="24"/>
          <w:szCs w:val="24"/>
        </w:rPr>
        <w:t xml:space="preserve">by unscrupulous power generators. FERC must require NERC to </w:t>
      </w:r>
      <w:r w:rsidR="00E66A33">
        <w:rPr>
          <w:rFonts w:ascii="Georgia" w:hAnsi="Georgia"/>
          <w:sz w:val="24"/>
          <w:szCs w:val="24"/>
        </w:rPr>
        <w:t>independently</w:t>
      </w:r>
      <w:r w:rsidR="008B01AA">
        <w:rPr>
          <w:rFonts w:ascii="Georgia" w:hAnsi="Georgia"/>
          <w:sz w:val="24"/>
          <w:szCs w:val="24"/>
        </w:rPr>
        <w:t xml:space="preserve"> verify unplanned outage reports by all generators that own more than one facility in a market.</w:t>
      </w:r>
      <w:r w:rsidR="006C5B42">
        <w:rPr>
          <w:rFonts w:ascii="Georgia" w:hAnsi="Georgia"/>
          <w:sz w:val="24"/>
          <w:szCs w:val="24"/>
        </w:rPr>
        <w:t xml:space="preserve"> </w:t>
      </w:r>
      <w:r w:rsidR="00BE3E73">
        <w:rPr>
          <w:rFonts w:ascii="Georgia" w:hAnsi="Georgia"/>
          <w:sz w:val="24"/>
          <w:szCs w:val="24"/>
        </w:rPr>
        <w:t>The accuracy and reliability of data is paramount for regulators to appropriately diagnose</w:t>
      </w:r>
      <w:r w:rsidR="00AE11B8">
        <w:rPr>
          <w:rFonts w:ascii="Georgia" w:hAnsi="Georgia"/>
          <w:sz w:val="24"/>
          <w:szCs w:val="24"/>
        </w:rPr>
        <w:t xml:space="preserve"> and remedy</w:t>
      </w:r>
      <w:r w:rsidR="00FD6158">
        <w:rPr>
          <w:rFonts w:ascii="Georgia" w:hAnsi="Georgia"/>
          <w:sz w:val="24"/>
          <w:szCs w:val="24"/>
        </w:rPr>
        <w:t xml:space="preserve"> issues</w:t>
      </w:r>
      <w:r w:rsidR="006A69EC">
        <w:rPr>
          <w:rFonts w:ascii="Georgia" w:hAnsi="Georgia"/>
          <w:sz w:val="24"/>
          <w:szCs w:val="24"/>
        </w:rPr>
        <w:t>, and NERC’s failure to do so threatens grid reliability.</w:t>
      </w:r>
    </w:p>
    <w:p w14:paraId="3B6CB955" w14:textId="77777777" w:rsidR="00887104" w:rsidRDefault="00887104" w:rsidP="00636558">
      <w:pPr>
        <w:ind w:firstLine="720"/>
        <w:rPr>
          <w:rFonts w:ascii="Georgia" w:hAnsi="Georgia"/>
          <w:sz w:val="24"/>
          <w:szCs w:val="24"/>
        </w:rPr>
      </w:pPr>
    </w:p>
    <w:p w14:paraId="30268300" w14:textId="5C22D437" w:rsidR="00887104" w:rsidRPr="0009717D" w:rsidRDefault="00887104" w:rsidP="0009717D">
      <w:pPr>
        <w:ind w:firstLine="720"/>
        <w:jc w:val="center"/>
        <w:rPr>
          <w:rFonts w:ascii="Georgia" w:hAnsi="Georgia"/>
          <w:b/>
          <w:bCs/>
          <w:sz w:val="24"/>
          <w:szCs w:val="24"/>
        </w:rPr>
      </w:pPr>
      <w:r w:rsidRPr="0009717D">
        <w:rPr>
          <w:rFonts w:ascii="Georgia" w:hAnsi="Georgia"/>
          <w:b/>
          <w:bCs/>
          <w:sz w:val="24"/>
          <w:szCs w:val="24"/>
        </w:rPr>
        <w:t>About Public Citizen</w:t>
      </w:r>
    </w:p>
    <w:p w14:paraId="377840DC" w14:textId="76BCDEA1" w:rsidR="00887104" w:rsidRDefault="00887104" w:rsidP="00887104">
      <w:pPr>
        <w:rPr>
          <w:rFonts w:ascii="Georgia" w:hAnsi="Georgia"/>
          <w:sz w:val="24"/>
          <w:szCs w:val="24"/>
        </w:rPr>
      </w:pPr>
    </w:p>
    <w:p w14:paraId="42DCD0C8" w14:textId="168AB34C" w:rsidR="00887104" w:rsidRDefault="00887104" w:rsidP="0009717D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64486D" w:rsidRPr="0064486D">
        <w:rPr>
          <w:rFonts w:ascii="Georgia" w:hAnsi="Georgia"/>
          <w:sz w:val="24"/>
          <w:szCs w:val="24"/>
        </w:rPr>
        <w:t xml:space="preserve">Established in 1971, Public Citizen is a national, not-for-profit, non-partisan, research and advocacy organization representing the interests of household consumers. Public Citizen is active before FERC promoting just and reasonable rates, and </w:t>
      </w:r>
      <w:r w:rsidR="0064486D" w:rsidRPr="0064486D">
        <w:rPr>
          <w:rFonts w:ascii="Georgia" w:hAnsi="Georgia"/>
          <w:sz w:val="24"/>
          <w:szCs w:val="24"/>
        </w:rPr>
        <w:lastRenderedPageBreak/>
        <w:t>supporting efforts for utilities to be accountable to the public interest.</w:t>
      </w:r>
      <w:r w:rsidR="00DE5D1D">
        <w:rPr>
          <w:rFonts w:ascii="Georgia" w:hAnsi="Georgia"/>
          <w:sz w:val="24"/>
          <w:szCs w:val="24"/>
        </w:rPr>
        <w:t xml:space="preserve"> Financial details about our organization are available at our website.</w:t>
      </w:r>
      <w:r w:rsidR="00305B9A">
        <w:rPr>
          <w:rStyle w:val="FootnoteReference"/>
          <w:rFonts w:ascii="Georgia" w:hAnsi="Georgia"/>
          <w:sz w:val="24"/>
          <w:szCs w:val="24"/>
        </w:rPr>
        <w:footnoteReference w:id="1"/>
      </w:r>
    </w:p>
    <w:p w14:paraId="01B76C1F" w14:textId="77777777" w:rsidR="00F94EE2" w:rsidRDefault="00F94EE2" w:rsidP="00636558">
      <w:pPr>
        <w:ind w:firstLine="720"/>
        <w:rPr>
          <w:rFonts w:ascii="Georgia" w:hAnsi="Georgia"/>
          <w:sz w:val="24"/>
          <w:szCs w:val="24"/>
        </w:rPr>
      </w:pPr>
    </w:p>
    <w:p w14:paraId="1C6BB06F" w14:textId="0D11DF7D" w:rsidR="002669B4" w:rsidRPr="0058766F" w:rsidRDefault="00D03EF4" w:rsidP="00636558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7011FD">
        <w:rPr>
          <w:rFonts w:ascii="Georgia" w:hAnsi="Georgia"/>
          <w:sz w:val="24"/>
          <w:szCs w:val="24"/>
        </w:rPr>
        <w:t xml:space="preserve"> </w:t>
      </w:r>
    </w:p>
    <w:p w14:paraId="415BECEE" w14:textId="13F06780" w:rsidR="00477988" w:rsidRPr="0065603D" w:rsidRDefault="00090F77" w:rsidP="0065603D">
      <w:pPr>
        <w:jc w:val="center"/>
        <w:rPr>
          <w:rFonts w:ascii="Georgia" w:hAnsi="Georgia"/>
          <w:b/>
          <w:bCs/>
          <w:sz w:val="24"/>
          <w:szCs w:val="24"/>
        </w:rPr>
      </w:pPr>
      <w:r w:rsidRPr="0065603D">
        <w:rPr>
          <w:rFonts w:ascii="Georgia" w:hAnsi="Georgia"/>
          <w:b/>
          <w:bCs/>
          <w:sz w:val="24"/>
          <w:szCs w:val="24"/>
        </w:rPr>
        <w:t xml:space="preserve">Failure to Independently Verify Outage Reports </w:t>
      </w:r>
      <w:r w:rsidR="009B2C70">
        <w:rPr>
          <w:rFonts w:ascii="Georgia" w:hAnsi="Georgia"/>
          <w:b/>
          <w:bCs/>
          <w:sz w:val="24"/>
          <w:szCs w:val="24"/>
        </w:rPr>
        <w:t xml:space="preserve">Could </w:t>
      </w:r>
      <w:r w:rsidRPr="0065603D">
        <w:rPr>
          <w:rFonts w:ascii="Georgia" w:hAnsi="Georgia"/>
          <w:b/>
          <w:bCs/>
          <w:sz w:val="24"/>
          <w:szCs w:val="24"/>
        </w:rPr>
        <w:t>Conceal Market Manipulation</w:t>
      </w:r>
    </w:p>
    <w:p w14:paraId="4A268F4D" w14:textId="17FE0619" w:rsidR="00090F77" w:rsidRDefault="00090F7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62228527" w14:textId="48E5F01F" w:rsidR="009E4688" w:rsidRDefault="00171FDE" w:rsidP="0009717D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Climate change is contributing to more frequent and severe extreme weather, which</w:t>
      </w:r>
      <w:r w:rsidR="004B1163">
        <w:rPr>
          <w:rFonts w:ascii="Georgia" w:hAnsi="Georgia"/>
          <w:sz w:val="24"/>
          <w:szCs w:val="24"/>
        </w:rPr>
        <w:t xml:space="preserve"> can compromise grid reliability. </w:t>
      </w:r>
      <w:r w:rsidR="009B2C70">
        <w:rPr>
          <w:rFonts w:ascii="Georgia" w:hAnsi="Georgia"/>
          <w:sz w:val="24"/>
          <w:szCs w:val="24"/>
        </w:rPr>
        <w:t>During</w:t>
      </w:r>
      <w:r w:rsidR="00CE24F3">
        <w:rPr>
          <w:rFonts w:ascii="Georgia" w:hAnsi="Georgia"/>
          <w:sz w:val="24"/>
          <w:szCs w:val="24"/>
        </w:rPr>
        <w:t xml:space="preserve"> </w:t>
      </w:r>
      <w:r w:rsidR="009B2C70">
        <w:rPr>
          <w:rFonts w:ascii="Georgia" w:hAnsi="Georgia"/>
          <w:sz w:val="24"/>
          <w:szCs w:val="24"/>
        </w:rPr>
        <w:t xml:space="preserve">extreme weather events, </w:t>
      </w:r>
      <w:r w:rsidR="00BB45CE">
        <w:rPr>
          <w:rFonts w:ascii="Georgia" w:hAnsi="Georgia"/>
          <w:sz w:val="24"/>
          <w:szCs w:val="24"/>
        </w:rPr>
        <w:t>even well-managed and well-prepared generation units can experience unplanned and forced outages.</w:t>
      </w:r>
      <w:r w:rsidR="00454FFC">
        <w:rPr>
          <w:rFonts w:ascii="Georgia" w:hAnsi="Georgia"/>
          <w:sz w:val="24"/>
          <w:szCs w:val="24"/>
        </w:rPr>
        <w:t xml:space="preserve"> </w:t>
      </w:r>
      <w:r w:rsidR="00C453C2">
        <w:rPr>
          <w:rFonts w:ascii="Georgia" w:hAnsi="Georgia"/>
          <w:sz w:val="24"/>
          <w:szCs w:val="24"/>
        </w:rPr>
        <w:t>D</w:t>
      </w:r>
      <w:r w:rsidR="00454FFC">
        <w:rPr>
          <w:rFonts w:ascii="Georgia" w:hAnsi="Georgia"/>
          <w:sz w:val="24"/>
          <w:szCs w:val="24"/>
        </w:rPr>
        <w:t xml:space="preserve">uring such </w:t>
      </w:r>
      <w:r w:rsidR="00E66A33">
        <w:rPr>
          <w:rFonts w:ascii="Georgia" w:hAnsi="Georgia"/>
          <w:sz w:val="24"/>
          <w:szCs w:val="24"/>
        </w:rPr>
        <w:t>episodes</w:t>
      </w:r>
      <w:r w:rsidR="00454FFC">
        <w:rPr>
          <w:rFonts w:ascii="Georgia" w:hAnsi="Georgia"/>
          <w:sz w:val="24"/>
          <w:szCs w:val="24"/>
        </w:rPr>
        <w:t>, an entity that owns more than one generator in a given market</w:t>
      </w:r>
      <w:r w:rsidR="00143D9F">
        <w:rPr>
          <w:rFonts w:ascii="Georgia" w:hAnsi="Georgia"/>
          <w:sz w:val="24"/>
          <w:szCs w:val="24"/>
        </w:rPr>
        <w:t xml:space="preserve"> has financial incentive to prolong a scarcity event if it results in price spikes.</w:t>
      </w:r>
      <w:r w:rsidR="00987DA6">
        <w:rPr>
          <w:rFonts w:ascii="Georgia" w:hAnsi="Georgia"/>
          <w:sz w:val="24"/>
          <w:szCs w:val="24"/>
        </w:rPr>
        <w:t xml:space="preserve"> </w:t>
      </w:r>
    </w:p>
    <w:p w14:paraId="35681A32" w14:textId="1AA6C399" w:rsidR="00DF6854" w:rsidRDefault="00987DA6" w:rsidP="009E4688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Here’s a hypothetical: a company owns </w:t>
      </w:r>
      <w:r w:rsidR="00424590">
        <w:rPr>
          <w:rFonts w:ascii="Georgia" w:hAnsi="Georgia"/>
          <w:sz w:val="24"/>
          <w:szCs w:val="24"/>
        </w:rPr>
        <w:t xml:space="preserve">five power plants within the same market, and a severe storm results in a </w:t>
      </w:r>
      <w:r w:rsidR="00646988">
        <w:rPr>
          <w:rFonts w:ascii="Georgia" w:hAnsi="Georgia"/>
          <w:sz w:val="24"/>
          <w:szCs w:val="24"/>
        </w:rPr>
        <w:t xml:space="preserve">temporary </w:t>
      </w:r>
      <w:r w:rsidR="00424590">
        <w:rPr>
          <w:rFonts w:ascii="Georgia" w:hAnsi="Georgia"/>
          <w:sz w:val="24"/>
          <w:szCs w:val="24"/>
        </w:rPr>
        <w:t xml:space="preserve">forced outage of all five units. </w:t>
      </w:r>
      <w:r w:rsidR="00711E49">
        <w:rPr>
          <w:rFonts w:ascii="Georgia" w:hAnsi="Georgia"/>
          <w:sz w:val="24"/>
          <w:szCs w:val="24"/>
        </w:rPr>
        <w:t>M</w:t>
      </w:r>
      <w:r w:rsidR="00763CDF">
        <w:rPr>
          <w:rFonts w:ascii="Georgia" w:hAnsi="Georgia"/>
          <w:sz w:val="24"/>
          <w:szCs w:val="24"/>
        </w:rPr>
        <w:t xml:space="preserve">arket </w:t>
      </w:r>
      <w:r w:rsidR="00711E49">
        <w:rPr>
          <w:rFonts w:ascii="Georgia" w:hAnsi="Georgia"/>
          <w:sz w:val="24"/>
          <w:szCs w:val="24"/>
        </w:rPr>
        <w:t xml:space="preserve">prices </w:t>
      </w:r>
      <w:r w:rsidR="00763CDF">
        <w:rPr>
          <w:rFonts w:ascii="Georgia" w:hAnsi="Georgia"/>
          <w:sz w:val="24"/>
          <w:szCs w:val="24"/>
        </w:rPr>
        <w:t xml:space="preserve">sharply spike due to the </w:t>
      </w:r>
      <w:r w:rsidR="00646988">
        <w:rPr>
          <w:rFonts w:ascii="Georgia" w:hAnsi="Georgia"/>
          <w:sz w:val="24"/>
          <w:szCs w:val="24"/>
        </w:rPr>
        <w:t xml:space="preserve">generation </w:t>
      </w:r>
      <w:r w:rsidR="00763CDF">
        <w:rPr>
          <w:rFonts w:ascii="Georgia" w:hAnsi="Georgia"/>
          <w:sz w:val="24"/>
          <w:szCs w:val="24"/>
        </w:rPr>
        <w:t xml:space="preserve">shortage. </w:t>
      </w:r>
      <w:r w:rsidR="001838B9">
        <w:rPr>
          <w:rFonts w:ascii="Georgia" w:hAnsi="Georgia"/>
          <w:sz w:val="24"/>
          <w:szCs w:val="24"/>
        </w:rPr>
        <w:t>T</w:t>
      </w:r>
      <w:r w:rsidR="00424590">
        <w:rPr>
          <w:rFonts w:ascii="Georgia" w:hAnsi="Georgia"/>
          <w:sz w:val="24"/>
          <w:szCs w:val="24"/>
        </w:rPr>
        <w:t xml:space="preserve">he company is able to restore operation to </w:t>
      </w:r>
      <w:r w:rsidR="000615D5">
        <w:rPr>
          <w:rFonts w:ascii="Georgia" w:hAnsi="Georgia"/>
          <w:sz w:val="24"/>
          <w:szCs w:val="24"/>
        </w:rPr>
        <w:t xml:space="preserve">four of </w:t>
      </w:r>
      <w:r w:rsidR="001838B9">
        <w:rPr>
          <w:rFonts w:ascii="Georgia" w:hAnsi="Georgia"/>
          <w:sz w:val="24"/>
          <w:szCs w:val="24"/>
        </w:rPr>
        <w:t>its five</w:t>
      </w:r>
      <w:r w:rsidR="000615D5">
        <w:rPr>
          <w:rFonts w:ascii="Georgia" w:hAnsi="Georgia"/>
          <w:sz w:val="24"/>
          <w:szCs w:val="24"/>
        </w:rPr>
        <w:t xml:space="preserve"> units within half an hour. However, </w:t>
      </w:r>
      <w:r w:rsidR="00D37B53">
        <w:rPr>
          <w:rFonts w:ascii="Georgia" w:hAnsi="Georgia"/>
          <w:sz w:val="24"/>
          <w:szCs w:val="24"/>
        </w:rPr>
        <w:t xml:space="preserve">the company has financial incentive not to bring </w:t>
      </w:r>
      <w:r w:rsidR="00646988">
        <w:rPr>
          <w:rFonts w:ascii="Georgia" w:hAnsi="Georgia"/>
          <w:sz w:val="24"/>
          <w:szCs w:val="24"/>
        </w:rPr>
        <w:t>all</w:t>
      </w:r>
      <w:r w:rsidR="00D37B53">
        <w:rPr>
          <w:rFonts w:ascii="Georgia" w:hAnsi="Georgia"/>
          <w:sz w:val="24"/>
          <w:szCs w:val="24"/>
        </w:rPr>
        <w:t xml:space="preserve"> four units online when they are available, because doing so would depress prices and </w:t>
      </w:r>
      <w:r w:rsidR="00E66A33">
        <w:rPr>
          <w:rFonts w:ascii="Georgia" w:hAnsi="Georgia"/>
          <w:sz w:val="24"/>
          <w:szCs w:val="24"/>
        </w:rPr>
        <w:t>negatively</w:t>
      </w:r>
      <w:r w:rsidR="00D37B53">
        <w:rPr>
          <w:rFonts w:ascii="Georgia" w:hAnsi="Georgia"/>
          <w:sz w:val="24"/>
          <w:szCs w:val="24"/>
        </w:rPr>
        <w:t xml:space="preserve"> impact potential earnings. </w:t>
      </w:r>
      <w:r w:rsidR="00AC2984">
        <w:rPr>
          <w:rFonts w:ascii="Georgia" w:hAnsi="Georgia"/>
          <w:sz w:val="24"/>
          <w:szCs w:val="24"/>
        </w:rPr>
        <w:t xml:space="preserve">So </w:t>
      </w:r>
      <w:r w:rsidR="00905647">
        <w:rPr>
          <w:rFonts w:ascii="Georgia" w:hAnsi="Georgia"/>
          <w:sz w:val="24"/>
          <w:szCs w:val="24"/>
        </w:rPr>
        <w:t>the generation owner brings only one of the four available units back into service</w:t>
      </w:r>
      <w:r w:rsidR="007D55D8">
        <w:rPr>
          <w:rFonts w:ascii="Georgia" w:hAnsi="Georgia"/>
          <w:sz w:val="24"/>
          <w:szCs w:val="24"/>
        </w:rPr>
        <w:t>, and is able to earn more from the single facility with scarcity pricing than she could operating all four</w:t>
      </w:r>
      <w:r w:rsidR="00DF6854">
        <w:rPr>
          <w:rFonts w:ascii="Georgia" w:hAnsi="Georgia"/>
          <w:sz w:val="24"/>
          <w:szCs w:val="24"/>
        </w:rPr>
        <w:t xml:space="preserve">. </w:t>
      </w:r>
    </w:p>
    <w:p w14:paraId="216091C7" w14:textId="7F8852FD" w:rsidR="00171FDE" w:rsidRDefault="00DF6854" w:rsidP="0009717D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9E4688">
        <w:rPr>
          <w:rFonts w:ascii="Georgia" w:hAnsi="Georgia"/>
          <w:sz w:val="24"/>
          <w:szCs w:val="24"/>
        </w:rPr>
        <w:t>Continuing with the hypothetical, i</w:t>
      </w:r>
      <w:r>
        <w:rPr>
          <w:rFonts w:ascii="Georgia" w:hAnsi="Georgia"/>
          <w:sz w:val="24"/>
          <w:szCs w:val="24"/>
        </w:rPr>
        <w:t xml:space="preserve">n responding to NERC’s unplanned outage </w:t>
      </w:r>
      <w:r w:rsidR="00D96806">
        <w:rPr>
          <w:rFonts w:ascii="Georgia" w:hAnsi="Georgia"/>
          <w:sz w:val="24"/>
          <w:szCs w:val="24"/>
        </w:rPr>
        <w:t xml:space="preserve">report, the generation owner </w:t>
      </w:r>
      <w:r w:rsidR="0059463C">
        <w:rPr>
          <w:rFonts w:ascii="Georgia" w:hAnsi="Georgia"/>
          <w:sz w:val="24"/>
          <w:szCs w:val="24"/>
        </w:rPr>
        <w:t xml:space="preserve">accurately </w:t>
      </w:r>
      <w:r w:rsidR="00D96806">
        <w:rPr>
          <w:rFonts w:ascii="Georgia" w:hAnsi="Georgia"/>
          <w:sz w:val="24"/>
          <w:szCs w:val="24"/>
        </w:rPr>
        <w:t>details the reasons for all five being knocked out of service</w:t>
      </w:r>
      <w:r w:rsidR="0059463C">
        <w:rPr>
          <w:rFonts w:ascii="Georgia" w:hAnsi="Georgia"/>
          <w:sz w:val="24"/>
          <w:szCs w:val="24"/>
        </w:rPr>
        <w:t xml:space="preserve">, but omits the important detail of when the disabled units were </w:t>
      </w:r>
      <w:r w:rsidR="00390139">
        <w:rPr>
          <w:rFonts w:ascii="Georgia" w:hAnsi="Georgia"/>
          <w:sz w:val="24"/>
          <w:szCs w:val="24"/>
        </w:rPr>
        <w:t>available to return. NERC misses the</w:t>
      </w:r>
      <w:r w:rsidR="006770E1">
        <w:rPr>
          <w:rFonts w:ascii="Georgia" w:hAnsi="Georgia"/>
          <w:sz w:val="24"/>
          <w:szCs w:val="24"/>
        </w:rPr>
        <w:t xml:space="preserve"> omission because NERC fails to conduct basic due diligence to </w:t>
      </w:r>
      <w:r w:rsidR="00E66A33">
        <w:rPr>
          <w:rFonts w:ascii="Georgia" w:hAnsi="Georgia"/>
          <w:sz w:val="24"/>
          <w:szCs w:val="24"/>
        </w:rPr>
        <w:t>independently</w:t>
      </w:r>
      <w:r w:rsidR="006770E1">
        <w:rPr>
          <w:rFonts w:ascii="Georgia" w:hAnsi="Georgia"/>
          <w:sz w:val="24"/>
          <w:szCs w:val="24"/>
        </w:rPr>
        <w:t xml:space="preserve"> verify the accuracy of the forced outage reports.</w:t>
      </w:r>
    </w:p>
    <w:p w14:paraId="13E878B3" w14:textId="5480E79D" w:rsidR="008D44F7" w:rsidRDefault="00090F77" w:rsidP="0009717D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During a recent presentation to PJM Inter</w:t>
      </w:r>
      <w:r w:rsidR="00E72038">
        <w:rPr>
          <w:rFonts w:ascii="Georgia" w:hAnsi="Georgia"/>
          <w:sz w:val="24"/>
          <w:szCs w:val="24"/>
        </w:rPr>
        <w:t xml:space="preserve">connection LLC, NERC officials detailed findings </w:t>
      </w:r>
      <w:r w:rsidR="00C11452">
        <w:rPr>
          <w:rFonts w:ascii="Georgia" w:hAnsi="Georgia"/>
          <w:sz w:val="24"/>
          <w:szCs w:val="24"/>
        </w:rPr>
        <w:t>of unplanned and forced outages of</w:t>
      </w:r>
      <w:r w:rsidR="00CA0597">
        <w:rPr>
          <w:rFonts w:ascii="Georgia" w:hAnsi="Georgia"/>
          <w:sz w:val="24"/>
          <w:szCs w:val="24"/>
        </w:rPr>
        <w:t xml:space="preserve"> power generation units. </w:t>
      </w:r>
      <w:r w:rsidR="00C8763D">
        <w:rPr>
          <w:rFonts w:ascii="Georgia" w:hAnsi="Georgia"/>
          <w:sz w:val="24"/>
          <w:szCs w:val="24"/>
        </w:rPr>
        <w:t xml:space="preserve">During the presentation, </w:t>
      </w:r>
      <w:r w:rsidR="00CA0597">
        <w:rPr>
          <w:rFonts w:ascii="Georgia" w:hAnsi="Georgia"/>
          <w:sz w:val="24"/>
          <w:szCs w:val="24"/>
        </w:rPr>
        <w:t xml:space="preserve">Public Citizen had the opportunity to </w:t>
      </w:r>
      <w:r w:rsidR="009C0F20">
        <w:rPr>
          <w:rFonts w:ascii="Georgia" w:hAnsi="Georgia"/>
          <w:sz w:val="24"/>
          <w:szCs w:val="24"/>
        </w:rPr>
        <w:t xml:space="preserve">question </w:t>
      </w:r>
      <w:r w:rsidR="00CA0597">
        <w:rPr>
          <w:rFonts w:ascii="Georgia" w:hAnsi="Georgia"/>
          <w:sz w:val="24"/>
          <w:szCs w:val="24"/>
        </w:rPr>
        <w:t>NERC officials about their data</w:t>
      </w:r>
      <w:r w:rsidR="00F17091">
        <w:rPr>
          <w:rFonts w:ascii="Georgia" w:hAnsi="Georgia"/>
          <w:sz w:val="24"/>
          <w:szCs w:val="24"/>
        </w:rPr>
        <w:t xml:space="preserve">, and we inquired about the verification procedures that </w:t>
      </w:r>
      <w:r w:rsidR="00250332">
        <w:rPr>
          <w:rFonts w:ascii="Georgia" w:hAnsi="Georgia"/>
          <w:sz w:val="24"/>
          <w:szCs w:val="24"/>
        </w:rPr>
        <w:t>it</w:t>
      </w:r>
      <w:r w:rsidR="00F17091">
        <w:rPr>
          <w:rFonts w:ascii="Georgia" w:hAnsi="Georgia"/>
          <w:sz w:val="24"/>
          <w:szCs w:val="24"/>
        </w:rPr>
        <w:t xml:space="preserve"> employs to ensure the submissions provided by generation owners </w:t>
      </w:r>
      <w:r w:rsidR="00B11CAD">
        <w:rPr>
          <w:rFonts w:ascii="Georgia" w:hAnsi="Georgia"/>
          <w:sz w:val="24"/>
          <w:szCs w:val="24"/>
        </w:rPr>
        <w:t>are</w:t>
      </w:r>
      <w:r w:rsidR="00F17091">
        <w:rPr>
          <w:rFonts w:ascii="Georgia" w:hAnsi="Georgia"/>
          <w:sz w:val="24"/>
          <w:szCs w:val="24"/>
        </w:rPr>
        <w:t xml:space="preserve"> accurate. NERC replied </w:t>
      </w:r>
      <w:r w:rsidR="00B11CAD">
        <w:rPr>
          <w:rFonts w:ascii="Georgia" w:hAnsi="Georgia"/>
          <w:sz w:val="24"/>
          <w:szCs w:val="24"/>
        </w:rPr>
        <w:t>that no</w:t>
      </w:r>
      <w:r w:rsidR="00F17091">
        <w:rPr>
          <w:rFonts w:ascii="Georgia" w:hAnsi="Georgia"/>
          <w:sz w:val="24"/>
          <w:szCs w:val="24"/>
        </w:rPr>
        <w:t xml:space="preserve"> </w:t>
      </w:r>
      <w:r w:rsidR="004D1829">
        <w:rPr>
          <w:rFonts w:ascii="Georgia" w:hAnsi="Georgia"/>
          <w:sz w:val="24"/>
          <w:szCs w:val="24"/>
        </w:rPr>
        <w:t>independent verif</w:t>
      </w:r>
      <w:r w:rsidR="00B11CAD">
        <w:rPr>
          <w:rFonts w:ascii="Georgia" w:hAnsi="Georgia"/>
          <w:sz w:val="24"/>
          <w:szCs w:val="24"/>
        </w:rPr>
        <w:t xml:space="preserve">ication of the </w:t>
      </w:r>
      <w:r w:rsidR="00E07752">
        <w:rPr>
          <w:rFonts w:ascii="Georgia" w:hAnsi="Georgia"/>
          <w:sz w:val="24"/>
          <w:szCs w:val="24"/>
        </w:rPr>
        <w:t xml:space="preserve">outage reports submitted by generation owners is </w:t>
      </w:r>
      <w:r w:rsidR="00E07752">
        <w:rPr>
          <w:rFonts w:ascii="Georgia" w:hAnsi="Georgia"/>
          <w:sz w:val="24"/>
          <w:szCs w:val="24"/>
        </w:rPr>
        <w:lastRenderedPageBreak/>
        <w:t>conducted</w:t>
      </w:r>
      <w:r w:rsidR="00CB3DC3">
        <w:rPr>
          <w:rFonts w:ascii="Georgia" w:hAnsi="Georgia"/>
          <w:sz w:val="24"/>
          <w:szCs w:val="24"/>
        </w:rPr>
        <w:t>, as the</w:t>
      </w:r>
      <w:r w:rsidR="00250332">
        <w:rPr>
          <w:rFonts w:ascii="Georgia" w:hAnsi="Georgia"/>
          <w:sz w:val="24"/>
          <w:szCs w:val="24"/>
        </w:rPr>
        <w:t>ir</w:t>
      </w:r>
      <w:r w:rsidR="00CB3DC3">
        <w:rPr>
          <w:rFonts w:ascii="Georgia" w:hAnsi="Georgia"/>
          <w:sz w:val="24"/>
          <w:szCs w:val="24"/>
        </w:rPr>
        <w:t xml:space="preserve"> assumption is that generator owners are submitting accurate information</w:t>
      </w:r>
      <w:r w:rsidR="00E07752">
        <w:rPr>
          <w:rFonts w:ascii="Georgia" w:hAnsi="Georgia"/>
          <w:sz w:val="24"/>
          <w:szCs w:val="24"/>
        </w:rPr>
        <w:t xml:space="preserve">. </w:t>
      </w:r>
    </w:p>
    <w:p w14:paraId="5DCF40F5" w14:textId="7D8C8C1F" w:rsidR="00E90B39" w:rsidRDefault="00E07752" w:rsidP="008D44F7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NERC did assert, however, that it correlates </w:t>
      </w:r>
      <w:r w:rsidR="002A5056">
        <w:rPr>
          <w:rFonts w:ascii="Georgia" w:hAnsi="Georgia"/>
          <w:sz w:val="24"/>
          <w:szCs w:val="24"/>
        </w:rPr>
        <w:t xml:space="preserve">the generation outage data with supplemental data sets―for example, </w:t>
      </w:r>
      <w:r w:rsidR="000B29FE">
        <w:rPr>
          <w:rFonts w:ascii="Georgia" w:hAnsi="Georgia"/>
          <w:sz w:val="24"/>
          <w:szCs w:val="24"/>
        </w:rPr>
        <w:t>data reports of frozen and shut-in natural gas distribution infrastructure that</w:t>
      </w:r>
      <w:r w:rsidR="00E90B39">
        <w:rPr>
          <w:rFonts w:ascii="Georgia" w:hAnsi="Georgia"/>
          <w:sz w:val="24"/>
          <w:szCs w:val="24"/>
        </w:rPr>
        <w:t xml:space="preserve"> aligns with the causes cited in the generator outage disclosures. </w:t>
      </w:r>
      <w:r w:rsidR="00AC4C0D">
        <w:rPr>
          <w:rFonts w:ascii="Georgia" w:hAnsi="Georgia"/>
          <w:sz w:val="24"/>
          <w:szCs w:val="24"/>
        </w:rPr>
        <w:t xml:space="preserve">But NERC conducts no follow-up </w:t>
      </w:r>
      <w:r w:rsidR="00833797">
        <w:rPr>
          <w:rFonts w:ascii="Georgia" w:hAnsi="Georgia"/>
          <w:sz w:val="24"/>
          <w:szCs w:val="24"/>
        </w:rPr>
        <w:t>verification of the information submitted by generation owners.</w:t>
      </w:r>
    </w:p>
    <w:p w14:paraId="190199BB" w14:textId="32B3CFA7" w:rsidR="006C5D2A" w:rsidRDefault="00E90B39" w:rsidP="0009717D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33797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s we pointed out to NERC at the time, </w:t>
      </w:r>
      <w:r w:rsidR="003525E7">
        <w:rPr>
          <w:rFonts w:ascii="Georgia" w:hAnsi="Georgia"/>
          <w:sz w:val="24"/>
          <w:szCs w:val="24"/>
        </w:rPr>
        <w:t xml:space="preserve">such supplemental market condition data does not result in proper certification of the generator outage reports. Let’s again take the </w:t>
      </w:r>
      <w:r w:rsidR="00E66A33">
        <w:rPr>
          <w:rFonts w:ascii="Georgia" w:hAnsi="Georgia"/>
          <w:sz w:val="24"/>
          <w:szCs w:val="24"/>
        </w:rPr>
        <w:t>hypothetical</w:t>
      </w:r>
      <w:r w:rsidR="008D44F7">
        <w:rPr>
          <w:rFonts w:ascii="Georgia" w:hAnsi="Georgia"/>
          <w:sz w:val="24"/>
          <w:szCs w:val="24"/>
        </w:rPr>
        <w:t>:</w:t>
      </w:r>
      <w:r w:rsidR="00833797">
        <w:rPr>
          <w:rFonts w:ascii="Georgia" w:hAnsi="Georgia"/>
          <w:sz w:val="24"/>
          <w:szCs w:val="24"/>
        </w:rPr>
        <w:t xml:space="preserve"> </w:t>
      </w:r>
      <w:r w:rsidR="008D44F7">
        <w:rPr>
          <w:rFonts w:ascii="Georgia" w:hAnsi="Georgia"/>
          <w:sz w:val="24"/>
          <w:szCs w:val="24"/>
        </w:rPr>
        <w:t>a</w:t>
      </w:r>
      <w:r w:rsidR="00833797">
        <w:rPr>
          <w:rFonts w:ascii="Georgia" w:hAnsi="Georgia"/>
          <w:sz w:val="24"/>
          <w:szCs w:val="24"/>
        </w:rPr>
        <w:t xml:space="preserve"> generator asserts to NERC that all five of its</w:t>
      </w:r>
      <w:r w:rsidR="002460D5">
        <w:rPr>
          <w:rFonts w:ascii="Georgia" w:hAnsi="Georgia"/>
          <w:sz w:val="24"/>
          <w:szCs w:val="24"/>
        </w:rPr>
        <w:t xml:space="preserve"> units experienced forced outages. NERC does</w:t>
      </w:r>
      <w:r w:rsidR="003875B3">
        <w:rPr>
          <w:rFonts w:ascii="Georgia" w:hAnsi="Georgia"/>
          <w:sz w:val="24"/>
          <w:szCs w:val="24"/>
        </w:rPr>
        <w:t xml:space="preserve"> not</w:t>
      </w:r>
      <w:r w:rsidR="002460D5">
        <w:rPr>
          <w:rFonts w:ascii="Georgia" w:hAnsi="Georgia"/>
          <w:sz w:val="24"/>
          <w:szCs w:val="24"/>
        </w:rPr>
        <w:t xml:space="preserve"> investigate the accuracy of the submission, but </w:t>
      </w:r>
      <w:r w:rsidR="003875B3">
        <w:rPr>
          <w:rFonts w:ascii="Georgia" w:hAnsi="Georgia"/>
          <w:sz w:val="24"/>
          <w:szCs w:val="24"/>
        </w:rPr>
        <w:t>NERC</w:t>
      </w:r>
      <w:r w:rsidR="002460D5">
        <w:rPr>
          <w:rFonts w:ascii="Georgia" w:hAnsi="Georgia"/>
          <w:sz w:val="24"/>
          <w:szCs w:val="24"/>
        </w:rPr>
        <w:t xml:space="preserve"> does correlate the </w:t>
      </w:r>
      <w:r w:rsidR="00A438EC">
        <w:rPr>
          <w:rFonts w:ascii="Georgia" w:hAnsi="Georgia"/>
          <w:sz w:val="24"/>
          <w:szCs w:val="24"/>
        </w:rPr>
        <w:t>stated reasons for the outages with natural gas infrastructure failure data, not</w:t>
      </w:r>
      <w:r w:rsidR="003875B3">
        <w:rPr>
          <w:rFonts w:ascii="Georgia" w:hAnsi="Georgia"/>
          <w:sz w:val="24"/>
          <w:szCs w:val="24"/>
        </w:rPr>
        <w:t>ing</w:t>
      </w:r>
      <w:r w:rsidR="00A438EC">
        <w:rPr>
          <w:rFonts w:ascii="Georgia" w:hAnsi="Georgia"/>
          <w:sz w:val="24"/>
          <w:szCs w:val="24"/>
        </w:rPr>
        <w:t xml:space="preserve"> that the</w:t>
      </w:r>
      <w:r w:rsidR="005748E0">
        <w:rPr>
          <w:rFonts w:ascii="Georgia" w:hAnsi="Georgia"/>
          <w:sz w:val="24"/>
          <w:szCs w:val="24"/>
        </w:rPr>
        <w:t xml:space="preserve"> generator’s cited cause of the forced outage is consistent with the correlated gas </w:t>
      </w:r>
      <w:r w:rsidR="00E66A33">
        <w:rPr>
          <w:rFonts w:ascii="Georgia" w:hAnsi="Georgia"/>
          <w:sz w:val="24"/>
          <w:szCs w:val="24"/>
        </w:rPr>
        <w:t>infrastructure</w:t>
      </w:r>
      <w:r w:rsidR="005748E0">
        <w:rPr>
          <w:rFonts w:ascii="Georgia" w:hAnsi="Georgia"/>
          <w:sz w:val="24"/>
          <w:szCs w:val="24"/>
        </w:rPr>
        <w:t xml:space="preserve"> reports. </w:t>
      </w:r>
      <w:r w:rsidR="000A157A">
        <w:rPr>
          <w:rFonts w:ascii="Georgia" w:hAnsi="Georgia"/>
          <w:sz w:val="24"/>
          <w:szCs w:val="24"/>
        </w:rPr>
        <w:t>But the generation owner</w:t>
      </w:r>
      <w:r w:rsidR="00BF1501">
        <w:rPr>
          <w:rFonts w:ascii="Georgia" w:hAnsi="Georgia"/>
          <w:sz w:val="24"/>
          <w:szCs w:val="24"/>
        </w:rPr>
        <w:t xml:space="preserve"> delays bringing operational units back online in order to exploit</w:t>
      </w:r>
      <w:r w:rsidR="000E7A72">
        <w:rPr>
          <w:rFonts w:ascii="Georgia" w:hAnsi="Georgia"/>
          <w:sz w:val="24"/>
          <w:szCs w:val="24"/>
        </w:rPr>
        <w:t xml:space="preserve"> lucrative scarcity pricing―a strategy that NERC’s </w:t>
      </w:r>
      <w:r w:rsidR="00BC6880">
        <w:rPr>
          <w:rFonts w:ascii="Georgia" w:hAnsi="Georgia"/>
          <w:sz w:val="24"/>
          <w:szCs w:val="24"/>
        </w:rPr>
        <w:t xml:space="preserve">correlated </w:t>
      </w:r>
      <w:r w:rsidR="000E7A72">
        <w:rPr>
          <w:rFonts w:ascii="Georgia" w:hAnsi="Georgia"/>
          <w:sz w:val="24"/>
          <w:szCs w:val="24"/>
        </w:rPr>
        <w:t xml:space="preserve">data </w:t>
      </w:r>
      <w:r w:rsidR="00023169">
        <w:rPr>
          <w:rFonts w:ascii="Georgia" w:hAnsi="Georgia"/>
          <w:sz w:val="24"/>
          <w:szCs w:val="24"/>
        </w:rPr>
        <w:t>fails to</w:t>
      </w:r>
      <w:r w:rsidR="000E7A72">
        <w:rPr>
          <w:rFonts w:ascii="Georgia" w:hAnsi="Georgia"/>
          <w:sz w:val="24"/>
          <w:szCs w:val="24"/>
        </w:rPr>
        <w:t xml:space="preserve"> </w:t>
      </w:r>
      <w:r w:rsidR="00E66A33">
        <w:rPr>
          <w:rFonts w:ascii="Georgia" w:hAnsi="Georgia"/>
          <w:sz w:val="24"/>
          <w:szCs w:val="24"/>
        </w:rPr>
        <w:t>capture</w:t>
      </w:r>
      <w:r w:rsidR="000E7A72">
        <w:rPr>
          <w:rFonts w:ascii="Georgia" w:hAnsi="Georgia"/>
          <w:sz w:val="24"/>
          <w:szCs w:val="24"/>
        </w:rPr>
        <w:t>.</w:t>
      </w:r>
      <w:r w:rsidR="00AC38DD">
        <w:rPr>
          <w:rFonts w:ascii="Georgia" w:hAnsi="Georgia"/>
          <w:sz w:val="24"/>
          <w:szCs w:val="24"/>
        </w:rPr>
        <w:t xml:space="preserve"> So the official NERC record shows that the generation units </w:t>
      </w:r>
      <w:r w:rsidR="005B5518">
        <w:rPr>
          <w:rFonts w:ascii="Georgia" w:hAnsi="Georgia"/>
          <w:sz w:val="24"/>
          <w:szCs w:val="24"/>
        </w:rPr>
        <w:t>experienced a prolonged forced outage, when in reality the duration of the unplanned outage was far shorter.</w:t>
      </w:r>
    </w:p>
    <w:p w14:paraId="76CE6562" w14:textId="33A168F4" w:rsidR="00A41C37" w:rsidRDefault="006C5D2A" w:rsidP="005C1837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626854">
        <w:rPr>
          <w:rFonts w:ascii="Georgia" w:hAnsi="Georgia"/>
          <w:sz w:val="24"/>
          <w:szCs w:val="24"/>
        </w:rPr>
        <w:t xml:space="preserve">A NERC official recently noted that the reliability corporation had </w:t>
      </w:r>
      <w:r w:rsidR="00626854" w:rsidRPr="00107D48">
        <w:rPr>
          <w:rFonts w:ascii="Georgia" w:hAnsi="Georgia"/>
          <w:sz w:val="24"/>
          <w:szCs w:val="24"/>
        </w:rPr>
        <w:t>“anecdotal evidence” of price gouging during winter storm Uri</w:t>
      </w:r>
      <w:r w:rsidR="00626854">
        <w:rPr>
          <w:rFonts w:ascii="Georgia" w:hAnsi="Georgia"/>
          <w:sz w:val="24"/>
          <w:szCs w:val="24"/>
        </w:rPr>
        <w:t>.</w:t>
      </w:r>
      <w:r w:rsidR="00626854">
        <w:rPr>
          <w:rStyle w:val="FootnoteReference"/>
          <w:rFonts w:ascii="Georgia" w:hAnsi="Georgia"/>
          <w:sz w:val="24"/>
          <w:szCs w:val="24"/>
        </w:rPr>
        <w:footnoteReference w:id="2"/>
      </w:r>
      <w:r w:rsidR="008D78F0">
        <w:rPr>
          <w:rFonts w:ascii="Georgia" w:hAnsi="Georgia"/>
          <w:sz w:val="24"/>
          <w:szCs w:val="24"/>
        </w:rPr>
        <w:t xml:space="preserve"> </w:t>
      </w:r>
      <w:r w:rsidR="00E838EB">
        <w:rPr>
          <w:rFonts w:ascii="Georgia" w:hAnsi="Georgia"/>
          <w:sz w:val="24"/>
          <w:szCs w:val="24"/>
        </w:rPr>
        <w:t xml:space="preserve">Quality data can transform anecdotes into </w:t>
      </w:r>
      <w:r w:rsidR="00101192">
        <w:rPr>
          <w:rFonts w:ascii="Georgia" w:hAnsi="Georgia"/>
          <w:sz w:val="24"/>
          <w:szCs w:val="24"/>
        </w:rPr>
        <w:t xml:space="preserve">substantiated facts. </w:t>
      </w:r>
      <w:r w:rsidR="001E6621">
        <w:rPr>
          <w:rFonts w:ascii="Georgia" w:hAnsi="Georgia"/>
          <w:sz w:val="24"/>
          <w:szCs w:val="24"/>
        </w:rPr>
        <w:t xml:space="preserve">FERC cannot ensure system reliability </w:t>
      </w:r>
      <w:r w:rsidR="00414D19">
        <w:rPr>
          <w:rFonts w:ascii="Georgia" w:hAnsi="Georgia"/>
          <w:sz w:val="24"/>
          <w:szCs w:val="24"/>
        </w:rPr>
        <w:t>when</w:t>
      </w:r>
      <w:r w:rsidR="00B05640">
        <w:rPr>
          <w:rFonts w:ascii="Georgia" w:hAnsi="Georgia"/>
          <w:sz w:val="24"/>
          <w:szCs w:val="24"/>
        </w:rPr>
        <w:t xml:space="preserve"> the underlying </w:t>
      </w:r>
      <w:r w:rsidR="003876B2">
        <w:rPr>
          <w:rFonts w:ascii="Georgia" w:hAnsi="Georgia"/>
          <w:sz w:val="24"/>
          <w:szCs w:val="24"/>
        </w:rPr>
        <w:t>information</w:t>
      </w:r>
      <w:r w:rsidR="006D78A6">
        <w:rPr>
          <w:rFonts w:ascii="Georgia" w:hAnsi="Georgia"/>
          <w:sz w:val="24"/>
          <w:szCs w:val="24"/>
        </w:rPr>
        <w:t xml:space="preserve"> to assess</w:t>
      </w:r>
      <w:r w:rsidR="00825E76">
        <w:rPr>
          <w:rFonts w:ascii="Georgia" w:hAnsi="Georgia"/>
          <w:sz w:val="24"/>
          <w:szCs w:val="24"/>
        </w:rPr>
        <w:t xml:space="preserve"> performance</w:t>
      </w:r>
      <w:r w:rsidR="00F15791">
        <w:rPr>
          <w:rFonts w:ascii="Georgia" w:hAnsi="Georgia"/>
          <w:sz w:val="24"/>
          <w:szCs w:val="24"/>
        </w:rPr>
        <w:t xml:space="preserve"> is compromised by </w:t>
      </w:r>
      <w:r w:rsidR="00825E76">
        <w:rPr>
          <w:rFonts w:ascii="Georgia" w:hAnsi="Georgia"/>
          <w:sz w:val="24"/>
          <w:szCs w:val="24"/>
        </w:rPr>
        <w:t xml:space="preserve">NERC’s failure to </w:t>
      </w:r>
      <w:r w:rsidR="005C1837">
        <w:rPr>
          <w:rFonts w:ascii="Georgia" w:hAnsi="Georgia"/>
          <w:sz w:val="24"/>
          <w:szCs w:val="24"/>
        </w:rPr>
        <w:t>independently</w:t>
      </w:r>
      <w:r w:rsidR="007673F5">
        <w:rPr>
          <w:rFonts w:ascii="Georgia" w:hAnsi="Georgia"/>
          <w:sz w:val="24"/>
          <w:szCs w:val="24"/>
        </w:rPr>
        <w:t xml:space="preserve"> verify</w:t>
      </w:r>
      <w:r w:rsidR="003B4A80">
        <w:rPr>
          <w:rFonts w:ascii="Georgia" w:hAnsi="Georgia"/>
          <w:sz w:val="24"/>
          <w:szCs w:val="24"/>
        </w:rPr>
        <w:t xml:space="preserve"> accuracy of industry-reported data.</w:t>
      </w:r>
      <w:r w:rsidR="00AF21C8">
        <w:rPr>
          <w:rFonts w:ascii="Georgia" w:hAnsi="Georgia"/>
          <w:sz w:val="24"/>
          <w:szCs w:val="24"/>
        </w:rPr>
        <w:t xml:space="preserve"> </w:t>
      </w:r>
      <w:r w:rsidR="009710A9">
        <w:rPr>
          <w:rFonts w:ascii="Georgia" w:hAnsi="Georgia"/>
          <w:sz w:val="24"/>
          <w:szCs w:val="24"/>
        </w:rPr>
        <w:t>Assuming that</w:t>
      </w:r>
      <w:r w:rsidR="00764D60">
        <w:rPr>
          <w:rFonts w:ascii="Georgia" w:hAnsi="Georgia"/>
          <w:sz w:val="24"/>
          <w:szCs w:val="24"/>
        </w:rPr>
        <w:t xml:space="preserve"> </w:t>
      </w:r>
      <w:r w:rsidR="00F42333">
        <w:rPr>
          <w:rFonts w:ascii="Georgia" w:hAnsi="Georgia"/>
          <w:sz w:val="24"/>
          <w:szCs w:val="24"/>
        </w:rPr>
        <w:t xml:space="preserve">financially-conflicted power plant owners </w:t>
      </w:r>
      <w:r w:rsidR="009710A9">
        <w:rPr>
          <w:rFonts w:ascii="Georgia" w:hAnsi="Georgia"/>
          <w:sz w:val="24"/>
          <w:szCs w:val="24"/>
        </w:rPr>
        <w:t>will</w:t>
      </w:r>
      <w:r w:rsidR="00F42333">
        <w:rPr>
          <w:rFonts w:ascii="Georgia" w:hAnsi="Georgia"/>
          <w:sz w:val="24"/>
          <w:szCs w:val="24"/>
        </w:rPr>
        <w:t xml:space="preserve"> submit </w:t>
      </w:r>
      <w:r w:rsidR="00674B92">
        <w:rPr>
          <w:rFonts w:ascii="Georgia" w:hAnsi="Georgia"/>
          <w:sz w:val="24"/>
          <w:szCs w:val="24"/>
        </w:rPr>
        <w:t xml:space="preserve">accurate information </w:t>
      </w:r>
      <w:r w:rsidR="00A414A8">
        <w:rPr>
          <w:rFonts w:ascii="Georgia" w:hAnsi="Georgia"/>
          <w:sz w:val="24"/>
          <w:szCs w:val="24"/>
        </w:rPr>
        <w:t>imperils</w:t>
      </w:r>
      <w:r w:rsidR="00674B92">
        <w:rPr>
          <w:rFonts w:ascii="Georgia" w:hAnsi="Georgia"/>
          <w:sz w:val="24"/>
          <w:szCs w:val="24"/>
        </w:rPr>
        <w:t xml:space="preserve"> </w:t>
      </w:r>
      <w:r w:rsidR="00A414A8">
        <w:rPr>
          <w:rFonts w:ascii="Georgia" w:hAnsi="Georgia"/>
          <w:sz w:val="24"/>
          <w:szCs w:val="24"/>
        </w:rPr>
        <w:t>data</w:t>
      </w:r>
      <w:r w:rsidR="00A73F7F">
        <w:rPr>
          <w:rFonts w:ascii="Georgia" w:hAnsi="Georgia"/>
          <w:sz w:val="24"/>
          <w:szCs w:val="24"/>
        </w:rPr>
        <w:t xml:space="preserve"> veracity</w:t>
      </w:r>
      <w:r w:rsidR="009710A9">
        <w:rPr>
          <w:rFonts w:ascii="Georgia" w:hAnsi="Georgia"/>
          <w:sz w:val="24"/>
          <w:szCs w:val="24"/>
        </w:rPr>
        <w:t>. T</w:t>
      </w:r>
      <w:r w:rsidR="00F15791">
        <w:rPr>
          <w:rFonts w:ascii="Georgia" w:hAnsi="Georgia"/>
          <w:sz w:val="24"/>
          <w:szCs w:val="24"/>
        </w:rPr>
        <w:t>he Commis</w:t>
      </w:r>
      <w:r w:rsidR="00A665AC">
        <w:rPr>
          <w:rFonts w:ascii="Georgia" w:hAnsi="Georgia"/>
          <w:sz w:val="24"/>
          <w:szCs w:val="24"/>
        </w:rPr>
        <w:t xml:space="preserve">sion </w:t>
      </w:r>
      <w:r w:rsidR="00A414A8">
        <w:rPr>
          <w:rFonts w:ascii="Georgia" w:hAnsi="Georgia"/>
          <w:sz w:val="24"/>
          <w:szCs w:val="24"/>
        </w:rPr>
        <w:t>must</w:t>
      </w:r>
      <w:r w:rsidR="00A665AC">
        <w:rPr>
          <w:rFonts w:ascii="Georgia" w:hAnsi="Georgia"/>
          <w:sz w:val="24"/>
          <w:szCs w:val="24"/>
        </w:rPr>
        <w:t xml:space="preserve"> require NERC to </w:t>
      </w:r>
      <w:r w:rsidR="00E66A33">
        <w:rPr>
          <w:rFonts w:ascii="Georgia" w:hAnsi="Georgia"/>
          <w:sz w:val="24"/>
          <w:szCs w:val="24"/>
        </w:rPr>
        <w:t>independently</w:t>
      </w:r>
      <w:r w:rsidR="00A665AC">
        <w:rPr>
          <w:rFonts w:ascii="Georgia" w:hAnsi="Georgia"/>
          <w:sz w:val="24"/>
          <w:szCs w:val="24"/>
        </w:rPr>
        <w:t xml:space="preserve"> verify the accuracy of generation outage data</w:t>
      </w:r>
      <w:r w:rsidR="008A7B35">
        <w:rPr>
          <w:rFonts w:ascii="Georgia" w:hAnsi="Georgia"/>
          <w:sz w:val="24"/>
          <w:szCs w:val="24"/>
        </w:rPr>
        <w:t xml:space="preserve"> submitted by entities that own more than one power plant in a given market.</w:t>
      </w:r>
      <w:r w:rsidR="00A73F7F">
        <w:rPr>
          <w:rFonts w:ascii="Georgia" w:hAnsi="Georgia"/>
          <w:sz w:val="24"/>
          <w:szCs w:val="24"/>
        </w:rPr>
        <w:t xml:space="preserve"> </w:t>
      </w:r>
      <w:r w:rsidR="003525E7">
        <w:rPr>
          <w:rFonts w:ascii="Georgia" w:hAnsi="Georgia"/>
          <w:sz w:val="24"/>
          <w:szCs w:val="24"/>
        </w:rPr>
        <w:t xml:space="preserve"> </w:t>
      </w:r>
    </w:p>
    <w:p w14:paraId="103D99C4" w14:textId="77777777" w:rsidR="00A41C37" w:rsidRDefault="00A41C37">
      <w:pPr>
        <w:rPr>
          <w:rFonts w:ascii="Georgia" w:hAnsi="Georgia"/>
          <w:sz w:val="24"/>
          <w:szCs w:val="24"/>
        </w:rPr>
      </w:pPr>
    </w:p>
    <w:p w14:paraId="13D1AF5D" w14:textId="77777777" w:rsidR="00003FA2" w:rsidRDefault="00A41C3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14:paraId="21665E6B" w14:textId="793C27D9" w:rsidR="00A41C37" w:rsidRDefault="00A41C37" w:rsidP="00003FA2">
      <w:pPr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Respectfully submitted,</w:t>
      </w:r>
    </w:p>
    <w:p w14:paraId="2909ED0E" w14:textId="77777777" w:rsidR="00A41C37" w:rsidRDefault="00A41C37">
      <w:pPr>
        <w:rPr>
          <w:rFonts w:ascii="Georgia" w:hAnsi="Georgia"/>
          <w:sz w:val="24"/>
          <w:szCs w:val="24"/>
        </w:rPr>
      </w:pPr>
    </w:p>
    <w:p w14:paraId="260C68B4" w14:textId="77777777" w:rsidR="00A41C37" w:rsidRDefault="00A41C3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Tyson Slocum, Energy Program Director</w:t>
      </w:r>
    </w:p>
    <w:p w14:paraId="2471848C" w14:textId="77777777" w:rsidR="00A41C37" w:rsidRDefault="00A41C3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ab/>
      </w:r>
      <w:r>
        <w:rPr>
          <w:rFonts w:ascii="Georgia" w:hAnsi="Georgia"/>
          <w:sz w:val="24"/>
          <w:szCs w:val="24"/>
        </w:rPr>
        <w:tab/>
        <w:t>Public Citizen, Inc.</w:t>
      </w:r>
    </w:p>
    <w:p w14:paraId="2E415CEE" w14:textId="77777777" w:rsidR="00A41C37" w:rsidRDefault="00A41C3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215 Pennsylvania Ave SE</w:t>
      </w:r>
    </w:p>
    <w:p w14:paraId="05E13E2F" w14:textId="77777777" w:rsidR="00A41C37" w:rsidRDefault="00A41C3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Washington, DC  20003</w:t>
      </w:r>
    </w:p>
    <w:p w14:paraId="679377FE" w14:textId="77777777" w:rsidR="00A41C37" w:rsidRDefault="00A41C3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(202) 454-5191</w:t>
      </w:r>
    </w:p>
    <w:p w14:paraId="3E07A72E" w14:textId="6A3BA37B" w:rsidR="00090F77" w:rsidRPr="0058766F" w:rsidRDefault="00A41C3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tslocum@citizen.org</w:t>
      </w:r>
      <w:r w:rsidR="00CA0597">
        <w:rPr>
          <w:rFonts w:ascii="Georgia" w:hAnsi="Georgia"/>
          <w:sz w:val="24"/>
          <w:szCs w:val="24"/>
        </w:rPr>
        <w:t xml:space="preserve"> </w:t>
      </w:r>
    </w:p>
    <w:p w14:paraId="6F03DACF" w14:textId="77777777" w:rsidR="00477988" w:rsidRPr="0058766F" w:rsidRDefault="00477988">
      <w:pPr>
        <w:rPr>
          <w:rFonts w:ascii="Georgia" w:hAnsi="Georgia"/>
          <w:sz w:val="24"/>
          <w:szCs w:val="24"/>
        </w:rPr>
      </w:pPr>
    </w:p>
    <w:sectPr w:rsidR="00477988" w:rsidRPr="0058766F" w:rsidSect="00E306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8682" w14:textId="77777777" w:rsidR="006D43F6" w:rsidRDefault="006D43F6" w:rsidP="00305B9A">
      <w:r>
        <w:separator/>
      </w:r>
    </w:p>
  </w:endnote>
  <w:endnote w:type="continuationSeparator" w:id="0">
    <w:p w14:paraId="42FBD15C" w14:textId="77777777" w:rsidR="006D43F6" w:rsidRDefault="006D43F6" w:rsidP="0030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9011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08002B" w14:textId="1DA984A5" w:rsidR="00E30611" w:rsidRDefault="00E3061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D0E2544" w14:textId="77777777" w:rsidR="00E30611" w:rsidRDefault="00E30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249C" w14:textId="77777777" w:rsidR="006D43F6" w:rsidRDefault="006D43F6" w:rsidP="00305B9A">
      <w:r>
        <w:separator/>
      </w:r>
    </w:p>
  </w:footnote>
  <w:footnote w:type="continuationSeparator" w:id="0">
    <w:p w14:paraId="7CE60BC6" w14:textId="77777777" w:rsidR="006D43F6" w:rsidRDefault="006D43F6" w:rsidP="00305B9A">
      <w:r>
        <w:continuationSeparator/>
      </w:r>
    </w:p>
  </w:footnote>
  <w:footnote w:id="1">
    <w:p w14:paraId="620D3802" w14:textId="099D5F4A" w:rsidR="00305B9A" w:rsidRDefault="00305B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05B9A">
        <w:rPr>
          <w:rFonts w:ascii="Georgia" w:hAnsi="Georgia"/>
        </w:rPr>
        <w:t>www.citizen.org/about/annual-report/</w:t>
      </w:r>
    </w:p>
  </w:footnote>
  <w:footnote w:id="2">
    <w:p w14:paraId="6C17D059" w14:textId="77777777" w:rsidR="00626854" w:rsidRDefault="00626854" w:rsidP="006268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22D5">
        <w:rPr>
          <w:rFonts w:ascii="Georgia" w:hAnsi="Georgia"/>
        </w:rPr>
        <w:t>https://twitter.com/TysonSlocum/status/1473770400458891269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D0D6" w14:textId="7AA4D858" w:rsidR="00BA0D72" w:rsidRPr="00BA0D72" w:rsidRDefault="00BA0D72" w:rsidP="00BA0D72">
    <w:pPr>
      <w:pStyle w:val="Header"/>
      <w:jc w:val="center"/>
      <w:rPr>
        <w:rFonts w:ascii="Georgia" w:hAnsi="Georgia"/>
        <w:i/>
        <w:iCs/>
      </w:rPr>
    </w:pPr>
    <w:r w:rsidRPr="00BA0D72">
      <w:rPr>
        <w:rFonts w:ascii="Georgia" w:hAnsi="Georgia"/>
        <w:i/>
        <w:iCs/>
      </w:rPr>
      <w:t>Public Citizen Comment • Docket No. AD22-4 • April 26, 2022</w:t>
    </w:r>
  </w:p>
  <w:p w14:paraId="785B371B" w14:textId="77777777" w:rsidR="00BA0D72" w:rsidRDefault="00BA0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88"/>
    <w:rsid w:val="00003FA2"/>
    <w:rsid w:val="00023169"/>
    <w:rsid w:val="00037A18"/>
    <w:rsid w:val="000615D5"/>
    <w:rsid w:val="00090F77"/>
    <w:rsid w:val="0009717D"/>
    <w:rsid w:val="000A157A"/>
    <w:rsid w:val="000B29FE"/>
    <w:rsid w:val="000E7A72"/>
    <w:rsid w:val="000F4965"/>
    <w:rsid w:val="00101192"/>
    <w:rsid w:val="00105F78"/>
    <w:rsid w:val="00107D48"/>
    <w:rsid w:val="00111947"/>
    <w:rsid w:val="00120FB0"/>
    <w:rsid w:val="00143D9F"/>
    <w:rsid w:val="00165EAB"/>
    <w:rsid w:val="00171FDE"/>
    <w:rsid w:val="0018326A"/>
    <w:rsid w:val="001838B9"/>
    <w:rsid w:val="001D3AD1"/>
    <w:rsid w:val="001E6621"/>
    <w:rsid w:val="001F2629"/>
    <w:rsid w:val="0021685B"/>
    <w:rsid w:val="002460D5"/>
    <w:rsid w:val="00250332"/>
    <w:rsid w:val="00250DEA"/>
    <w:rsid w:val="002669B4"/>
    <w:rsid w:val="002A5056"/>
    <w:rsid w:val="00305B9A"/>
    <w:rsid w:val="00327CF1"/>
    <w:rsid w:val="00333E59"/>
    <w:rsid w:val="003525E7"/>
    <w:rsid w:val="003875B3"/>
    <w:rsid w:val="003876B2"/>
    <w:rsid w:val="00390139"/>
    <w:rsid w:val="003B4A80"/>
    <w:rsid w:val="00414D19"/>
    <w:rsid w:val="00420E0A"/>
    <w:rsid w:val="00424590"/>
    <w:rsid w:val="0042508F"/>
    <w:rsid w:val="00454FFC"/>
    <w:rsid w:val="00477988"/>
    <w:rsid w:val="004B1163"/>
    <w:rsid w:val="004D1829"/>
    <w:rsid w:val="005722D5"/>
    <w:rsid w:val="005748E0"/>
    <w:rsid w:val="00583622"/>
    <w:rsid w:val="0058766F"/>
    <w:rsid w:val="0059463C"/>
    <w:rsid w:val="005B5518"/>
    <w:rsid w:val="005C092D"/>
    <w:rsid w:val="005C1837"/>
    <w:rsid w:val="005C47E5"/>
    <w:rsid w:val="00626854"/>
    <w:rsid w:val="00636558"/>
    <w:rsid w:val="006443BB"/>
    <w:rsid w:val="0064486D"/>
    <w:rsid w:val="00646988"/>
    <w:rsid w:val="0065603D"/>
    <w:rsid w:val="006607CD"/>
    <w:rsid w:val="00674B92"/>
    <w:rsid w:val="006770E1"/>
    <w:rsid w:val="0069683A"/>
    <w:rsid w:val="006A69EC"/>
    <w:rsid w:val="006B67FE"/>
    <w:rsid w:val="006C5B42"/>
    <w:rsid w:val="006C5D2A"/>
    <w:rsid w:val="006D43F6"/>
    <w:rsid w:val="006D78A6"/>
    <w:rsid w:val="007011FD"/>
    <w:rsid w:val="00711E49"/>
    <w:rsid w:val="00763CDF"/>
    <w:rsid w:val="00764D60"/>
    <w:rsid w:val="007673F5"/>
    <w:rsid w:val="00773D77"/>
    <w:rsid w:val="00773E22"/>
    <w:rsid w:val="007773B9"/>
    <w:rsid w:val="007773CC"/>
    <w:rsid w:val="0079192B"/>
    <w:rsid w:val="007B18A6"/>
    <w:rsid w:val="007D55D8"/>
    <w:rsid w:val="00802113"/>
    <w:rsid w:val="00825E76"/>
    <w:rsid w:val="00833797"/>
    <w:rsid w:val="00887104"/>
    <w:rsid w:val="00890784"/>
    <w:rsid w:val="008A7B35"/>
    <w:rsid w:val="008B01AA"/>
    <w:rsid w:val="008D44F7"/>
    <w:rsid w:val="008D78F0"/>
    <w:rsid w:val="008F458C"/>
    <w:rsid w:val="00905647"/>
    <w:rsid w:val="009710A9"/>
    <w:rsid w:val="00987DA6"/>
    <w:rsid w:val="00993085"/>
    <w:rsid w:val="009B2C70"/>
    <w:rsid w:val="009C0F20"/>
    <w:rsid w:val="009C41EF"/>
    <w:rsid w:val="009D676E"/>
    <w:rsid w:val="009E4688"/>
    <w:rsid w:val="009F6C03"/>
    <w:rsid w:val="00A414A8"/>
    <w:rsid w:val="00A41C37"/>
    <w:rsid w:val="00A438EC"/>
    <w:rsid w:val="00A46F8D"/>
    <w:rsid w:val="00A665AC"/>
    <w:rsid w:val="00A73F7F"/>
    <w:rsid w:val="00AC2984"/>
    <w:rsid w:val="00AC38DD"/>
    <w:rsid w:val="00AC4C0D"/>
    <w:rsid w:val="00AE11B8"/>
    <w:rsid w:val="00AF21C8"/>
    <w:rsid w:val="00B05640"/>
    <w:rsid w:val="00B11CAD"/>
    <w:rsid w:val="00B17FF6"/>
    <w:rsid w:val="00B52DF6"/>
    <w:rsid w:val="00B96D4F"/>
    <w:rsid w:val="00BA0D72"/>
    <w:rsid w:val="00BB45CE"/>
    <w:rsid w:val="00BC6880"/>
    <w:rsid w:val="00BE3E73"/>
    <w:rsid w:val="00BE7D76"/>
    <w:rsid w:val="00BF1501"/>
    <w:rsid w:val="00C11452"/>
    <w:rsid w:val="00C453C2"/>
    <w:rsid w:val="00C8763D"/>
    <w:rsid w:val="00C911B8"/>
    <w:rsid w:val="00CA0597"/>
    <w:rsid w:val="00CA31EF"/>
    <w:rsid w:val="00CB3DC3"/>
    <w:rsid w:val="00CE24F3"/>
    <w:rsid w:val="00D03EF4"/>
    <w:rsid w:val="00D37B53"/>
    <w:rsid w:val="00D56656"/>
    <w:rsid w:val="00D675C8"/>
    <w:rsid w:val="00D93EC4"/>
    <w:rsid w:val="00D96806"/>
    <w:rsid w:val="00DB28E5"/>
    <w:rsid w:val="00DC1DA9"/>
    <w:rsid w:val="00DE5D1D"/>
    <w:rsid w:val="00DF6854"/>
    <w:rsid w:val="00E07752"/>
    <w:rsid w:val="00E30611"/>
    <w:rsid w:val="00E66A33"/>
    <w:rsid w:val="00E72038"/>
    <w:rsid w:val="00E838EB"/>
    <w:rsid w:val="00E90B39"/>
    <w:rsid w:val="00EA4C96"/>
    <w:rsid w:val="00F070F4"/>
    <w:rsid w:val="00F15791"/>
    <w:rsid w:val="00F17091"/>
    <w:rsid w:val="00F2015E"/>
    <w:rsid w:val="00F42333"/>
    <w:rsid w:val="00F94EE2"/>
    <w:rsid w:val="00FC0FD1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DE4F"/>
  <w15:chartTrackingRefBased/>
  <w15:docId w15:val="{ED7DC2BD-768B-41F2-9DAD-A68C48C7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5B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B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B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30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611"/>
  </w:style>
  <w:style w:type="paragraph" w:styleId="Footer">
    <w:name w:val="footer"/>
    <w:basedOn w:val="Normal"/>
    <w:link w:val="FooterChar"/>
    <w:uiPriority w:val="99"/>
    <w:unhideWhenUsed/>
    <w:rsid w:val="00E30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28F8-F6AB-4EEF-BC50-A149F8F1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T. Slocum</dc:creator>
  <cp:keywords/>
  <dc:description/>
  <cp:lastModifiedBy>Tyson T. Slocum</cp:lastModifiedBy>
  <cp:revision>148</cp:revision>
  <dcterms:created xsi:type="dcterms:W3CDTF">2022-04-25T13:16:00Z</dcterms:created>
  <dcterms:modified xsi:type="dcterms:W3CDTF">2022-04-26T18:53:00Z</dcterms:modified>
</cp:coreProperties>
</file>