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854F" w14:textId="5713B244" w:rsidR="002D70E7" w:rsidRPr="002D70E7" w:rsidRDefault="002D70E7" w:rsidP="00565A9D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2D70E7">
        <w:rPr>
          <w:rFonts w:ascii="Georgia" w:hAnsi="Georgia"/>
          <w:sz w:val="24"/>
          <w:szCs w:val="24"/>
        </w:rPr>
        <w:t>UNITED STATES OF AMERICA</w:t>
      </w:r>
    </w:p>
    <w:p w14:paraId="1663F895" w14:textId="459FBF97" w:rsidR="002D70E7" w:rsidRPr="002D70E7" w:rsidRDefault="002D70E7" w:rsidP="00565A9D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2D70E7">
        <w:rPr>
          <w:rFonts w:ascii="Georgia" w:hAnsi="Georgia"/>
          <w:sz w:val="24"/>
          <w:szCs w:val="24"/>
        </w:rPr>
        <w:t>BEFORE THE</w:t>
      </w:r>
    </w:p>
    <w:p w14:paraId="5560554D" w14:textId="4EBF0749" w:rsidR="002D70E7" w:rsidRPr="002D70E7" w:rsidRDefault="002D70E7" w:rsidP="00565A9D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2D70E7">
        <w:rPr>
          <w:rFonts w:ascii="Georgia" w:hAnsi="Georgia"/>
          <w:sz w:val="24"/>
          <w:szCs w:val="24"/>
        </w:rPr>
        <w:t>FEDERAL ENERGY REGULATORY COMMISSION</w:t>
      </w:r>
    </w:p>
    <w:p w14:paraId="134F34A7" w14:textId="77777777" w:rsidR="002D70E7" w:rsidRPr="002D70E7" w:rsidRDefault="002D70E7" w:rsidP="00B371A2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141543F" w14:textId="7660119F" w:rsidR="002D70E7" w:rsidRDefault="008807FA" w:rsidP="00B371A2">
      <w:pPr>
        <w:spacing w:after="0" w:line="240" w:lineRule="auto"/>
        <w:rPr>
          <w:rFonts w:ascii="Georgia" w:hAnsi="Georgia"/>
          <w:sz w:val="24"/>
          <w:szCs w:val="24"/>
        </w:rPr>
      </w:pPr>
      <w:r w:rsidRPr="008807FA">
        <w:rPr>
          <w:rFonts w:ascii="Georgia" w:hAnsi="Georgia"/>
          <w:sz w:val="24"/>
          <w:szCs w:val="24"/>
        </w:rPr>
        <w:t>FirstEnergy Transmission, LLC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E71604">
        <w:rPr>
          <w:rFonts w:ascii="Georgia" w:hAnsi="Georgia"/>
          <w:sz w:val="24"/>
          <w:szCs w:val="24"/>
        </w:rPr>
        <w:tab/>
      </w:r>
      <w:r w:rsidR="00D970AA">
        <w:rPr>
          <w:rFonts w:ascii="Georgia" w:hAnsi="Georgia"/>
          <w:sz w:val="24"/>
          <w:szCs w:val="24"/>
        </w:rPr>
        <w:t xml:space="preserve">Docket Nos. </w:t>
      </w:r>
      <w:r w:rsidR="00D970AA">
        <w:rPr>
          <w:rFonts w:ascii="Georgia" w:hAnsi="Georgia"/>
          <w:sz w:val="24"/>
          <w:szCs w:val="24"/>
        </w:rPr>
        <w:tab/>
      </w:r>
      <w:r w:rsidR="00D970AA" w:rsidRPr="00D970AA">
        <w:rPr>
          <w:rFonts w:ascii="Georgia" w:hAnsi="Georgia"/>
          <w:sz w:val="24"/>
          <w:szCs w:val="24"/>
        </w:rPr>
        <w:t>EC22-33</w:t>
      </w:r>
    </w:p>
    <w:p w14:paraId="5B23CF18" w14:textId="5E90EC82" w:rsidR="00F54530" w:rsidRDefault="00D970AA" w:rsidP="00B371A2">
      <w:pPr>
        <w:spacing w:after="0" w:line="240" w:lineRule="auto"/>
        <w:rPr>
          <w:rFonts w:ascii="Georgia" w:hAnsi="Georgia"/>
          <w:sz w:val="24"/>
          <w:szCs w:val="24"/>
        </w:rPr>
      </w:pPr>
      <w:r w:rsidRPr="00D970AA">
        <w:rPr>
          <w:rFonts w:ascii="Georgia" w:hAnsi="Georgia"/>
          <w:sz w:val="24"/>
          <w:szCs w:val="24"/>
        </w:rPr>
        <w:t>FirstEnergy Corp.</w:t>
      </w:r>
      <w:r w:rsidR="00CA31DB">
        <w:rPr>
          <w:rFonts w:ascii="Georgia" w:hAnsi="Georgia"/>
          <w:sz w:val="24"/>
          <w:szCs w:val="24"/>
        </w:rPr>
        <w:tab/>
      </w:r>
      <w:r w:rsidR="00CA31DB">
        <w:rPr>
          <w:rFonts w:ascii="Georgia" w:hAnsi="Georgia"/>
          <w:sz w:val="24"/>
          <w:szCs w:val="24"/>
        </w:rPr>
        <w:tab/>
      </w:r>
      <w:r w:rsidR="00CA31DB">
        <w:rPr>
          <w:rFonts w:ascii="Georgia" w:hAnsi="Georgia"/>
          <w:sz w:val="24"/>
          <w:szCs w:val="24"/>
        </w:rPr>
        <w:tab/>
      </w:r>
      <w:r w:rsidR="00CA31DB">
        <w:rPr>
          <w:rFonts w:ascii="Georgia" w:hAnsi="Georgia"/>
          <w:sz w:val="24"/>
          <w:szCs w:val="24"/>
        </w:rPr>
        <w:tab/>
      </w:r>
      <w:r w:rsidR="00CA31DB">
        <w:rPr>
          <w:rFonts w:ascii="Georgia" w:hAnsi="Georgia"/>
          <w:sz w:val="24"/>
          <w:szCs w:val="24"/>
        </w:rPr>
        <w:tab/>
      </w:r>
      <w:r w:rsidR="00CA31DB">
        <w:rPr>
          <w:rFonts w:ascii="Georgia" w:hAnsi="Georgia"/>
          <w:sz w:val="24"/>
          <w:szCs w:val="24"/>
        </w:rPr>
        <w:tab/>
      </w:r>
      <w:r w:rsidR="00CA31DB">
        <w:rPr>
          <w:rFonts w:ascii="Georgia" w:hAnsi="Georgia"/>
          <w:sz w:val="24"/>
          <w:szCs w:val="24"/>
        </w:rPr>
        <w:tab/>
      </w:r>
      <w:r w:rsidR="00CA31DB">
        <w:rPr>
          <w:rFonts w:ascii="Georgia" w:hAnsi="Georgia"/>
          <w:sz w:val="24"/>
          <w:szCs w:val="24"/>
        </w:rPr>
        <w:tab/>
      </w:r>
      <w:r w:rsidR="00E71604">
        <w:rPr>
          <w:rFonts w:ascii="Georgia" w:hAnsi="Georgia"/>
          <w:sz w:val="24"/>
          <w:szCs w:val="24"/>
        </w:rPr>
        <w:tab/>
      </w:r>
      <w:r w:rsidR="00CA31DB" w:rsidRPr="00CA31DB">
        <w:rPr>
          <w:rFonts w:ascii="Georgia" w:hAnsi="Georgia"/>
          <w:sz w:val="24"/>
          <w:szCs w:val="24"/>
        </w:rPr>
        <w:t>EC22-27</w:t>
      </w:r>
    </w:p>
    <w:p w14:paraId="52767F6B" w14:textId="77777777" w:rsidR="00F54530" w:rsidRDefault="00F54530" w:rsidP="00B371A2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789DC4B" w14:textId="77777777" w:rsidR="00C75432" w:rsidRDefault="00C75432" w:rsidP="005C793B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14:paraId="7209C9D7" w14:textId="66AEB605" w:rsidR="00F54530" w:rsidRPr="00565A9D" w:rsidRDefault="008407EE" w:rsidP="005C793B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E15C24">
        <w:rPr>
          <w:rFonts w:ascii="Georgia" w:hAnsi="Georgia"/>
          <w:b/>
          <w:bCs/>
          <w:sz w:val="24"/>
          <w:szCs w:val="24"/>
        </w:rPr>
        <w:t xml:space="preserve">Motion to Consolidate and </w:t>
      </w:r>
      <w:r w:rsidR="00F54530" w:rsidRPr="00565A9D">
        <w:rPr>
          <w:rFonts w:ascii="Georgia" w:hAnsi="Georgia"/>
          <w:b/>
          <w:bCs/>
          <w:sz w:val="24"/>
          <w:szCs w:val="24"/>
        </w:rPr>
        <w:t>Protest of Public Citizen, Inc.</w:t>
      </w:r>
    </w:p>
    <w:p w14:paraId="66BF6159" w14:textId="77777777" w:rsidR="00F54530" w:rsidRDefault="00F54530" w:rsidP="00B371A2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9A36D8F" w14:textId="7735537C" w:rsidR="00FE0D2F" w:rsidRDefault="00F54530" w:rsidP="00B243D0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FirstEnergy Corp. operates franchised utilities with hundreds of thousands of captive customers</w:t>
      </w:r>
      <w:r w:rsidR="00565A9D">
        <w:rPr>
          <w:rFonts w:ascii="Georgia" w:hAnsi="Georgia"/>
          <w:sz w:val="24"/>
          <w:szCs w:val="24"/>
        </w:rPr>
        <w:t>, and</w:t>
      </w:r>
      <w:r w:rsidR="009C4AB5">
        <w:rPr>
          <w:rFonts w:ascii="Georgia" w:hAnsi="Georgia"/>
          <w:sz w:val="24"/>
          <w:szCs w:val="24"/>
        </w:rPr>
        <w:t>, through its</w:t>
      </w:r>
      <w:r w:rsidR="00565A9D">
        <w:rPr>
          <w:rFonts w:ascii="Georgia" w:hAnsi="Georgia"/>
          <w:sz w:val="24"/>
          <w:szCs w:val="24"/>
        </w:rPr>
        <w:t xml:space="preserve"> </w:t>
      </w:r>
      <w:r w:rsidR="009C4AB5">
        <w:rPr>
          <w:rFonts w:ascii="Georgia" w:hAnsi="Georgia"/>
          <w:sz w:val="24"/>
          <w:szCs w:val="24"/>
        </w:rPr>
        <w:t>FirstEnergy Transmission affiliate</w:t>
      </w:r>
      <w:r w:rsidR="009C4AB5">
        <w:rPr>
          <w:rFonts w:ascii="Georgia" w:hAnsi="Georgia"/>
          <w:sz w:val="24"/>
          <w:szCs w:val="24"/>
        </w:rPr>
        <w:t xml:space="preserve">, </w:t>
      </w:r>
      <w:r w:rsidR="00154D0A">
        <w:rPr>
          <w:rFonts w:ascii="Georgia" w:hAnsi="Georgia"/>
          <w:sz w:val="24"/>
          <w:szCs w:val="24"/>
        </w:rPr>
        <w:t>power transmission systems</w:t>
      </w:r>
      <w:r w:rsidR="001E4E9B">
        <w:rPr>
          <w:rFonts w:ascii="Georgia" w:hAnsi="Georgia"/>
          <w:sz w:val="24"/>
          <w:szCs w:val="24"/>
        </w:rPr>
        <w:t>. On November 7, 2021, FirstEnergy</w:t>
      </w:r>
      <w:r w:rsidR="002F3CCC">
        <w:rPr>
          <w:rFonts w:ascii="Georgia" w:hAnsi="Georgia"/>
          <w:sz w:val="24"/>
          <w:szCs w:val="24"/>
        </w:rPr>
        <w:t xml:space="preserve"> issued a press release </w:t>
      </w:r>
      <w:r w:rsidR="002F1588">
        <w:rPr>
          <w:rFonts w:ascii="Georgia" w:hAnsi="Georgia"/>
          <w:sz w:val="24"/>
          <w:szCs w:val="24"/>
        </w:rPr>
        <w:t xml:space="preserve">announcing </w:t>
      </w:r>
      <w:r w:rsidR="003D0C3B">
        <w:rPr>
          <w:rFonts w:ascii="Georgia" w:hAnsi="Georgia"/>
          <w:sz w:val="24"/>
          <w:szCs w:val="24"/>
        </w:rPr>
        <w:t xml:space="preserve">the simultaneous, coordinated </w:t>
      </w:r>
      <w:r w:rsidR="005136BC">
        <w:rPr>
          <w:rFonts w:ascii="Georgia" w:hAnsi="Georgia"/>
          <w:sz w:val="24"/>
          <w:szCs w:val="24"/>
        </w:rPr>
        <w:t xml:space="preserve">$3.4 billion equity </w:t>
      </w:r>
      <w:r w:rsidR="003D0C3B">
        <w:rPr>
          <w:rFonts w:ascii="Georgia" w:hAnsi="Georgia"/>
          <w:sz w:val="24"/>
          <w:szCs w:val="24"/>
        </w:rPr>
        <w:t>investments with</w:t>
      </w:r>
      <w:r w:rsidR="009D2818">
        <w:rPr>
          <w:rFonts w:ascii="Georgia" w:hAnsi="Georgia"/>
          <w:sz w:val="24"/>
          <w:szCs w:val="24"/>
        </w:rPr>
        <w:t xml:space="preserve"> affiliates of</w:t>
      </w:r>
      <w:r w:rsidR="009D77E1">
        <w:rPr>
          <w:rFonts w:ascii="Georgia" w:hAnsi="Georgia"/>
          <w:sz w:val="24"/>
          <w:szCs w:val="24"/>
        </w:rPr>
        <w:t xml:space="preserve"> </w:t>
      </w:r>
      <w:r w:rsidR="009D2818">
        <w:rPr>
          <w:rFonts w:ascii="Georgia" w:hAnsi="Georgia"/>
          <w:sz w:val="24"/>
          <w:szCs w:val="24"/>
        </w:rPr>
        <w:t xml:space="preserve">the investment companies </w:t>
      </w:r>
      <w:r w:rsidR="009D77E1">
        <w:rPr>
          <w:rFonts w:ascii="Georgia" w:hAnsi="Georgia"/>
          <w:sz w:val="24"/>
          <w:szCs w:val="24"/>
        </w:rPr>
        <w:t xml:space="preserve">Blackstone </w:t>
      </w:r>
      <w:r w:rsidR="004A1DEA">
        <w:rPr>
          <w:rFonts w:ascii="Georgia" w:hAnsi="Georgia"/>
          <w:sz w:val="24"/>
          <w:szCs w:val="24"/>
        </w:rPr>
        <w:t>Inc.</w:t>
      </w:r>
      <w:r w:rsidR="009D2818">
        <w:rPr>
          <w:rFonts w:ascii="Georgia" w:hAnsi="Georgia"/>
          <w:sz w:val="24"/>
          <w:szCs w:val="24"/>
        </w:rPr>
        <w:t xml:space="preserve"> and </w:t>
      </w:r>
      <w:r w:rsidR="009D2818" w:rsidRPr="00EA0358">
        <w:rPr>
          <w:rFonts w:ascii="Georgia" w:hAnsi="Georgia"/>
          <w:sz w:val="24"/>
          <w:szCs w:val="24"/>
        </w:rPr>
        <w:t>Brookfield Asset Management Inc</w:t>
      </w:r>
      <w:r w:rsidR="009B6E1D">
        <w:rPr>
          <w:rFonts w:ascii="Georgia" w:hAnsi="Georgia"/>
          <w:sz w:val="24"/>
          <w:szCs w:val="24"/>
        </w:rPr>
        <w:t>.</w:t>
      </w:r>
      <w:r w:rsidR="009B6E1D">
        <w:rPr>
          <w:rStyle w:val="FootnoteReference"/>
          <w:rFonts w:ascii="Georgia" w:hAnsi="Georgia"/>
          <w:sz w:val="24"/>
          <w:szCs w:val="24"/>
        </w:rPr>
        <w:footnoteReference w:id="1"/>
      </w:r>
      <w:r w:rsidR="00451957">
        <w:rPr>
          <w:rFonts w:ascii="Georgia" w:hAnsi="Georgia"/>
          <w:sz w:val="24"/>
          <w:szCs w:val="24"/>
        </w:rPr>
        <w:t xml:space="preserve"> Because the</w:t>
      </w:r>
      <w:r w:rsidR="005C339D">
        <w:rPr>
          <w:rFonts w:ascii="Georgia" w:hAnsi="Georgia"/>
          <w:sz w:val="24"/>
          <w:szCs w:val="24"/>
        </w:rPr>
        <w:t>y</w:t>
      </w:r>
      <w:r w:rsidR="00451957">
        <w:rPr>
          <w:rFonts w:ascii="Georgia" w:hAnsi="Georgia"/>
          <w:sz w:val="24"/>
          <w:szCs w:val="24"/>
        </w:rPr>
        <w:t xml:space="preserve"> were negotiated </w:t>
      </w:r>
      <w:r w:rsidR="0027436E">
        <w:rPr>
          <w:rFonts w:ascii="Georgia" w:hAnsi="Georgia"/>
          <w:sz w:val="24"/>
          <w:szCs w:val="24"/>
        </w:rPr>
        <w:t xml:space="preserve">and announced </w:t>
      </w:r>
      <w:r w:rsidR="00B33661">
        <w:rPr>
          <w:rFonts w:ascii="Georgia" w:hAnsi="Georgia"/>
          <w:sz w:val="24"/>
          <w:szCs w:val="24"/>
        </w:rPr>
        <w:t>simultaneously</w:t>
      </w:r>
      <w:r w:rsidR="00C85987">
        <w:rPr>
          <w:rFonts w:ascii="Georgia" w:hAnsi="Georgia"/>
          <w:sz w:val="24"/>
          <w:szCs w:val="24"/>
        </w:rPr>
        <w:t xml:space="preserve"> with the active participation of </w:t>
      </w:r>
      <w:r w:rsidR="001254B7">
        <w:rPr>
          <w:rFonts w:ascii="Georgia" w:hAnsi="Georgia"/>
          <w:sz w:val="24"/>
          <w:szCs w:val="24"/>
        </w:rPr>
        <w:t>members of the FirstEnergy board of directors—</w:t>
      </w:r>
      <w:r w:rsidR="00932839">
        <w:rPr>
          <w:rFonts w:ascii="Georgia" w:hAnsi="Georgia"/>
          <w:sz w:val="24"/>
          <w:szCs w:val="24"/>
        </w:rPr>
        <w:t xml:space="preserve">which include </w:t>
      </w:r>
      <w:r w:rsidR="00C85987">
        <w:rPr>
          <w:rFonts w:ascii="Georgia" w:hAnsi="Georgia"/>
          <w:sz w:val="24"/>
          <w:szCs w:val="24"/>
        </w:rPr>
        <w:t xml:space="preserve">employees of </w:t>
      </w:r>
      <w:r w:rsidR="00384A98" w:rsidRPr="00384A98">
        <w:rPr>
          <w:rFonts w:ascii="Georgia" w:hAnsi="Georgia"/>
          <w:sz w:val="24"/>
          <w:szCs w:val="24"/>
        </w:rPr>
        <w:t>Icahn Enterprises</w:t>
      </w:r>
      <w:r w:rsidR="00384A98">
        <w:rPr>
          <w:rFonts w:ascii="Georgia" w:hAnsi="Georgia"/>
          <w:sz w:val="24"/>
          <w:szCs w:val="24"/>
        </w:rPr>
        <w:t>—</w:t>
      </w:r>
      <w:r w:rsidR="00A45ED2">
        <w:rPr>
          <w:rFonts w:ascii="Georgia" w:hAnsi="Georgia"/>
          <w:sz w:val="24"/>
          <w:szCs w:val="24"/>
        </w:rPr>
        <w:t>the Commission must consolidate both dockets</w:t>
      </w:r>
      <w:r w:rsidR="00B33661">
        <w:rPr>
          <w:rFonts w:ascii="Georgia" w:hAnsi="Georgia"/>
          <w:sz w:val="24"/>
          <w:szCs w:val="24"/>
        </w:rPr>
        <w:t xml:space="preserve"> and treat</w:t>
      </w:r>
      <w:r w:rsidR="00510101">
        <w:rPr>
          <w:rFonts w:ascii="Georgia" w:hAnsi="Georgia"/>
          <w:sz w:val="24"/>
          <w:szCs w:val="24"/>
        </w:rPr>
        <w:t xml:space="preserve"> the transactions exactly the way FirstEnergy communicated them: as integrated and related transactions. </w:t>
      </w:r>
      <w:r w:rsidR="00D154E5">
        <w:rPr>
          <w:rFonts w:ascii="Georgia" w:hAnsi="Georgia"/>
          <w:sz w:val="24"/>
          <w:szCs w:val="24"/>
        </w:rPr>
        <w:t>Only by assigning the combined transactions can the Commission determine w</w:t>
      </w:r>
      <w:r w:rsidR="00FE636B">
        <w:rPr>
          <w:rFonts w:ascii="Georgia" w:hAnsi="Georgia"/>
          <w:sz w:val="24"/>
          <w:szCs w:val="24"/>
        </w:rPr>
        <w:t>hether the</w:t>
      </w:r>
      <w:r w:rsidR="00957940">
        <w:rPr>
          <w:rFonts w:ascii="Georgia" w:hAnsi="Georgia"/>
          <w:sz w:val="24"/>
          <w:szCs w:val="24"/>
        </w:rPr>
        <w:t>y are</w:t>
      </w:r>
      <w:r w:rsidR="002854D7">
        <w:rPr>
          <w:rFonts w:ascii="Georgia" w:hAnsi="Georgia"/>
          <w:sz w:val="24"/>
          <w:szCs w:val="24"/>
        </w:rPr>
        <w:t xml:space="preserve"> consistent with</w:t>
      </w:r>
      <w:r w:rsidR="00FE636B">
        <w:rPr>
          <w:rFonts w:ascii="Georgia" w:hAnsi="Georgia"/>
          <w:sz w:val="24"/>
          <w:szCs w:val="24"/>
        </w:rPr>
        <w:t xml:space="preserve"> the public interest and</w:t>
      </w:r>
      <w:r w:rsidR="002854D7">
        <w:rPr>
          <w:rFonts w:ascii="Georgia" w:hAnsi="Georgia"/>
          <w:sz w:val="24"/>
          <w:szCs w:val="24"/>
        </w:rPr>
        <w:t xml:space="preserve"> will result in just and reasonable rates. </w:t>
      </w:r>
    </w:p>
    <w:p w14:paraId="6A6D4BAB" w14:textId="4673F5E0" w:rsidR="00CD025E" w:rsidRDefault="005A2B2B" w:rsidP="00FE0D2F">
      <w:pPr>
        <w:spacing w:after="0"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2854D7">
        <w:rPr>
          <w:rFonts w:ascii="Georgia" w:hAnsi="Georgia"/>
          <w:sz w:val="24"/>
          <w:szCs w:val="24"/>
        </w:rPr>
        <w:t>he investments</w:t>
      </w:r>
      <w:r w:rsidR="005F1B35">
        <w:rPr>
          <w:rFonts w:ascii="Georgia" w:hAnsi="Georgia"/>
          <w:sz w:val="24"/>
          <w:szCs w:val="24"/>
        </w:rPr>
        <w:t xml:space="preserve"> in FirstEnergy by Blackstone and Brookfield were the result of </w:t>
      </w:r>
      <w:r w:rsidR="00DB5473">
        <w:rPr>
          <w:rFonts w:ascii="Georgia" w:hAnsi="Georgia"/>
          <w:sz w:val="24"/>
          <w:szCs w:val="24"/>
        </w:rPr>
        <w:t xml:space="preserve">non-public negotiations involving members of FirstEnergy’s Board of Directors, including </w:t>
      </w:r>
      <w:r w:rsidR="00272D65">
        <w:rPr>
          <w:rFonts w:ascii="Georgia" w:hAnsi="Georgia"/>
          <w:sz w:val="24"/>
          <w:szCs w:val="24"/>
        </w:rPr>
        <w:t>Icahn Enterprises executives</w:t>
      </w:r>
      <w:r w:rsidR="00DB5473">
        <w:rPr>
          <w:rFonts w:ascii="Georgia" w:hAnsi="Georgia"/>
          <w:sz w:val="24"/>
          <w:szCs w:val="24"/>
        </w:rPr>
        <w:t>.</w:t>
      </w:r>
      <w:r w:rsidR="00957940">
        <w:rPr>
          <w:rFonts w:ascii="Georgia" w:hAnsi="Georgia"/>
          <w:sz w:val="24"/>
          <w:szCs w:val="24"/>
        </w:rPr>
        <w:t xml:space="preserve"> Given the history of </w:t>
      </w:r>
      <w:r w:rsidR="0017050D">
        <w:rPr>
          <w:rFonts w:ascii="Georgia" w:hAnsi="Georgia"/>
          <w:sz w:val="24"/>
          <w:szCs w:val="24"/>
        </w:rPr>
        <w:t>activist investor</w:t>
      </w:r>
      <w:r w:rsidR="00896BAF">
        <w:rPr>
          <w:rFonts w:ascii="Georgia" w:hAnsi="Georgia"/>
          <w:sz w:val="24"/>
          <w:szCs w:val="24"/>
        </w:rPr>
        <w:t xml:space="preserve"> collusion </w:t>
      </w:r>
      <w:r w:rsidR="00317506">
        <w:rPr>
          <w:rFonts w:ascii="Georgia" w:hAnsi="Georgia"/>
          <w:sz w:val="24"/>
          <w:szCs w:val="24"/>
        </w:rPr>
        <w:t>to control public companies</w:t>
      </w:r>
      <w:r w:rsidR="00676110">
        <w:rPr>
          <w:rFonts w:ascii="Georgia" w:hAnsi="Georgia"/>
          <w:sz w:val="24"/>
          <w:szCs w:val="24"/>
        </w:rPr>
        <w:t xml:space="preserve">, the Commission must determine whether any formal or informal cooperation agreement </w:t>
      </w:r>
      <w:r w:rsidR="00F710EF">
        <w:rPr>
          <w:rFonts w:ascii="Georgia" w:hAnsi="Georgia"/>
          <w:sz w:val="24"/>
          <w:szCs w:val="24"/>
        </w:rPr>
        <w:t>exists</w:t>
      </w:r>
      <w:r w:rsidR="00676110">
        <w:rPr>
          <w:rFonts w:ascii="Georgia" w:hAnsi="Georgia"/>
          <w:sz w:val="24"/>
          <w:szCs w:val="24"/>
        </w:rPr>
        <w:t xml:space="preserve"> between Icahn</w:t>
      </w:r>
      <w:r w:rsidR="005B41B7">
        <w:rPr>
          <w:rFonts w:ascii="Georgia" w:hAnsi="Georgia"/>
          <w:sz w:val="24"/>
          <w:szCs w:val="24"/>
        </w:rPr>
        <w:t xml:space="preserve"> and Blackstone that would result in their combined interests exceeding 10% of FirstEnergy</w:t>
      </w:r>
      <w:r w:rsidR="0099207C">
        <w:rPr>
          <w:rFonts w:ascii="Georgia" w:hAnsi="Georgia"/>
          <w:sz w:val="24"/>
          <w:szCs w:val="24"/>
        </w:rPr>
        <w:t xml:space="preserve">, resulting in both Icahn and Blackstone to be treated as affiliates, per </w:t>
      </w:r>
      <w:r w:rsidR="0099207C" w:rsidRPr="0099207C">
        <w:rPr>
          <w:rFonts w:ascii="Georgia" w:hAnsi="Georgia"/>
          <w:sz w:val="24"/>
          <w:szCs w:val="24"/>
        </w:rPr>
        <w:t>18 CFR § 35.36(a)(9)(iii)</w:t>
      </w:r>
      <w:r w:rsidR="0099207C">
        <w:rPr>
          <w:rFonts w:ascii="Georgia" w:hAnsi="Georgia"/>
          <w:sz w:val="24"/>
          <w:szCs w:val="24"/>
        </w:rPr>
        <w:t>.</w:t>
      </w:r>
    </w:p>
    <w:p w14:paraId="6458FB24" w14:textId="77777777" w:rsidR="00CD025E" w:rsidRDefault="00CD025E" w:rsidP="00B371A2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79375F8" w14:textId="0ADD4415" w:rsidR="00B243D0" w:rsidRPr="00B243D0" w:rsidRDefault="00DB5473" w:rsidP="00B243D0">
      <w:pPr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B243D0" w:rsidRPr="00475DAA">
        <w:rPr>
          <w:rFonts w:ascii="Georgia" w:hAnsi="Georgia"/>
          <w:b/>
          <w:bCs/>
          <w:sz w:val="24"/>
          <w:szCs w:val="24"/>
        </w:rPr>
        <w:t>Motion to Consolidate</w:t>
      </w:r>
    </w:p>
    <w:p w14:paraId="0F217294" w14:textId="20A3E6A5" w:rsidR="00B243D0" w:rsidRDefault="00B243D0" w:rsidP="00B57751">
      <w:pPr>
        <w:spacing w:after="0" w:line="360" w:lineRule="auto"/>
        <w:ind w:firstLine="720"/>
        <w:rPr>
          <w:rFonts w:ascii="Georgia" w:hAnsi="Georgia"/>
          <w:sz w:val="24"/>
          <w:szCs w:val="24"/>
        </w:rPr>
      </w:pPr>
      <w:r w:rsidRPr="00E15C24">
        <w:rPr>
          <w:rFonts w:ascii="Georgia" w:hAnsi="Georgia"/>
          <w:sz w:val="24"/>
          <w:szCs w:val="24"/>
        </w:rPr>
        <w:t>T</w:t>
      </w:r>
      <w:r w:rsidRPr="002321B8">
        <w:rPr>
          <w:rFonts w:ascii="Georgia" w:hAnsi="Georgia"/>
          <w:sz w:val="24"/>
          <w:szCs w:val="24"/>
        </w:rPr>
        <w:t xml:space="preserve">he Commission </w:t>
      </w:r>
      <w:r>
        <w:rPr>
          <w:rFonts w:ascii="Georgia" w:hAnsi="Georgia"/>
          <w:sz w:val="24"/>
          <w:szCs w:val="24"/>
        </w:rPr>
        <w:t xml:space="preserve">can consolidate dockets </w:t>
      </w:r>
      <w:r w:rsidRPr="002321B8">
        <w:rPr>
          <w:rFonts w:ascii="Georgia" w:hAnsi="Georgia"/>
          <w:sz w:val="24"/>
          <w:szCs w:val="24"/>
        </w:rPr>
        <w:t>to resolve common issues of law and fact</w:t>
      </w:r>
      <w:r>
        <w:rPr>
          <w:rFonts w:ascii="Georgia" w:hAnsi="Georgia"/>
          <w:sz w:val="24"/>
          <w:szCs w:val="24"/>
        </w:rPr>
        <w:t xml:space="preserve"> in order to promote </w:t>
      </w:r>
      <w:r w:rsidRPr="002321B8">
        <w:rPr>
          <w:rFonts w:ascii="Georgia" w:hAnsi="Georgia"/>
          <w:sz w:val="24"/>
          <w:szCs w:val="24"/>
        </w:rPr>
        <w:t>greater administrative efficiency</w:t>
      </w:r>
      <w:r>
        <w:rPr>
          <w:rFonts w:ascii="Georgia" w:hAnsi="Georgia"/>
          <w:sz w:val="24"/>
          <w:szCs w:val="24"/>
        </w:rPr>
        <w:t>, but typically</w:t>
      </w:r>
      <w:r w:rsidRPr="002321B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does so </w:t>
      </w:r>
      <w:r w:rsidRPr="002321B8">
        <w:rPr>
          <w:rFonts w:ascii="Georgia" w:hAnsi="Georgia"/>
          <w:sz w:val="24"/>
          <w:szCs w:val="24"/>
        </w:rPr>
        <w:t xml:space="preserve">only if a </w:t>
      </w:r>
      <w:r w:rsidRPr="002321B8">
        <w:rPr>
          <w:rFonts w:ascii="Georgia" w:hAnsi="Georgia"/>
          <w:sz w:val="24"/>
          <w:szCs w:val="24"/>
        </w:rPr>
        <w:lastRenderedPageBreak/>
        <w:t>trial-type evidentiary hearing is required</w:t>
      </w:r>
      <w:r>
        <w:rPr>
          <w:rFonts w:ascii="Georgia" w:hAnsi="Georgia"/>
          <w:sz w:val="24"/>
          <w:szCs w:val="24"/>
        </w:rPr>
        <w:t>.</w:t>
      </w:r>
      <w:r>
        <w:rPr>
          <w:rStyle w:val="FootnoteReference"/>
          <w:rFonts w:ascii="Georgia" w:hAnsi="Georgia"/>
          <w:sz w:val="24"/>
          <w:szCs w:val="24"/>
        </w:rPr>
        <w:footnoteReference w:id="2"/>
      </w:r>
      <w:r>
        <w:rPr>
          <w:rFonts w:ascii="Georgia" w:hAnsi="Georgia"/>
          <w:sz w:val="24"/>
          <w:szCs w:val="24"/>
        </w:rPr>
        <w:t xml:space="preserve"> It is important to note that </w:t>
      </w:r>
      <w:r w:rsidR="007E4163">
        <w:rPr>
          <w:rFonts w:ascii="Georgia" w:hAnsi="Georgia"/>
          <w:sz w:val="24"/>
          <w:szCs w:val="24"/>
        </w:rPr>
        <w:t xml:space="preserve">an </w:t>
      </w:r>
      <w:r w:rsidR="007E4163">
        <w:rPr>
          <w:rFonts w:ascii="Georgia" w:hAnsi="Georgia"/>
          <w:sz w:val="24"/>
          <w:szCs w:val="24"/>
        </w:rPr>
        <w:t>evidentiary hearing</w:t>
      </w:r>
      <w:r w:rsidR="007E4163">
        <w:rPr>
          <w:rFonts w:ascii="Georgia" w:hAnsi="Georgia"/>
          <w:sz w:val="24"/>
          <w:szCs w:val="24"/>
        </w:rPr>
        <w:t xml:space="preserve"> is not required</w:t>
      </w:r>
      <w:r w:rsidR="00775330">
        <w:rPr>
          <w:rFonts w:ascii="Georgia" w:hAnsi="Georgia"/>
          <w:sz w:val="24"/>
          <w:szCs w:val="24"/>
        </w:rPr>
        <w:t xml:space="preserve"> for </w:t>
      </w:r>
      <w:r>
        <w:rPr>
          <w:rFonts w:ascii="Georgia" w:hAnsi="Georgia"/>
          <w:sz w:val="24"/>
          <w:szCs w:val="24"/>
        </w:rPr>
        <w:t xml:space="preserve">FERC </w:t>
      </w:r>
      <w:r w:rsidR="00775330">
        <w:rPr>
          <w:rFonts w:ascii="Georgia" w:hAnsi="Georgia"/>
          <w:sz w:val="24"/>
          <w:szCs w:val="24"/>
        </w:rPr>
        <w:t xml:space="preserve">to consider </w:t>
      </w:r>
      <w:r>
        <w:rPr>
          <w:rFonts w:ascii="Georgia" w:hAnsi="Georgia"/>
          <w:sz w:val="24"/>
          <w:szCs w:val="24"/>
        </w:rPr>
        <w:t>docket</w:t>
      </w:r>
      <w:r w:rsidR="009F6073">
        <w:rPr>
          <w:rFonts w:ascii="Georgia" w:hAnsi="Georgia"/>
          <w:sz w:val="24"/>
          <w:szCs w:val="24"/>
        </w:rPr>
        <w:t xml:space="preserve"> consolidation</w:t>
      </w:r>
      <w:r>
        <w:rPr>
          <w:rFonts w:ascii="Georgia" w:hAnsi="Georgia"/>
          <w:sz w:val="24"/>
          <w:szCs w:val="24"/>
        </w:rPr>
        <w:t xml:space="preserve">. </w:t>
      </w:r>
    </w:p>
    <w:p w14:paraId="762F4621" w14:textId="322292C7" w:rsidR="000029D0" w:rsidRDefault="004F5AC2" w:rsidP="00B57751">
      <w:pPr>
        <w:spacing w:after="0"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Brookfield and Blackstone transactions were negotiated simultaneously by FirstEnergy’s Board of Directors</w:t>
      </w:r>
      <w:r w:rsidR="008957E3">
        <w:rPr>
          <w:rFonts w:ascii="Georgia" w:hAnsi="Georgia"/>
          <w:sz w:val="24"/>
          <w:szCs w:val="24"/>
        </w:rPr>
        <w:t xml:space="preserve"> as </w:t>
      </w:r>
      <w:r w:rsidR="00292FA1">
        <w:rPr>
          <w:rFonts w:ascii="Georgia" w:hAnsi="Georgia"/>
          <w:sz w:val="24"/>
          <w:szCs w:val="24"/>
        </w:rPr>
        <w:t xml:space="preserve">a central component of the company’s </w:t>
      </w:r>
      <w:r w:rsidR="000643DD">
        <w:rPr>
          <w:rFonts w:ascii="Georgia" w:hAnsi="Georgia"/>
          <w:sz w:val="24"/>
          <w:szCs w:val="24"/>
        </w:rPr>
        <w:t>capital strategy</w:t>
      </w:r>
      <w:r w:rsidR="006A2645">
        <w:rPr>
          <w:rFonts w:ascii="Georgia" w:hAnsi="Georgia"/>
          <w:sz w:val="24"/>
          <w:szCs w:val="24"/>
        </w:rPr>
        <w:t xml:space="preserve">. The unique nature of the coordinated negotiations that resulted in the </w:t>
      </w:r>
      <w:r w:rsidR="002857EB">
        <w:rPr>
          <w:rFonts w:ascii="Georgia" w:hAnsi="Georgia"/>
          <w:sz w:val="24"/>
          <w:szCs w:val="24"/>
        </w:rPr>
        <w:t xml:space="preserve">concurrent </w:t>
      </w:r>
      <w:r w:rsidR="004006B7">
        <w:rPr>
          <w:rFonts w:ascii="Georgia" w:hAnsi="Georgia"/>
          <w:sz w:val="24"/>
          <w:szCs w:val="24"/>
        </w:rPr>
        <w:t xml:space="preserve">agreements with both Brookfield and Blackstone requires the Commission to assess the </w:t>
      </w:r>
      <w:r w:rsidR="00802B82">
        <w:rPr>
          <w:rFonts w:ascii="Georgia" w:hAnsi="Georgia"/>
          <w:sz w:val="24"/>
          <w:szCs w:val="24"/>
        </w:rPr>
        <w:t>proposed transactions in a consolidated docket.</w:t>
      </w:r>
      <w:r w:rsidR="009937DF">
        <w:rPr>
          <w:rFonts w:ascii="Georgia" w:hAnsi="Georgia"/>
          <w:sz w:val="24"/>
          <w:szCs w:val="24"/>
        </w:rPr>
        <w:t xml:space="preserve"> Both Brookfield and Blackstone own and control significant FERC-</w:t>
      </w:r>
      <w:r w:rsidR="00782EB6">
        <w:rPr>
          <w:rFonts w:ascii="Georgia" w:hAnsi="Georgia"/>
          <w:sz w:val="24"/>
          <w:szCs w:val="24"/>
        </w:rPr>
        <w:t>jurisdictional</w:t>
      </w:r>
      <w:r w:rsidR="009937DF">
        <w:rPr>
          <w:rFonts w:ascii="Georgia" w:hAnsi="Georgia"/>
          <w:sz w:val="24"/>
          <w:szCs w:val="24"/>
        </w:rPr>
        <w:t xml:space="preserve"> assets </w:t>
      </w:r>
      <w:r w:rsidR="00C13105">
        <w:rPr>
          <w:rFonts w:ascii="Georgia" w:hAnsi="Georgia"/>
          <w:sz w:val="24"/>
          <w:szCs w:val="24"/>
        </w:rPr>
        <w:t xml:space="preserve">that </w:t>
      </w:r>
      <w:r w:rsidR="00C02928">
        <w:rPr>
          <w:rFonts w:ascii="Georgia" w:hAnsi="Georgia"/>
          <w:sz w:val="24"/>
          <w:szCs w:val="24"/>
        </w:rPr>
        <w:t>necessitates</w:t>
      </w:r>
      <w:r w:rsidR="00C13105">
        <w:rPr>
          <w:rFonts w:ascii="Georgia" w:hAnsi="Georgia"/>
          <w:sz w:val="24"/>
          <w:szCs w:val="24"/>
        </w:rPr>
        <w:t xml:space="preserve"> a unified market power analysis to ensure that the co</w:t>
      </w:r>
      <w:r w:rsidR="00C02928">
        <w:rPr>
          <w:rFonts w:ascii="Georgia" w:hAnsi="Georgia"/>
          <w:sz w:val="24"/>
          <w:szCs w:val="24"/>
        </w:rPr>
        <w:t>mbined</w:t>
      </w:r>
      <w:r w:rsidR="00C13105">
        <w:rPr>
          <w:rFonts w:ascii="Georgia" w:hAnsi="Georgia"/>
          <w:sz w:val="24"/>
          <w:szCs w:val="24"/>
        </w:rPr>
        <w:t xml:space="preserve"> </w:t>
      </w:r>
      <w:r w:rsidR="00C02928">
        <w:rPr>
          <w:rFonts w:ascii="Georgia" w:hAnsi="Georgia"/>
          <w:sz w:val="24"/>
          <w:szCs w:val="24"/>
        </w:rPr>
        <w:t>transactions</w:t>
      </w:r>
      <w:r w:rsidR="00C13105">
        <w:rPr>
          <w:rFonts w:ascii="Georgia" w:hAnsi="Georgia"/>
          <w:sz w:val="24"/>
          <w:szCs w:val="24"/>
        </w:rPr>
        <w:t xml:space="preserve"> do not threaten competition, just and reasonable rates, </w:t>
      </w:r>
      <w:r w:rsidR="00782EB6">
        <w:rPr>
          <w:rFonts w:ascii="Georgia" w:hAnsi="Georgia"/>
          <w:sz w:val="24"/>
          <w:szCs w:val="24"/>
        </w:rPr>
        <w:t>captive customers, or the public interest.</w:t>
      </w:r>
    </w:p>
    <w:p w14:paraId="2F623C43" w14:textId="77777777" w:rsidR="00C75432" w:rsidRDefault="00C75432" w:rsidP="00B243D0">
      <w:pPr>
        <w:spacing w:line="360" w:lineRule="auto"/>
        <w:ind w:firstLine="720"/>
        <w:rPr>
          <w:rFonts w:ascii="Georgia" w:hAnsi="Georgia"/>
          <w:sz w:val="24"/>
          <w:szCs w:val="24"/>
        </w:rPr>
      </w:pPr>
    </w:p>
    <w:p w14:paraId="3FEBF5D5" w14:textId="56AD0E9C" w:rsidR="008957E3" w:rsidRPr="000643DD" w:rsidRDefault="00802B82" w:rsidP="00C02928">
      <w:pPr>
        <w:spacing w:line="36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0643DD">
        <w:rPr>
          <w:rFonts w:ascii="Georgia" w:hAnsi="Georgia"/>
          <w:b/>
          <w:bCs/>
          <w:sz w:val="24"/>
          <w:szCs w:val="24"/>
        </w:rPr>
        <w:t>Public Citizen Protest</w:t>
      </w:r>
    </w:p>
    <w:p w14:paraId="51965D26" w14:textId="6B7319EC" w:rsidR="00D90930" w:rsidRDefault="008957E3" w:rsidP="00782EB6">
      <w:pPr>
        <w:spacing w:after="0" w:line="360" w:lineRule="auto"/>
        <w:ind w:firstLine="720"/>
        <w:rPr>
          <w:rFonts w:ascii="Georgia" w:hAnsi="Georgia"/>
          <w:sz w:val="24"/>
          <w:szCs w:val="24"/>
        </w:rPr>
      </w:pPr>
      <w:r w:rsidRPr="00B961B9">
        <w:rPr>
          <w:rFonts w:ascii="Georgia" w:hAnsi="Georgia"/>
          <w:sz w:val="24"/>
          <w:szCs w:val="24"/>
        </w:rPr>
        <w:t>Section 201 of the Federal Power Act states “that the business of transmitting and selling electric energy for ultimate distribution to the public is affected with a public interest</w:t>
      </w:r>
      <w:r>
        <w:rPr>
          <w:rFonts w:ascii="Georgia" w:hAnsi="Georgia"/>
          <w:sz w:val="24"/>
          <w:szCs w:val="24"/>
        </w:rPr>
        <w:t>.</w:t>
      </w:r>
      <w:r w:rsidRPr="00B961B9">
        <w:rPr>
          <w:rFonts w:ascii="Georgia" w:hAnsi="Georgia"/>
          <w:sz w:val="24"/>
          <w:szCs w:val="24"/>
        </w:rPr>
        <w:t>”</w:t>
      </w:r>
      <w:r>
        <w:rPr>
          <w:rStyle w:val="FootnoteReference"/>
          <w:rFonts w:ascii="Georgia" w:hAnsi="Georgia"/>
          <w:sz w:val="24"/>
          <w:szCs w:val="24"/>
        </w:rPr>
        <w:footnoteReference w:id="3"/>
      </w:r>
      <w:r>
        <w:rPr>
          <w:rFonts w:ascii="Georgia" w:hAnsi="Georgia"/>
          <w:sz w:val="24"/>
          <w:szCs w:val="24"/>
        </w:rPr>
        <w:t xml:space="preserve"> Section 203 of the FPA requires the Commission to only approve transactions that “</w:t>
      </w:r>
      <w:r w:rsidRPr="00A80B72">
        <w:rPr>
          <w:rFonts w:ascii="Georgia" w:hAnsi="Georgia"/>
          <w:sz w:val="24"/>
          <w:szCs w:val="24"/>
        </w:rPr>
        <w:t>will be consistent with the public interest</w:t>
      </w:r>
      <w:r>
        <w:rPr>
          <w:rFonts w:ascii="Georgia" w:hAnsi="Georgia"/>
          <w:sz w:val="24"/>
          <w:szCs w:val="24"/>
        </w:rPr>
        <w:t>”.</w:t>
      </w:r>
      <w:r>
        <w:rPr>
          <w:rStyle w:val="FootnoteReference"/>
          <w:rFonts w:ascii="Georgia" w:hAnsi="Georgia"/>
          <w:sz w:val="24"/>
          <w:szCs w:val="24"/>
        </w:rPr>
        <w:footnoteReference w:id="4"/>
      </w:r>
      <w:r w:rsidR="00802B82">
        <w:rPr>
          <w:rFonts w:ascii="Georgia" w:hAnsi="Georgia"/>
          <w:sz w:val="24"/>
          <w:szCs w:val="24"/>
        </w:rPr>
        <w:t xml:space="preserve"> </w:t>
      </w:r>
      <w:r w:rsidR="00991F61">
        <w:rPr>
          <w:rFonts w:ascii="Georgia" w:hAnsi="Georgia"/>
          <w:sz w:val="24"/>
          <w:szCs w:val="24"/>
        </w:rPr>
        <w:t>FirstEnergy has hundreds of thousands of captive customers that</w:t>
      </w:r>
      <w:r w:rsidR="00EA3151">
        <w:rPr>
          <w:rFonts w:ascii="Georgia" w:hAnsi="Georgia"/>
          <w:sz w:val="24"/>
          <w:szCs w:val="24"/>
        </w:rPr>
        <w:t xml:space="preserve"> </w:t>
      </w:r>
      <w:r w:rsidR="00DE6AE8">
        <w:rPr>
          <w:rFonts w:ascii="Georgia" w:hAnsi="Georgia"/>
          <w:sz w:val="24"/>
          <w:szCs w:val="24"/>
        </w:rPr>
        <w:t xml:space="preserve">rely upon </w:t>
      </w:r>
      <w:r w:rsidR="00126FE6">
        <w:rPr>
          <w:rFonts w:ascii="Georgia" w:hAnsi="Georgia"/>
          <w:sz w:val="24"/>
          <w:szCs w:val="24"/>
        </w:rPr>
        <w:t>the</w:t>
      </w:r>
      <w:r w:rsidR="00F03964">
        <w:rPr>
          <w:rFonts w:ascii="Georgia" w:hAnsi="Georgia"/>
          <w:sz w:val="24"/>
          <w:szCs w:val="24"/>
        </w:rPr>
        <w:t xml:space="preserve"> Commission’s effective enforcement of the </w:t>
      </w:r>
      <w:r w:rsidR="00126FE6">
        <w:rPr>
          <w:rFonts w:ascii="Georgia" w:hAnsi="Georgia"/>
          <w:sz w:val="24"/>
          <w:szCs w:val="24"/>
        </w:rPr>
        <w:t>FPA’s protections</w:t>
      </w:r>
      <w:r w:rsidR="00F03964">
        <w:rPr>
          <w:rFonts w:ascii="Georgia" w:hAnsi="Georgia"/>
          <w:sz w:val="24"/>
          <w:szCs w:val="24"/>
        </w:rPr>
        <w:t>.</w:t>
      </w:r>
    </w:p>
    <w:p w14:paraId="185ECF4F" w14:textId="2445F8F6" w:rsidR="0091751C" w:rsidRDefault="00510D52" w:rsidP="00782EB6">
      <w:pPr>
        <w:spacing w:after="0"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On November 7, 2021, FirstEnergy announced</w:t>
      </w:r>
      <w:r w:rsidR="00A72CA1">
        <w:rPr>
          <w:rFonts w:ascii="Georgia" w:hAnsi="Georgia"/>
          <w:sz w:val="24"/>
          <w:szCs w:val="24"/>
        </w:rPr>
        <w:t xml:space="preserve"> via press release </w:t>
      </w:r>
      <w:r w:rsidR="009C2E56">
        <w:rPr>
          <w:rFonts w:ascii="Georgia" w:hAnsi="Georgia"/>
          <w:sz w:val="24"/>
          <w:szCs w:val="24"/>
        </w:rPr>
        <w:t xml:space="preserve">a </w:t>
      </w:r>
      <w:r w:rsidR="009C2E56" w:rsidRPr="002D70E7">
        <w:rPr>
          <w:rFonts w:ascii="Georgia" w:hAnsi="Georgia"/>
          <w:sz w:val="24"/>
          <w:szCs w:val="24"/>
        </w:rPr>
        <w:t xml:space="preserve">$3.4 billion equity </w:t>
      </w:r>
      <w:r w:rsidR="009C2E56">
        <w:rPr>
          <w:rFonts w:ascii="Georgia" w:hAnsi="Georgia"/>
          <w:sz w:val="24"/>
          <w:szCs w:val="24"/>
        </w:rPr>
        <w:t xml:space="preserve">investment consisting of a </w:t>
      </w:r>
      <w:r w:rsidR="00C21AF3">
        <w:rPr>
          <w:rFonts w:ascii="Georgia" w:hAnsi="Georgia"/>
          <w:sz w:val="24"/>
          <w:szCs w:val="24"/>
        </w:rPr>
        <w:t xml:space="preserve">$1 billion </w:t>
      </w:r>
      <w:r w:rsidR="009C2E56">
        <w:rPr>
          <w:rFonts w:ascii="Georgia" w:hAnsi="Georgia"/>
          <w:sz w:val="24"/>
          <w:szCs w:val="24"/>
        </w:rPr>
        <w:t xml:space="preserve">private </w:t>
      </w:r>
      <w:r w:rsidR="00F4247F">
        <w:rPr>
          <w:rFonts w:ascii="Georgia" w:hAnsi="Georgia"/>
          <w:sz w:val="24"/>
          <w:szCs w:val="24"/>
        </w:rPr>
        <w:t>stock sale</w:t>
      </w:r>
      <w:r w:rsidR="009C2E56" w:rsidRPr="002D70E7">
        <w:rPr>
          <w:rFonts w:ascii="Georgia" w:hAnsi="Georgia"/>
          <w:sz w:val="24"/>
          <w:szCs w:val="24"/>
        </w:rPr>
        <w:t xml:space="preserve"> to Blackstone and </w:t>
      </w:r>
      <w:r w:rsidR="00F4247F">
        <w:rPr>
          <w:rFonts w:ascii="Georgia" w:hAnsi="Georgia"/>
          <w:sz w:val="24"/>
          <w:szCs w:val="24"/>
        </w:rPr>
        <w:t>the relinquishment of</w:t>
      </w:r>
      <w:r w:rsidR="00C21AF3">
        <w:rPr>
          <w:rFonts w:ascii="Georgia" w:hAnsi="Georgia"/>
          <w:sz w:val="24"/>
          <w:szCs w:val="24"/>
        </w:rPr>
        <w:t xml:space="preserve"> a</w:t>
      </w:r>
      <w:r w:rsidR="009C2E56" w:rsidRPr="002D70E7">
        <w:rPr>
          <w:rFonts w:ascii="Georgia" w:hAnsi="Georgia"/>
          <w:sz w:val="24"/>
          <w:szCs w:val="24"/>
        </w:rPr>
        <w:t xml:space="preserve"> 19.9% stake in </w:t>
      </w:r>
      <w:r w:rsidR="00C21AF3">
        <w:rPr>
          <w:rFonts w:ascii="Georgia" w:hAnsi="Georgia"/>
          <w:sz w:val="24"/>
          <w:szCs w:val="24"/>
        </w:rPr>
        <w:t>FirstEnergy Transmission</w:t>
      </w:r>
      <w:r w:rsidR="009C2E56" w:rsidRPr="002D70E7">
        <w:rPr>
          <w:rFonts w:ascii="Georgia" w:hAnsi="Georgia"/>
          <w:sz w:val="24"/>
          <w:szCs w:val="24"/>
        </w:rPr>
        <w:t xml:space="preserve"> </w:t>
      </w:r>
      <w:r w:rsidR="00CF6E99">
        <w:rPr>
          <w:rFonts w:ascii="Georgia" w:hAnsi="Georgia"/>
          <w:sz w:val="24"/>
          <w:szCs w:val="24"/>
        </w:rPr>
        <w:t xml:space="preserve">to Brookfield </w:t>
      </w:r>
      <w:r w:rsidR="009C2E56" w:rsidRPr="002D70E7">
        <w:rPr>
          <w:rFonts w:ascii="Georgia" w:hAnsi="Georgia"/>
          <w:sz w:val="24"/>
          <w:szCs w:val="24"/>
        </w:rPr>
        <w:t>for $2.4 billion.</w:t>
      </w:r>
      <w:r w:rsidR="00C21AF3">
        <w:rPr>
          <w:rFonts w:ascii="Georgia" w:hAnsi="Georgia"/>
          <w:sz w:val="24"/>
          <w:szCs w:val="24"/>
        </w:rPr>
        <w:t xml:space="preserve"> In exchange, FirstEnergy is providing control over one seat on its board of directors to Blackstone, despite</w:t>
      </w:r>
      <w:r w:rsidR="00CF6E99">
        <w:rPr>
          <w:rFonts w:ascii="Georgia" w:hAnsi="Georgia"/>
          <w:sz w:val="24"/>
          <w:szCs w:val="24"/>
        </w:rPr>
        <w:t xml:space="preserve"> the fact that the private stock sale</w:t>
      </w:r>
      <w:r w:rsidR="000C2759">
        <w:rPr>
          <w:rFonts w:ascii="Georgia" w:hAnsi="Georgia"/>
          <w:sz w:val="24"/>
          <w:szCs w:val="24"/>
        </w:rPr>
        <w:t xml:space="preserve"> (known as a </w:t>
      </w:r>
      <w:r w:rsidR="000C2759" w:rsidRPr="000C2759">
        <w:rPr>
          <w:rFonts w:ascii="Georgia" w:hAnsi="Georgia"/>
          <w:sz w:val="24"/>
          <w:szCs w:val="24"/>
        </w:rPr>
        <w:t xml:space="preserve">Private </w:t>
      </w:r>
      <w:r w:rsidR="000C2759">
        <w:rPr>
          <w:rFonts w:ascii="Georgia" w:hAnsi="Georgia"/>
          <w:sz w:val="24"/>
          <w:szCs w:val="24"/>
        </w:rPr>
        <w:t>I</w:t>
      </w:r>
      <w:r w:rsidR="000C2759" w:rsidRPr="000C2759">
        <w:rPr>
          <w:rFonts w:ascii="Georgia" w:hAnsi="Georgia"/>
          <w:sz w:val="24"/>
          <w:szCs w:val="24"/>
        </w:rPr>
        <w:t xml:space="preserve">nvestment in </w:t>
      </w:r>
      <w:r w:rsidR="000C2759">
        <w:rPr>
          <w:rFonts w:ascii="Georgia" w:hAnsi="Georgia"/>
          <w:sz w:val="24"/>
          <w:szCs w:val="24"/>
        </w:rPr>
        <w:t>P</w:t>
      </w:r>
      <w:r w:rsidR="000C2759" w:rsidRPr="000C2759">
        <w:rPr>
          <w:rFonts w:ascii="Georgia" w:hAnsi="Georgia"/>
          <w:sz w:val="24"/>
          <w:szCs w:val="24"/>
        </w:rPr>
        <w:t xml:space="preserve">ublic </w:t>
      </w:r>
      <w:r w:rsidR="000C2759">
        <w:rPr>
          <w:rFonts w:ascii="Georgia" w:hAnsi="Georgia"/>
          <w:sz w:val="24"/>
          <w:szCs w:val="24"/>
        </w:rPr>
        <w:t>E</w:t>
      </w:r>
      <w:r w:rsidR="000C2759" w:rsidRPr="000C2759">
        <w:rPr>
          <w:rFonts w:ascii="Georgia" w:hAnsi="Georgia"/>
          <w:sz w:val="24"/>
          <w:szCs w:val="24"/>
        </w:rPr>
        <w:t>quity</w:t>
      </w:r>
      <w:r w:rsidR="000C2759">
        <w:rPr>
          <w:rFonts w:ascii="Georgia" w:hAnsi="Georgia"/>
          <w:sz w:val="24"/>
          <w:szCs w:val="24"/>
        </w:rPr>
        <w:t>, or PIPE)</w:t>
      </w:r>
      <w:r w:rsidR="0091751C">
        <w:rPr>
          <w:rFonts w:ascii="Georgia" w:hAnsi="Georgia"/>
          <w:sz w:val="24"/>
          <w:szCs w:val="24"/>
        </w:rPr>
        <w:t xml:space="preserve"> results in Blackstone controlling</w:t>
      </w:r>
      <w:r w:rsidR="00CF6E99">
        <w:rPr>
          <w:rFonts w:ascii="Georgia" w:hAnsi="Georgia"/>
          <w:sz w:val="24"/>
          <w:szCs w:val="24"/>
        </w:rPr>
        <w:t xml:space="preserve"> less than 10%</w:t>
      </w:r>
      <w:r w:rsidR="0091751C">
        <w:rPr>
          <w:rFonts w:ascii="Georgia" w:hAnsi="Georgia"/>
          <w:sz w:val="24"/>
          <w:szCs w:val="24"/>
        </w:rPr>
        <w:t xml:space="preserve"> of the company.</w:t>
      </w:r>
      <w:r w:rsidR="00CF6E99">
        <w:rPr>
          <w:rFonts w:ascii="Georgia" w:hAnsi="Georgia"/>
          <w:sz w:val="24"/>
          <w:szCs w:val="24"/>
        </w:rPr>
        <w:t xml:space="preserve"> </w:t>
      </w:r>
      <w:r w:rsidR="00576972">
        <w:rPr>
          <w:rFonts w:ascii="Georgia" w:hAnsi="Georgia"/>
          <w:sz w:val="24"/>
          <w:szCs w:val="24"/>
        </w:rPr>
        <w:t xml:space="preserve">The </w:t>
      </w:r>
      <w:r w:rsidR="00C26AD2">
        <w:rPr>
          <w:rFonts w:ascii="Georgia" w:hAnsi="Georgia"/>
          <w:sz w:val="24"/>
          <w:szCs w:val="24"/>
        </w:rPr>
        <w:t>PIPE</w:t>
      </w:r>
      <w:r w:rsidR="009369C7">
        <w:rPr>
          <w:rFonts w:ascii="Georgia" w:hAnsi="Georgia"/>
          <w:sz w:val="24"/>
          <w:szCs w:val="24"/>
        </w:rPr>
        <w:t>—</w:t>
      </w:r>
      <w:r w:rsidR="009369C7" w:rsidRPr="009369C7">
        <w:t xml:space="preserve"> </w:t>
      </w:r>
      <w:r w:rsidR="009369C7" w:rsidRPr="009369C7">
        <w:rPr>
          <w:rFonts w:ascii="Georgia" w:hAnsi="Georgia"/>
          <w:sz w:val="24"/>
          <w:szCs w:val="24"/>
        </w:rPr>
        <w:t>J.P. Morgan Chase &amp; Co.</w:t>
      </w:r>
      <w:r w:rsidR="00FB5081">
        <w:rPr>
          <w:rFonts w:ascii="Georgia" w:hAnsi="Georgia"/>
          <w:sz w:val="24"/>
          <w:szCs w:val="24"/>
        </w:rPr>
        <w:t xml:space="preserve"> served as </w:t>
      </w:r>
      <w:r w:rsidR="00FB5081" w:rsidRPr="002D70E7">
        <w:rPr>
          <w:rFonts w:ascii="Georgia" w:hAnsi="Georgia"/>
          <w:sz w:val="24"/>
          <w:szCs w:val="24"/>
        </w:rPr>
        <w:t>the placement agent</w:t>
      </w:r>
      <w:r w:rsidR="00FB3C7A">
        <w:rPr>
          <w:rFonts w:ascii="Georgia" w:hAnsi="Georgia"/>
          <w:sz w:val="24"/>
          <w:szCs w:val="24"/>
        </w:rPr>
        <w:t>—</w:t>
      </w:r>
      <w:r w:rsidR="00576972">
        <w:rPr>
          <w:rFonts w:ascii="Georgia" w:hAnsi="Georgia"/>
          <w:sz w:val="24"/>
          <w:szCs w:val="24"/>
        </w:rPr>
        <w:t xml:space="preserve">provided Blackstone with </w:t>
      </w:r>
      <w:r w:rsidR="00576972" w:rsidRPr="00576972">
        <w:rPr>
          <w:rFonts w:ascii="Georgia" w:hAnsi="Georgia"/>
          <w:sz w:val="24"/>
          <w:szCs w:val="24"/>
        </w:rPr>
        <w:t>25,588,535 shares at a price of $39.08 per share</w:t>
      </w:r>
      <w:r w:rsidR="00576972">
        <w:rPr>
          <w:rFonts w:ascii="Georgia" w:hAnsi="Georgia"/>
          <w:sz w:val="24"/>
          <w:szCs w:val="24"/>
        </w:rPr>
        <w:t xml:space="preserve">. </w:t>
      </w:r>
      <w:r w:rsidR="008F4FF5">
        <w:rPr>
          <w:rFonts w:ascii="Georgia" w:hAnsi="Georgia"/>
          <w:sz w:val="24"/>
          <w:szCs w:val="24"/>
        </w:rPr>
        <w:t xml:space="preserve">With FirstEnergy’s stock closing yesterday (January 25, 2022) at </w:t>
      </w:r>
      <w:r w:rsidR="0039279F">
        <w:rPr>
          <w:rFonts w:ascii="Georgia" w:hAnsi="Georgia"/>
          <w:sz w:val="24"/>
          <w:szCs w:val="24"/>
        </w:rPr>
        <w:t>$41.32, Blackstone has already earned more than $57 million</w:t>
      </w:r>
      <w:r w:rsidR="00BC2700">
        <w:rPr>
          <w:rFonts w:ascii="Georgia" w:hAnsi="Georgia"/>
          <w:sz w:val="24"/>
          <w:szCs w:val="24"/>
        </w:rPr>
        <w:t xml:space="preserve"> on its privately negotiated deal with FirstEnergy</w:t>
      </w:r>
      <w:r w:rsidR="0039279F">
        <w:rPr>
          <w:rFonts w:ascii="Georgia" w:hAnsi="Georgia"/>
          <w:sz w:val="24"/>
          <w:szCs w:val="24"/>
        </w:rPr>
        <w:t>.</w:t>
      </w:r>
      <w:r w:rsidR="003D28F5">
        <w:rPr>
          <w:rFonts w:ascii="Georgia" w:hAnsi="Georgia"/>
          <w:sz w:val="24"/>
          <w:szCs w:val="24"/>
        </w:rPr>
        <w:t xml:space="preserve"> </w:t>
      </w:r>
    </w:p>
    <w:p w14:paraId="101559E5" w14:textId="3A4A1FB3" w:rsidR="0064434E" w:rsidRDefault="00142FCE" w:rsidP="0059777F">
      <w:pPr>
        <w:spacing w:after="0"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The Finance Committee of FirstEnergy’s Board of Directors played a key role in recruiting both Blackstone and Brookfield</w:t>
      </w:r>
      <w:r w:rsidR="00DC0C0C">
        <w:rPr>
          <w:rFonts w:ascii="Georgia" w:hAnsi="Georgia"/>
          <w:sz w:val="24"/>
          <w:szCs w:val="24"/>
        </w:rPr>
        <w:t>, and</w:t>
      </w:r>
      <w:r w:rsidR="00C50BE5">
        <w:rPr>
          <w:rFonts w:ascii="Georgia" w:hAnsi="Georgia"/>
          <w:sz w:val="24"/>
          <w:szCs w:val="24"/>
        </w:rPr>
        <w:t xml:space="preserve"> in</w:t>
      </w:r>
      <w:r w:rsidR="00DC0C0C">
        <w:rPr>
          <w:rFonts w:ascii="Georgia" w:hAnsi="Georgia"/>
          <w:sz w:val="24"/>
          <w:szCs w:val="24"/>
        </w:rPr>
        <w:t xml:space="preserve"> negotiat</w:t>
      </w:r>
      <w:r w:rsidR="00C50BE5">
        <w:rPr>
          <w:rFonts w:ascii="Georgia" w:hAnsi="Georgia"/>
          <w:sz w:val="24"/>
          <w:szCs w:val="24"/>
        </w:rPr>
        <w:t>ing the deal</w:t>
      </w:r>
      <w:r w:rsidR="006A1CAC">
        <w:rPr>
          <w:rFonts w:ascii="Georgia" w:hAnsi="Georgia"/>
          <w:sz w:val="24"/>
          <w:szCs w:val="24"/>
        </w:rPr>
        <w:t>.</w:t>
      </w:r>
      <w:r w:rsidR="003D2B3F">
        <w:rPr>
          <w:rFonts w:ascii="Georgia" w:hAnsi="Georgia"/>
          <w:sz w:val="24"/>
          <w:szCs w:val="24"/>
        </w:rPr>
        <w:t xml:space="preserve"> </w:t>
      </w:r>
      <w:r w:rsidR="003D2B3F" w:rsidRPr="003D2B3F">
        <w:rPr>
          <w:rFonts w:ascii="Georgia" w:hAnsi="Georgia"/>
          <w:sz w:val="24"/>
          <w:szCs w:val="24"/>
        </w:rPr>
        <w:t>Andrew Teno</w:t>
      </w:r>
      <w:r w:rsidR="003D2B3F">
        <w:rPr>
          <w:rFonts w:ascii="Georgia" w:hAnsi="Georgia"/>
          <w:sz w:val="24"/>
          <w:szCs w:val="24"/>
        </w:rPr>
        <w:t xml:space="preserve">, </w:t>
      </w:r>
      <w:r w:rsidR="00290C3C">
        <w:rPr>
          <w:rFonts w:ascii="Georgia" w:hAnsi="Georgia"/>
          <w:sz w:val="24"/>
          <w:szCs w:val="24"/>
        </w:rPr>
        <w:t xml:space="preserve">an executive </w:t>
      </w:r>
      <w:r w:rsidR="00D20723">
        <w:rPr>
          <w:rFonts w:ascii="Georgia" w:hAnsi="Georgia"/>
          <w:sz w:val="24"/>
          <w:szCs w:val="24"/>
        </w:rPr>
        <w:t xml:space="preserve">for affiliates of Icahn Enterprises, </w:t>
      </w:r>
      <w:r w:rsidR="003D2B3F">
        <w:rPr>
          <w:rFonts w:ascii="Georgia" w:hAnsi="Georgia"/>
          <w:sz w:val="24"/>
          <w:szCs w:val="24"/>
        </w:rPr>
        <w:t xml:space="preserve">serves as a voting member of that Committee, </w:t>
      </w:r>
      <w:r w:rsidR="00A95245">
        <w:rPr>
          <w:rFonts w:ascii="Georgia" w:hAnsi="Georgia"/>
          <w:sz w:val="24"/>
          <w:szCs w:val="24"/>
        </w:rPr>
        <w:t>courtesy of</w:t>
      </w:r>
      <w:r w:rsidR="003D2B3F">
        <w:rPr>
          <w:rFonts w:ascii="Georgia" w:hAnsi="Georgia"/>
          <w:sz w:val="24"/>
          <w:szCs w:val="24"/>
        </w:rPr>
        <w:t xml:space="preserve"> a recent </w:t>
      </w:r>
      <w:r w:rsidR="00C50BE5">
        <w:rPr>
          <w:rFonts w:ascii="Georgia" w:hAnsi="Georgia"/>
          <w:sz w:val="24"/>
          <w:szCs w:val="24"/>
        </w:rPr>
        <w:t>Commission</w:t>
      </w:r>
      <w:r w:rsidR="00C50BE5">
        <w:rPr>
          <w:rFonts w:ascii="Georgia" w:hAnsi="Georgia"/>
          <w:sz w:val="24"/>
          <w:szCs w:val="24"/>
        </w:rPr>
        <w:t xml:space="preserve"> </w:t>
      </w:r>
      <w:r w:rsidR="003D2B3F">
        <w:rPr>
          <w:rFonts w:ascii="Georgia" w:hAnsi="Georgia"/>
          <w:sz w:val="24"/>
          <w:szCs w:val="24"/>
        </w:rPr>
        <w:t>order.</w:t>
      </w:r>
      <w:r w:rsidR="00CB7806">
        <w:rPr>
          <w:rStyle w:val="FootnoteReference"/>
          <w:rFonts w:ascii="Georgia" w:hAnsi="Georgia"/>
          <w:sz w:val="24"/>
          <w:szCs w:val="24"/>
        </w:rPr>
        <w:footnoteReference w:id="5"/>
      </w:r>
    </w:p>
    <w:p w14:paraId="3EAB83CA" w14:textId="09B6711D" w:rsidR="005040C4" w:rsidRDefault="002F48CB" w:rsidP="0059777F">
      <w:pPr>
        <w:spacing w:after="0"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role that activist investor Carl Icahn played in recruiting and negotiating a PIPE deal with Blackstone raise </w:t>
      </w:r>
      <w:r w:rsidR="002B771B">
        <w:rPr>
          <w:rFonts w:ascii="Georgia" w:hAnsi="Georgia"/>
          <w:sz w:val="24"/>
          <w:szCs w:val="24"/>
        </w:rPr>
        <w:t>concerns</w:t>
      </w:r>
      <w:r w:rsidR="00ED0BFA">
        <w:rPr>
          <w:rFonts w:ascii="Georgia" w:hAnsi="Georgia"/>
          <w:sz w:val="24"/>
          <w:szCs w:val="24"/>
        </w:rPr>
        <w:t xml:space="preserve"> about whether the two </w:t>
      </w:r>
      <w:r w:rsidR="005C179D">
        <w:rPr>
          <w:rFonts w:ascii="Georgia" w:hAnsi="Georgia"/>
          <w:sz w:val="24"/>
          <w:szCs w:val="24"/>
        </w:rPr>
        <w:t>activists</w:t>
      </w:r>
      <w:r w:rsidR="00ED0BFA">
        <w:rPr>
          <w:rFonts w:ascii="Georgia" w:hAnsi="Georgia"/>
          <w:sz w:val="24"/>
          <w:szCs w:val="24"/>
        </w:rPr>
        <w:t xml:space="preserve"> h</w:t>
      </w:r>
      <w:r w:rsidR="00716402">
        <w:rPr>
          <w:rFonts w:ascii="Georgia" w:hAnsi="Georgia"/>
          <w:sz w:val="24"/>
          <w:szCs w:val="24"/>
        </w:rPr>
        <w:t>ave conspired to control FirstEnergy</w:t>
      </w:r>
      <w:r w:rsidR="0067189A">
        <w:rPr>
          <w:rFonts w:ascii="Georgia" w:hAnsi="Georgia"/>
          <w:sz w:val="24"/>
          <w:szCs w:val="24"/>
        </w:rPr>
        <w:t xml:space="preserve">. </w:t>
      </w:r>
      <w:r w:rsidR="00036C80">
        <w:rPr>
          <w:rFonts w:ascii="Georgia" w:hAnsi="Georgia"/>
          <w:sz w:val="24"/>
          <w:szCs w:val="24"/>
        </w:rPr>
        <w:t xml:space="preserve">While Blackstone and </w:t>
      </w:r>
      <w:r w:rsidR="00C413D4">
        <w:rPr>
          <w:rFonts w:ascii="Georgia" w:hAnsi="Georgia"/>
          <w:sz w:val="24"/>
          <w:szCs w:val="24"/>
        </w:rPr>
        <w:t>Icahn</w:t>
      </w:r>
      <w:r w:rsidR="00C0593B">
        <w:rPr>
          <w:rFonts w:ascii="Georgia" w:hAnsi="Georgia"/>
          <w:sz w:val="24"/>
          <w:szCs w:val="24"/>
        </w:rPr>
        <w:t xml:space="preserve"> </w:t>
      </w:r>
      <w:r w:rsidR="009D7071">
        <w:rPr>
          <w:rFonts w:ascii="Georgia" w:hAnsi="Georgia"/>
          <w:sz w:val="24"/>
          <w:szCs w:val="24"/>
        </w:rPr>
        <w:t xml:space="preserve">individually control less than 10% of </w:t>
      </w:r>
      <w:r w:rsidR="00F74415">
        <w:rPr>
          <w:rFonts w:ascii="Georgia" w:hAnsi="Georgia"/>
          <w:sz w:val="24"/>
          <w:szCs w:val="24"/>
        </w:rPr>
        <w:t xml:space="preserve">FirstEnergy’s </w:t>
      </w:r>
      <w:r w:rsidR="009D7071">
        <w:rPr>
          <w:rFonts w:ascii="Georgia" w:hAnsi="Georgia"/>
          <w:sz w:val="24"/>
          <w:szCs w:val="24"/>
        </w:rPr>
        <w:t>voting shares,</w:t>
      </w:r>
      <w:r w:rsidR="00E366DD">
        <w:rPr>
          <w:rFonts w:ascii="Georgia" w:hAnsi="Georgia"/>
          <w:sz w:val="24"/>
          <w:szCs w:val="24"/>
        </w:rPr>
        <w:t xml:space="preserve"> any collusive agreement between the two activist investors would </w:t>
      </w:r>
      <w:r w:rsidR="00F74415">
        <w:rPr>
          <w:rFonts w:ascii="Georgia" w:hAnsi="Georgia"/>
          <w:sz w:val="24"/>
          <w:szCs w:val="24"/>
        </w:rPr>
        <w:t xml:space="preserve">result in </w:t>
      </w:r>
      <w:r w:rsidR="00BE799A">
        <w:rPr>
          <w:rFonts w:ascii="Georgia" w:hAnsi="Georgia"/>
          <w:sz w:val="24"/>
          <w:szCs w:val="24"/>
        </w:rPr>
        <w:t xml:space="preserve">combined </w:t>
      </w:r>
      <w:r w:rsidR="00503A27">
        <w:rPr>
          <w:rFonts w:ascii="Georgia" w:hAnsi="Georgia"/>
          <w:sz w:val="24"/>
          <w:szCs w:val="24"/>
        </w:rPr>
        <w:t xml:space="preserve">control of over 10%, </w:t>
      </w:r>
      <w:r w:rsidR="008A38AE">
        <w:rPr>
          <w:rFonts w:ascii="Georgia" w:hAnsi="Georgia"/>
          <w:sz w:val="24"/>
          <w:szCs w:val="24"/>
        </w:rPr>
        <w:t>triggering</w:t>
      </w:r>
      <w:r w:rsidR="00BE799A">
        <w:rPr>
          <w:rFonts w:ascii="Georgia" w:hAnsi="Georgia"/>
          <w:sz w:val="24"/>
          <w:szCs w:val="24"/>
        </w:rPr>
        <w:t xml:space="preserve"> the Commission’s affiliation threshold</w:t>
      </w:r>
      <w:r w:rsidR="00D53232">
        <w:rPr>
          <w:rFonts w:ascii="Georgia" w:hAnsi="Georgia"/>
          <w:sz w:val="24"/>
          <w:szCs w:val="24"/>
        </w:rPr>
        <w:t xml:space="preserve"> per </w:t>
      </w:r>
      <w:r w:rsidR="00D53232" w:rsidRPr="0099207C">
        <w:rPr>
          <w:rFonts w:ascii="Georgia" w:hAnsi="Georgia"/>
          <w:sz w:val="24"/>
          <w:szCs w:val="24"/>
        </w:rPr>
        <w:t>18 CFR § 35.36(a)(9)(iii)</w:t>
      </w:r>
      <w:r w:rsidR="00BE799A">
        <w:rPr>
          <w:rFonts w:ascii="Georgia" w:hAnsi="Georgia"/>
          <w:sz w:val="24"/>
          <w:szCs w:val="24"/>
        </w:rPr>
        <w:t xml:space="preserve">. </w:t>
      </w:r>
      <w:r w:rsidR="00D70D95">
        <w:rPr>
          <w:rFonts w:ascii="Georgia" w:hAnsi="Georgia"/>
          <w:sz w:val="24"/>
          <w:szCs w:val="24"/>
        </w:rPr>
        <w:t xml:space="preserve">The Commission cannot approve the proposed Blackstone transaction until </w:t>
      </w:r>
      <w:r w:rsidR="00B127AA">
        <w:rPr>
          <w:rFonts w:ascii="Georgia" w:hAnsi="Georgia"/>
          <w:sz w:val="24"/>
          <w:szCs w:val="24"/>
        </w:rPr>
        <w:t xml:space="preserve">authorized representatives for both Icahn and Blackstone </w:t>
      </w:r>
      <w:r w:rsidR="00637936">
        <w:rPr>
          <w:rFonts w:ascii="Georgia" w:hAnsi="Georgia"/>
          <w:sz w:val="24"/>
          <w:szCs w:val="24"/>
        </w:rPr>
        <w:t xml:space="preserve">provide documentation of any formal or informal agreements </w:t>
      </w:r>
      <w:r w:rsidR="0052475F">
        <w:rPr>
          <w:rFonts w:ascii="Georgia" w:hAnsi="Georgia"/>
          <w:sz w:val="24"/>
          <w:szCs w:val="24"/>
        </w:rPr>
        <w:t xml:space="preserve">that exist regarding their </w:t>
      </w:r>
      <w:r w:rsidR="00755BC1">
        <w:rPr>
          <w:rFonts w:ascii="Georgia" w:hAnsi="Georgia"/>
          <w:sz w:val="24"/>
          <w:szCs w:val="24"/>
        </w:rPr>
        <w:t>interests in FirstEnergy</w:t>
      </w:r>
      <w:r w:rsidR="009D2212">
        <w:rPr>
          <w:rFonts w:ascii="Georgia" w:hAnsi="Georgia"/>
          <w:sz w:val="24"/>
          <w:szCs w:val="24"/>
        </w:rPr>
        <w:t xml:space="preserve">. </w:t>
      </w:r>
      <w:r w:rsidR="009E59CE">
        <w:rPr>
          <w:rFonts w:ascii="Georgia" w:hAnsi="Georgia"/>
          <w:sz w:val="24"/>
          <w:szCs w:val="24"/>
        </w:rPr>
        <w:t xml:space="preserve"> </w:t>
      </w:r>
    </w:p>
    <w:p w14:paraId="1E697D80" w14:textId="2BD89182" w:rsidR="00105295" w:rsidRDefault="00105295" w:rsidP="0059777F">
      <w:pPr>
        <w:spacing w:after="0"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 calculating whether Blackstone and Icahn control 10% or more of FirstEnergy, </w:t>
      </w:r>
      <w:r w:rsidR="00BF311B">
        <w:rPr>
          <w:rFonts w:ascii="Georgia" w:hAnsi="Georgia"/>
          <w:sz w:val="24"/>
          <w:szCs w:val="24"/>
        </w:rPr>
        <w:t xml:space="preserve">it is essential that the Commission include the use of </w:t>
      </w:r>
      <w:r w:rsidR="00AD6038">
        <w:rPr>
          <w:rFonts w:ascii="Georgia" w:hAnsi="Georgia"/>
          <w:sz w:val="24"/>
          <w:szCs w:val="24"/>
        </w:rPr>
        <w:t>derivatives</w:t>
      </w:r>
      <w:r w:rsidR="00BF311B">
        <w:rPr>
          <w:rFonts w:ascii="Georgia" w:hAnsi="Georgia"/>
          <w:sz w:val="24"/>
          <w:szCs w:val="24"/>
        </w:rPr>
        <w:t>—</w:t>
      </w:r>
      <w:r w:rsidR="0094121E">
        <w:rPr>
          <w:rFonts w:ascii="Georgia" w:hAnsi="Georgia"/>
          <w:sz w:val="24"/>
          <w:szCs w:val="24"/>
        </w:rPr>
        <w:t xml:space="preserve">such as </w:t>
      </w:r>
      <w:r w:rsidR="0094121E" w:rsidRPr="002D70E7">
        <w:rPr>
          <w:rFonts w:ascii="Georgia" w:hAnsi="Georgia"/>
          <w:sz w:val="24"/>
          <w:szCs w:val="24"/>
        </w:rPr>
        <w:t>total return swaps</w:t>
      </w:r>
      <w:r w:rsidR="000B3CD4">
        <w:rPr>
          <w:rFonts w:ascii="Georgia" w:hAnsi="Georgia"/>
          <w:sz w:val="24"/>
          <w:szCs w:val="24"/>
        </w:rPr>
        <w:t xml:space="preserve"> or </w:t>
      </w:r>
      <w:r w:rsidR="000B3CD4" w:rsidRPr="000B3CD4">
        <w:rPr>
          <w:rFonts w:ascii="Georgia" w:hAnsi="Georgia"/>
          <w:sz w:val="24"/>
          <w:szCs w:val="24"/>
        </w:rPr>
        <w:t>funded equity collar</w:t>
      </w:r>
      <w:r w:rsidR="000B3CD4">
        <w:rPr>
          <w:rFonts w:ascii="Georgia" w:hAnsi="Georgia"/>
          <w:sz w:val="24"/>
          <w:szCs w:val="24"/>
        </w:rPr>
        <w:t>s</w:t>
      </w:r>
      <w:r w:rsidR="000B3CD4" w:rsidRPr="000B3CD4">
        <w:rPr>
          <w:rFonts w:ascii="Georgia" w:hAnsi="Georgia"/>
          <w:sz w:val="24"/>
          <w:szCs w:val="24"/>
        </w:rPr>
        <w:t xml:space="preserve"> </w:t>
      </w:r>
      <w:r w:rsidR="0094121E">
        <w:rPr>
          <w:rFonts w:ascii="Georgia" w:hAnsi="Georgia"/>
          <w:sz w:val="24"/>
          <w:szCs w:val="24"/>
        </w:rPr>
        <w:t xml:space="preserve">—that activist investors frequently utilize to amplify their financial influence over a </w:t>
      </w:r>
      <w:r w:rsidR="00461168">
        <w:rPr>
          <w:rFonts w:ascii="Georgia" w:hAnsi="Georgia"/>
          <w:sz w:val="24"/>
          <w:szCs w:val="24"/>
        </w:rPr>
        <w:t>public utility in excess of actual stock ownership.</w:t>
      </w:r>
      <w:r w:rsidR="009E706E">
        <w:rPr>
          <w:rFonts w:ascii="Georgia" w:hAnsi="Georgia"/>
          <w:sz w:val="24"/>
          <w:szCs w:val="24"/>
        </w:rPr>
        <w:t xml:space="preserve"> Use of such derivative instruments by activist investors is </w:t>
      </w:r>
      <w:r w:rsidR="004951AF">
        <w:rPr>
          <w:rFonts w:ascii="Georgia" w:hAnsi="Georgia"/>
          <w:sz w:val="24"/>
          <w:szCs w:val="24"/>
        </w:rPr>
        <w:t xml:space="preserve">widespread, and a successful means of </w:t>
      </w:r>
      <w:r w:rsidR="00F509CA">
        <w:rPr>
          <w:rFonts w:ascii="Georgia" w:hAnsi="Georgia"/>
          <w:sz w:val="24"/>
          <w:szCs w:val="24"/>
        </w:rPr>
        <w:t>exerting</w:t>
      </w:r>
      <w:r w:rsidR="004951AF">
        <w:rPr>
          <w:rFonts w:ascii="Georgia" w:hAnsi="Georgia"/>
          <w:sz w:val="24"/>
          <w:szCs w:val="24"/>
        </w:rPr>
        <w:t xml:space="preserve"> economic influence over a target company’s management without the hassle of regulatory compliance.</w:t>
      </w:r>
    </w:p>
    <w:p w14:paraId="6FE8AA7A" w14:textId="2E52E3CC" w:rsidR="00F84FA8" w:rsidRDefault="00F84FA8" w:rsidP="00F509CA">
      <w:pPr>
        <w:spacing w:after="0" w:line="360" w:lineRule="auto"/>
        <w:rPr>
          <w:rFonts w:ascii="Georgia" w:hAnsi="Georgia"/>
          <w:sz w:val="24"/>
          <w:szCs w:val="24"/>
        </w:rPr>
      </w:pPr>
    </w:p>
    <w:p w14:paraId="56179D64" w14:textId="14CD0B5C" w:rsidR="00F509CA" w:rsidRPr="00CC03C3" w:rsidRDefault="00F509CA" w:rsidP="00773507">
      <w:pPr>
        <w:spacing w:after="0" w:line="36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CC03C3">
        <w:rPr>
          <w:rFonts w:ascii="Georgia" w:hAnsi="Georgia"/>
          <w:b/>
          <w:bCs/>
          <w:sz w:val="24"/>
          <w:szCs w:val="24"/>
        </w:rPr>
        <w:t>Conclusion</w:t>
      </w:r>
    </w:p>
    <w:p w14:paraId="4F751FA7" w14:textId="570FD825" w:rsidR="00F509CA" w:rsidRDefault="00F509CA" w:rsidP="00F509CA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A801D4">
        <w:rPr>
          <w:rFonts w:ascii="Georgia" w:hAnsi="Georgia"/>
          <w:sz w:val="24"/>
          <w:szCs w:val="24"/>
        </w:rPr>
        <w:t>The Finance Committee of FirstEnergy’s Board of Directors, which includes an Icahn Enterprises</w:t>
      </w:r>
      <w:r w:rsidR="00B64612">
        <w:rPr>
          <w:rFonts w:ascii="Georgia" w:hAnsi="Georgia"/>
          <w:sz w:val="24"/>
          <w:szCs w:val="24"/>
        </w:rPr>
        <w:t xml:space="preserve"> executive as a voting member, helped </w:t>
      </w:r>
      <w:r w:rsidR="00F53D7B">
        <w:rPr>
          <w:rFonts w:ascii="Georgia" w:hAnsi="Georgia"/>
          <w:sz w:val="24"/>
          <w:szCs w:val="24"/>
        </w:rPr>
        <w:t>negotiate</w:t>
      </w:r>
      <w:r w:rsidR="00B64612">
        <w:rPr>
          <w:rFonts w:ascii="Georgia" w:hAnsi="Georgia"/>
          <w:sz w:val="24"/>
          <w:szCs w:val="24"/>
        </w:rPr>
        <w:t xml:space="preserve"> </w:t>
      </w:r>
      <w:r w:rsidR="008245BE">
        <w:rPr>
          <w:rFonts w:ascii="Georgia" w:hAnsi="Georgia"/>
          <w:sz w:val="24"/>
          <w:szCs w:val="24"/>
        </w:rPr>
        <w:t>simultaneous</w:t>
      </w:r>
      <w:r w:rsidR="00B64612">
        <w:rPr>
          <w:rFonts w:ascii="Georgia" w:hAnsi="Georgia"/>
          <w:sz w:val="24"/>
          <w:szCs w:val="24"/>
        </w:rPr>
        <w:t xml:space="preserve"> private investment deals with Blackstone and Brookfield. </w:t>
      </w:r>
      <w:r w:rsidR="00AA1480">
        <w:rPr>
          <w:rFonts w:ascii="Georgia" w:hAnsi="Georgia"/>
          <w:sz w:val="24"/>
          <w:szCs w:val="24"/>
        </w:rPr>
        <w:t xml:space="preserve">Both Blackstone and Brookfield </w:t>
      </w:r>
      <w:r w:rsidR="00F53D7B">
        <w:rPr>
          <w:rFonts w:ascii="Georgia" w:hAnsi="Georgia"/>
          <w:sz w:val="24"/>
          <w:szCs w:val="24"/>
        </w:rPr>
        <w:t>secured</w:t>
      </w:r>
      <w:r w:rsidR="00AA1480">
        <w:rPr>
          <w:rFonts w:ascii="Georgia" w:hAnsi="Georgia"/>
          <w:sz w:val="24"/>
          <w:szCs w:val="24"/>
        </w:rPr>
        <w:t xml:space="preserve"> voting rights on the boards of FirstEnergy companies as a condition of their privately-negotiated investments. </w:t>
      </w:r>
      <w:r w:rsidR="00773507">
        <w:rPr>
          <w:rFonts w:ascii="Georgia" w:hAnsi="Georgia"/>
          <w:sz w:val="24"/>
          <w:szCs w:val="24"/>
        </w:rPr>
        <w:t xml:space="preserve">Public Citizen has </w:t>
      </w:r>
      <w:r w:rsidR="009278ED">
        <w:rPr>
          <w:rFonts w:ascii="Georgia" w:hAnsi="Georgia"/>
          <w:sz w:val="24"/>
          <w:szCs w:val="24"/>
        </w:rPr>
        <w:t>two</w:t>
      </w:r>
      <w:r w:rsidR="00773507">
        <w:rPr>
          <w:rFonts w:ascii="Georgia" w:hAnsi="Georgia"/>
          <w:sz w:val="24"/>
          <w:szCs w:val="24"/>
        </w:rPr>
        <w:t xml:space="preserve"> </w:t>
      </w:r>
      <w:r w:rsidR="009278ED">
        <w:rPr>
          <w:rFonts w:ascii="Georgia" w:hAnsi="Georgia"/>
          <w:sz w:val="24"/>
          <w:szCs w:val="24"/>
        </w:rPr>
        <w:t>asks</w:t>
      </w:r>
      <w:r w:rsidR="00773507">
        <w:rPr>
          <w:rFonts w:ascii="Georgia" w:hAnsi="Georgia"/>
          <w:sz w:val="24"/>
          <w:szCs w:val="24"/>
        </w:rPr>
        <w:t>:</w:t>
      </w:r>
    </w:p>
    <w:p w14:paraId="4C4AFBAA" w14:textId="40338D82" w:rsidR="00773507" w:rsidRDefault="00082A34" w:rsidP="00773507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dockets must be consolidated in order to </w:t>
      </w:r>
      <w:r w:rsidR="00E33C81">
        <w:rPr>
          <w:rFonts w:ascii="Georgia" w:hAnsi="Georgia"/>
          <w:sz w:val="24"/>
          <w:szCs w:val="24"/>
        </w:rPr>
        <w:t xml:space="preserve">accurately reflect that the </w:t>
      </w:r>
      <w:r w:rsidR="0028247C">
        <w:rPr>
          <w:rFonts w:ascii="Georgia" w:hAnsi="Georgia"/>
          <w:sz w:val="24"/>
          <w:szCs w:val="24"/>
        </w:rPr>
        <w:t xml:space="preserve">two </w:t>
      </w:r>
      <w:r w:rsidR="00E33C81">
        <w:rPr>
          <w:rFonts w:ascii="Georgia" w:hAnsi="Georgia"/>
          <w:sz w:val="24"/>
          <w:szCs w:val="24"/>
        </w:rPr>
        <w:t xml:space="preserve">transactions </w:t>
      </w:r>
      <w:r w:rsidR="00A673EA">
        <w:rPr>
          <w:rFonts w:ascii="Georgia" w:hAnsi="Georgia"/>
          <w:sz w:val="24"/>
          <w:szCs w:val="24"/>
        </w:rPr>
        <w:t xml:space="preserve">were negotiated </w:t>
      </w:r>
      <w:r w:rsidR="0028247C">
        <w:rPr>
          <w:rFonts w:ascii="Georgia" w:hAnsi="Georgia"/>
          <w:sz w:val="24"/>
          <w:szCs w:val="24"/>
        </w:rPr>
        <w:t xml:space="preserve">jointly </w:t>
      </w:r>
      <w:r w:rsidR="00A673EA">
        <w:rPr>
          <w:rFonts w:ascii="Georgia" w:hAnsi="Georgia"/>
          <w:sz w:val="24"/>
          <w:szCs w:val="24"/>
        </w:rPr>
        <w:t xml:space="preserve">as part of a </w:t>
      </w:r>
      <w:r w:rsidR="006C4B45">
        <w:rPr>
          <w:rFonts w:ascii="Georgia" w:hAnsi="Georgia"/>
          <w:sz w:val="24"/>
          <w:szCs w:val="24"/>
        </w:rPr>
        <w:t>coordinated financial plan assembled by the Board of Directors.</w:t>
      </w:r>
      <w:r w:rsidR="008C23C2">
        <w:rPr>
          <w:rFonts w:ascii="Georgia" w:hAnsi="Georgia"/>
          <w:sz w:val="24"/>
          <w:szCs w:val="24"/>
        </w:rPr>
        <w:t xml:space="preserve"> Consolidation is necessary to properly </w:t>
      </w:r>
      <w:r w:rsidR="008C23C2">
        <w:rPr>
          <w:rFonts w:ascii="Georgia" w:hAnsi="Georgia"/>
          <w:sz w:val="24"/>
          <w:szCs w:val="24"/>
        </w:rPr>
        <w:lastRenderedPageBreak/>
        <w:t xml:space="preserve">assess whether the combined transactions are </w:t>
      </w:r>
      <w:r w:rsidR="00FD0EBE" w:rsidRPr="00A80B72">
        <w:rPr>
          <w:rFonts w:ascii="Georgia" w:hAnsi="Georgia"/>
          <w:sz w:val="24"/>
          <w:szCs w:val="24"/>
        </w:rPr>
        <w:t>consistent with the public interest</w:t>
      </w:r>
      <w:r w:rsidR="00FD0EBE">
        <w:rPr>
          <w:rFonts w:ascii="Georgia" w:hAnsi="Georgia"/>
          <w:sz w:val="24"/>
          <w:szCs w:val="24"/>
        </w:rPr>
        <w:t xml:space="preserve">, or present </w:t>
      </w:r>
      <w:r w:rsidR="00A673EA">
        <w:rPr>
          <w:rFonts w:ascii="Georgia" w:hAnsi="Georgia"/>
          <w:sz w:val="24"/>
          <w:szCs w:val="24"/>
        </w:rPr>
        <w:t>threats to competition or captive customers</w:t>
      </w:r>
      <w:r w:rsidR="00F05D1E">
        <w:rPr>
          <w:rFonts w:ascii="Georgia" w:hAnsi="Georgia"/>
          <w:sz w:val="24"/>
          <w:szCs w:val="24"/>
        </w:rPr>
        <w:t>, as both Brookfield and Blackstone own a vast array of FERC-jurisdictional assets</w:t>
      </w:r>
      <w:r w:rsidR="00A673EA">
        <w:rPr>
          <w:rFonts w:ascii="Georgia" w:hAnsi="Georgia"/>
          <w:sz w:val="24"/>
          <w:szCs w:val="24"/>
        </w:rPr>
        <w:t>.</w:t>
      </w:r>
    </w:p>
    <w:p w14:paraId="19C31C17" w14:textId="6A8E2209" w:rsidR="006C4B45" w:rsidRDefault="006213FB" w:rsidP="00773507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request to convey voting rights </w:t>
      </w:r>
      <w:r w:rsidR="009278ED">
        <w:rPr>
          <w:rFonts w:ascii="Georgia" w:hAnsi="Georgia"/>
          <w:sz w:val="24"/>
          <w:szCs w:val="24"/>
        </w:rPr>
        <w:t>for</w:t>
      </w:r>
      <w:r>
        <w:rPr>
          <w:rFonts w:ascii="Georgia" w:hAnsi="Georgia"/>
          <w:sz w:val="24"/>
          <w:szCs w:val="24"/>
        </w:rPr>
        <w:t xml:space="preserve"> Blackstone’s </w:t>
      </w:r>
      <w:r w:rsidR="00A247C2">
        <w:rPr>
          <w:rFonts w:ascii="Georgia" w:hAnsi="Georgia"/>
          <w:sz w:val="24"/>
          <w:szCs w:val="24"/>
        </w:rPr>
        <w:t>seat on the Board cannot be granted until the Commission has determined whether</w:t>
      </w:r>
      <w:r w:rsidR="00BE4BE6">
        <w:rPr>
          <w:rFonts w:ascii="Georgia" w:hAnsi="Georgia"/>
          <w:sz w:val="24"/>
          <w:szCs w:val="24"/>
        </w:rPr>
        <w:t xml:space="preserve"> a formal or informal collusive agreement exists between Blackstone and Icahn Enterprises.</w:t>
      </w:r>
      <w:r w:rsidR="00BF6416">
        <w:rPr>
          <w:rFonts w:ascii="Georgia" w:hAnsi="Georgia"/>
          <w:sz w:val="24"/>
          <w:szCs w:val="24"/>
        </w:rPr>
        <w:t xml:space="preserve"> Should any such conspiracy exist,</w:t>
      </w:r>
      <w:r w:rsidR="00570032">
        <w:rPr>
          <w:rFonts w:ascii="Georgia" w:hAnsi="Georgia"/>
          <w:sz w:val="24"/>
          <w:szCs w:val="24"/>
        </w:rPr>
        <w:t xml:space="preserve"> the Commission must classify both Blackstone and Icahn Enterprises as affiliates of FirstEnergy, per </w:t>
      </w:r>
      <w:r w:rsidR="00C56E34" w:rsidRPr="00C56E34">
        <w:rPr>
          <w:rFonts w:ascii="Georgia" w:hAnsi="Georgia"/>
          <w:sz w:val="24"/>
          <w:szCs w:val="24"/>
        </w:rPr>
        <w:t>18 CFR § 35.36(a)(9)(iii)</w:t>
      </w:r>
      <w:r w:rsidR="00C56E34">
        <w:rPr>
          <w:rFonts w:ascii="Georgia" w:hAnsi="Georgia"/>
          <w:sz w:val="24"/>
          <w:szCs w:val="24"/>
        </w:rPr>
        <w:t>.</w:t>
      </w:r>
    </w:p>
    <w:p w14:paraId="2BA44266" w14:textId="77777777" w:rsidR="00E71604" w:rsidRDefault="00E71604" w:rsidP="00E71604">
      <w:pPr>
        <w:spacing w:after="0" w:line="360" w:lineRule="auto"/>
        <w:rPr>
          <w:rFonts w:ascii="Georgia" w:hAnsi="Georgia"/>
          <w:sz w:val="24"/>
          <w:szCs w:val="24"/>
        </w:rPr>
      </w:pPr>
    </w:p>
    <w:p w14:paraId="7880CB16" w14:textId="77777777" w:rsidR="00E71604" w:rsidRDefault="00E71604" w:rsidP="00E71604">
      <w:pPr>
        <w:spacing w:after="0" w:line="360" w:lineRule="auto"/>
        <w:rPr>
          <w:rFonts w:ascii="Georgia" w:hAnsi="Georgia"/>
          <w:sz w:val="24"/>
          <w:szCs w:val="24"/>
        </w:rPr>
      </w:pPr>
    </w:p>
    <w:p w14:paraId="7F5DFBEA" w14:textId="49D37748" w:rsidR="00E71604" w:rsidRDefault="00E71604" w:rsidP="00E71604">
      <w:pPr>
        <w:spacing w:after="0" w:line="240" w:lineRule="auto"/>
        <w:ind w:left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Respectfully submitted,</w:t>
      </w:r>
    </w:p>
    <w:p w14:paraId="55DB776B" w14:textId="77777777" w:rsidR="00E71604" w:rsidRDefault="00E71604" w:rsidP="00E71604">
      <w:pPr>
        <w:spacing w:after="0" w:line="240" w:lineRule="auto"/>
        <w:ind w:left="2160"/>
        <w:rPr>
          <w:rFonts w:ascii="Georgia" w:hAnsi="Georgia"/>
          <w:sz w:val="24"/>
          <w:szCs w:val="24"/>
        </w:rPr>
      </w:pPr>
    </w:p>
    <w:p w14:paraId="77384278" w14:textId="460DBFF2" w:rsidR="00E71604" w:rsidRDefault="00E71604" w:rsidP="00E71604">
      <w:pPr>
        <w:spacing w:after="0" w:line="240" w:lineRule="auto"/>
        <w:ind w:left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Tyson Slocum, Energy Program Director</w:t>
      </w:r>
    </w:p>
    <w:p w14:paraId="70172705" w14:textId="64F8D49F" w:rsidR="00E71604" w:rsidRDefault="00E71604" w:rsidP="00E71604">
      <w:pPr>
        <w:spacing w:after="0" w:line="240" w:lineRule="auto"/>
        <w:ind w:left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Public Citizen, Inc.</w:t>
      </w:r>
    </w:p>
    <w:p w14:paraId="1462ABF4" w14:textId="2DCF783D" w:rsidR="00E71604" w:rsidRDefault="00E71604" w:rsidP="00E71604">
      <w:pPr>
        <w:spacing w:after="0" w:line="240" w:lineRule="auto"/>
        <w:ind w:left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215 Pennsylvania Ave SE</w:t>
      </w:r>
    </w:p>
    <w:p w14:paraId="5ED14B7A" w14:textId="269E898F" w:rsidR="00E71604" w:rsidRDefault="00E71604" w:rsidP="00E71604">
      <w:pPr>
        <w:spacing w:after="0" w:line="240" w:lineRule="auto"/>
        <w:ind w:left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Washington, DC  20003</w:t>
      </w:r>
    </w:p>
    <w:p w14:paraId="202F456C" w14:textId="2703908C" w:rsidR="00E71604" w:rsidRDefault="00E71604" w:rsidP="00E71604">
      <w:pPr>
        <w:spacing w:after="0" w:line="240" w:lineRule="auto"/>
        <w:ind w:left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(202) 454-5191</w:t>
      </w:r>
    </w:p>
    <w:p w14:paraId="2B0666BE" w14:textId="279C5387" w:rsidR="00E71604" w:rsidRPr="00E71604" w:rsidRDefault="00E71604" w:rsidP="00E71604">
      <w:pPr>
        <w:spacing w:after="0" w:line="240" w:lineRule="auto"/>
        <w:ind w:left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tslocum@citizen.org</w:t>
      </w:r>
    </w:p>
    <w:sectPr w:rsidR="00E71604" w:rsidRPr="00E71604" w:rsidSect="00F6189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8BF9D" w14:textId="77777777" w:rsidR="00627FAB" w:rsidRDefault="00627FAB" w:rsidP="009B6E1D">
      <w:pPr>
        <w:spacing w:after="0" w:line="240" w:lineRule="auto"/>
      </w:pPr>
      <w:r>
        <w:separator/>
      </w:r>
    </w:p>
  </w:endnote>
  <w:endnote w:type="continuationSeparator" w:id="0">
    <w:p w14:paraId="337566A6" w14:textId="77777777" w:rsidR="00627FAB" w:rsidRDefault="00627FAB" w:rsidP="009B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48329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5AA174D" w14:textId="6C0833DC" w:rsidR="00F61896" w:rsidRDefault="00F6189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D22C44B" w14:textId="77777777" w:rsidR="00F61896" w:rsidRDefault="00F61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B526A" w14:textId="77777777" w:rsidR="00627FAB" w:rsidRDefault="00627FAB" w:rsidP="009B6E1D">
      <w:pPr>
        <w:spacing w:after="0" w:line="240" w:lineRule="auto"/>
      </w:pPr>
      <w:r>
        <w:separator/>
      </w:r>
    </w:p>
  </w:footnote>
  <w:footnote w:type="continuationSeparator" w:id="0">
    <w:p w14:paraId="257FC133" w14:textId="77777777" w:rsidR="00627FAB" w:rsidRDefault="00627FAB" w:rsidP="009B6E1D">
      <w:pPr>
        <w:spacing w:after="0" w:line="240" w:lineRule="auto"/>
      </w:pPr>
      <w:r>
        <w:continuationSeparator/>
      </w:r>
    </w:p>
  </w:footnote>
  <w:footnote w:id="1">
    <w:p w14:paraId="4B14135C" w14:textId="48D43E1B" w:rsidR="009B6E1D" w:rsidRDefault="009B6E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32E78" w:rsidRPr="00E32E78">
        <w:rPr>
          <w:rFonts w:ascii="Georgia" w:hAnsi="Georgia"/>
        </w:rPr>
        <w:t>www.firstenergycorp.com/newsroom/news_articles/firstenergy-announces-transformative--3-4-billion-of-equity-fina.html</w:t>
      </w:r>
    </w:p>
  </w:footnote>
  <w:footnote w:id="2">
    <w:p w14:paraId="46380850" w14:textId="77777777" w:rsidR="00B243D0" w:rsidRDefault="00B243D0" w:rsidP="00B243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957E3">
        <w:rPr>
          <w:rFonts w:ascii="Georgia" w:hAnsi="Georgia"/>
          <w:i/>
          <w:iCs/>
        </w:rPr>
        <w:t>Startrans IO, L.L.C.</w:t>
      </w:r>
      <w:r w:rsidRPr="008957E3">
        <w:rPr>
          <w:rFonts w:ascii="Georgia" w:hAnsi="Georgia"/>
        </w:rPr>
        <w:t>, 122 FERC ¶ 61,253, at 25 (2008).</w:t>
      </w:r>
    </w:p>
  </w:footnote>
  <w:footnote w:id="3">
    <w:p w14:paraId="4F9E39CC" w14:textId="77777777" w:rsidR="008957E3" w:rsidRDefault="008957E3" w:rsidP="008957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957E3">
        <w:rPr>
          <w:rFonts w:ascii="Georgia" w:hAnsi="Georgia"/>
        </w:rPr>
        <w:t>16 U.S.C. §</w:t>
      </w:r>
      <w:r w:rsidRPr="008957E3">
        <w:rPr>
          <w:rFonts w:ascii="Times New Roman" w:hAnsi="Times New Roman" w:cs="Times New Roman"/>
        </w:rPr>
        <w:t> </w:t>
      </w:r>
      <w:r w:rsidRPr="008957E3">
        <w:rPr>
          <w:rFonts w:ascii="Georgia" w:hAnsi="Georgia"/>
        </w:rPr>
        <w:t>824(a).</w:t>
      </w:r>
    </w:p>
  </w:footnote>
  <w:footnote w:id="4">
    <w:p w14:paraId="041C3435" w14:textId="77777777" w:rsidR="008957E3" w:rsidRDefault="008957E3" w:rsidP="008957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957E3">
        <w:rPr>
          <w:rFonts w:ascii="Georgia" w:hAnsi="Georgia"/>
        </w:rPr>
        <w:t>16 USC § 824b(a)(4).</w:t>
      </w:r>
    </w:p>
  </w:footnote>
  <w:footnote w:id="5">
    <w:p w14:paraId="4975DA97" w14:textId="2547CD31" w:rsidR="00CB7806" w:rsidRDefault="00CB7806">
      <w:pPr>
        <w:pStyle w:val="FootnoteText"/>
      </w:pPr>
      <w:r>
        <w:rPr>
          <w:rStyle w:val="FootnoteReference"/>
        </w:rPr>
        <w:footnoteRef/>
      </w:r>
      <w:r>
        <w:t xml:space="preserve"> See Docket No. </w:t>
      </w:r>
      <w:r w:rsidRPr="00CB7806">
        <w:t>EC21-77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1407" w14:textId="19DD85C3" w:rsidR="00547BEC" w:rsidRPr="00547BEC" w:rsidRDefault="00547BEC" w:rsidP="00547BEC">
    <w:pPr>
      <w:pStyle w:val="Header"/>
      <w:jc w:val="center"/>
      <w:rPr>
        <w:rFonts w:ascii="Georgia" w:hAnsi="Georgia"/>
        <w:i/>
        <w:iCs/>
      </w:rPr>
    </w:pPr>
    <w:r w:rsidRPr="00547BEC">
      <w:rPr>
        <w:rFonts w:ascii="Georgia" w:hAnsi="Georgia"/>
        <w:i/>
        <w:iCs/>
      </w:rPr>
      <w:t>Protest of Public Citizen • Docket Nos. EC22-33 and EC22-27 • January 26, 2022</w:t>
    </w:r>
  </w:p>
  <w:p w14:paraId="4554F6F8" w14:textId="77777777" w:rsidR="00547BEC" w:rsidRDefault="00547B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43266"/>
    <w:multiLevelType w:val="hybridMultilevel"/>
    <w:tmpl w:val="79E0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7D"/>
    <w:rsid w:val="000029D0"/>
    <w:rsid w:val="00002DD1"/>
    <w:rsid w:val="00036C80"/>
    <w:rsid w:val="000634D1"/>
    <w:rsid w:val="000643DD"/>
    <w:rsid w:val="00082A34"/>
    <w:rsid w:val="000B2D2B"/>
    <w:rsid w:val="000B3CD4"/>
    <w:rsid w:val="000C2759"/>
    <w:rsid w:val="000E2C8B"/>
    <w:rsid w:val="000F4965"/>
    <w:rsid w:val="00105295"/>
    <w:rsid w:val="0010609D"/>
    <w:rsid w:val="001254B7"/>
    <w:rsid w:val="00126FE6"/>
    <w:rsid w:val="00142FCE"/>
    <w:rsid w:val="00145FF6"/>
    <w:rsid w:val="00153158"/>
    <w:rsid w:val="00154D0A"/>
    <w:rsid w:val="0017050D"/>
    <w:rsid w:val="001808DE"/>
    <w:rsid w:val="00185A9A"/>
    <w:rsid w:val="001E4E9B"/>
    <w:rsid w:val="00217A8E"/>
    <w:rsid w:val="00272D65"/>
    <w:rsid w:val="0027436E"/>
    <w:rsid w:val="0028247C"/>
    <w:rsid w:val="002854D7"/>
    <w:rsid w:val="002857EB"/>
    <w:rsid w:val="00290C3C"/>
    <w:rsid w:val="00292FA1"/>
    <w:rsid w:val="002B771B"/>
    <w:rsid w:val="002C4DCF"/>
    <w:rsid w:val="002D70E7"/>
    <w:rsid w:val="002F1588"/>
    <w:rsid w:val="002F3CCC"/>
    <w:rsid w:val="002F48CB"/>
    <w:rsid w:val="0030112B"/>
    <w:rsid w:val="00317506"/>
    <w:rsid w:val="00327CF1"/>
    <w:rsid w:val="00342A6D"/>
    <w:rsid w:val="00351E52"/>
    <w:rsid w:val="00353448"/>
    <w:rsid w:val="00384A98"/>
    <w:rsid w:val="0039279F"/>
    <w:rsid w:val="003A119D"/>
    <w:rsid w:val="003D0C3B"/>
    <w:rsid w:val="003D28F5"/>
    <w:rsid w:val="003D2B3F"/>
    <w:rsid w:val="004006B7"/>
    <w:rsid w:val="004373DC"/>
    <w:rsid w:val="00451957"/>
    <w:rsid w:val="00461168"/>
    <w:rsid w:val="004951AF"/>
    <w:rsid w:val="004A1DEA"/>
    <w:rsid w:val="004F5AC2"/>
    <w:rsid w:val="00503A27"/>
    <w:rsid w:val="005040C4"/>
    <w:rsid w:val="00510101"/>
    <w:rsid w:val="00510D52"/>
    <w:rsid w:val="005136BC"/>
    <w:rsid w:val="0052475F"/>
    <w:rsid w:val="00547BEC"/>
    <w:rsid w:val="00565A9D"/>
    <w:rsid w:val="00570032"/>
    <w:rsid w:val="00576972"/>
    <w:rsid w:val="005918EF"/>
    <w:rsid w:val="0059777F"/>
    <w:rsid w:val="005A2B2B"/>
    <w:rsid w:val="005B41B7"/>
    <w:rsid w:val="005C179D"/>
    <w:rsid w:val="005C339D"/>
    <w:rsid w:val="005C793B"/>
    <w:rsid w:val="005F1B35"/>
    <w:rsid w:val="006213FB"/>
    <w:rsid w:val="00627FAB"/>
    <w:rsid w:val="00637936"/>
    <w:rsid w:val="0064434E"/>
    <w:rsid w:val="0067189A"/>
    <w:rsid w:val="00676110"/>
    <w:rsid w:val="006A1CAC"/>
    <w:rsid w:val="006A2645"/>
    <w:rsid w:val="006C4B45"/>
    <w:rsid w:val="00716402"/>
    <w:rsid w:val="007167C1"/>
    <w:rsid w:val="00755BC1"/>
    <w:rsid w:val="00773507"/>
    <w:rsid w:val="00775330"/>
    <w:rsid w:val="00782EB6"/>
    <w:rsid w:val="007B5068"/>
    <w:rsid w:val="007E4163"/>
    <w:rsid w:val="00802B82"/>
    <w:rsid w:val="008245BE"/>
    <w:rsid w:val="0083180C"/>
    <w:rsid w:val="008407EE"/>
    <w:rsid w:val="00841B7D"/>
    <w:rsid w:val="00850FFD"/>
    <w:rsid w:val="008807FA"/>
    <w:rsid w:val="0088133D"/>
    <w:rsid w:val="008957E3"/>
    <w:rsid w:val="00896BAF"/>
    <w:rsid w:val="008A38AE"/>
    <w:rsid w:val="008C23C2"/>
    <w:rsid w:val="008F4FF5"/>
    <w:rsid w:val="0091751C"/>
    <w:rsid w:val="009278ED"/>
    <w:rsid w:val="00932839"/>
    <w:rsid w:val="009369C7"/>
    <w:rsid w:val="0094121E"/>
    <w:rsid w:val="00957940"/>
    <w:rsid w:val="00977701"/>
    <w:rsid w:val="009874FD"/>
    <w:rsid w:val="00991F61"/>
    <w:rsid w:val="0099207C"/>
    <w:rsid w:val="009937DF"/>
    <w:rsid w:val="009B6E1D"/>
    <w:rsid w:val="009B7810"/>
    <w:rsid w:val="009C2E56"/>
    <w:rsid w:val="009C4AB5"/>
    <w:rsid w:val="009D2212"/>
    <w:rsid w:val="009D2818"/>
    <w:rsid w:val="009D7071"/>
    <w:rsid w:val="009D77E1"/>
    <w:rsid w:val="009E59CE"/>
    <w:rsid w:val="009E706E"/>
    <w:rsid w:val="009F6073"/>
    <w:rsid w:val="00A247C2"/>
    <w:rsid w:val="00A319AF"/>
    <w:rsid w:val="00A40B3A"/>
    <w:rsid w:val="00A41702"/>
    <w:rsid w:val="00A45ED2"/>
    <w:rsid w:val="00A63F44"/>
    <w:rsid w:val="00A673EA"/>
    <w:rsid w:val="00A72CA1"/>
    <w:rsid w:val="00A801D4"/>
    <w:rsid w:val="00A80B72"/>
    <w:rsid w:val="00A95245"/>
    <w:rsid w:val="00AA1480"/>
    <w:rsid w:val="00AD6038"/>
    <w:rsid w:val="00B127AA"/>
    <w:rsid w:val="00B243D0"/>
    <w:rsid w:val="00B3222B"/>
    <w:rsid w:val="00B33661"/>
    <w:rsid w:val="00B371A2"/>
    <w:rsid w:val="00B556A0"/>
    <w:rsid w:val="00B57751"/>
    <w:rsid w:val="00B64612"/>
    <w:rsid w:val="00B67C19"/>
    <w:rsid w:val="00B91B3C"/>
    <w:rsid w:val="00BC2700"/>
    <w:rsid w:val="00BE4BE6"/>
    <w:rsid w:val="00BE799A"/>
    <w:rsid w:val="00BF311B"/>
    <w:rsid w:val="00BF6416"/>
    <w:rsid w:val="00C02928"/>
    <w:rsid w:val="00C0593B"/>
    <w:rsid w:val="00C13105"/>
    <w:rsid w:val="00C21AF3"/>
    <w:rsid w:val="00C26AD2"/>
    <w:rsid w:val="00C413D4"/>
    <w:rsid w:val="00C50BE5"/>
    <w:rsid w:val="00C56E34"/>
    <w:rsid w:val="00C61A5F"/>
    <w:rsid w:val="00C75432"/>
    <w:rsid w:val="00C85987"/>
    <w:rsid w:val="00CA31DB"/>
    <w:rsid w:val="00CB7806"/>
    <w:rsid w:val="00CC03C3"/>
    <w:rsid w:val="00CD025E"/>
    <w:rsid w:val="00CF6E99"/>
    <w:rsid w:val="00D154E5"/>
    <w:rsid w:val="00D20723"/>
    <w:rsid w:val="00D24F9A"/>
    <w:rsid w:val="00D53232"/>
    <w:rsid w:val="00D636A6"/>
    <w:rsid w:val="00D65EF5"/>
    <w:rsid w:val="00D70A63"/>
    <w:rsid w:val="00D70D95"/>
    <w:rsid w:val="00D90930"/>
    <w:rsid w:val="00D970AA"/>
    <w:rsid w:val="00DB5473"/>
    <w:rsid w:val="00DC0082"/>
    <w:rsid w:val="00DC0C0C"/>
    <w:rsid w:val="00DD452B"/>
    <w:rsid w:val="00DE6AE8"/>
    <w:rsid w:val="00E32E78"/>
    <w:rsid w:val="00E33C81"/>
    <w:rsid w:val="00E366DD"/>
    <w:rsid w:val="00E71604"/>
    <w:rsid w:val="00E7709C"/>
    <w:rsid w:val="00EA0358"/>
    <w:rsid w:val="00EA3151"/>
    <w:rsid w:val="00ED0BFA"/>
    <w:rsid w:val="00ED1BD1"/>
    <w:rsid w:val="00F03964"/>
    <w:rsid w:val="00F05D1E"/>
    <w:rsid w:val="00F07ACE"/>
    <w:rsid w:val="00F115E2"/>
    <w:rsid w:val="00F23971"/>
    <w:rsid w:val="00F4247F"/>
    <w:rsid w:val="00F509CA"/>
    <w:rsid w:val="00F53D7B"/>
    <w:rsid w:val="00F54530"/>
    <w:rsid w:val="00F61896"/>
    <w:rsid w:val="00F710EF"/>
    <w:rsid w:val="00F74415"/>
    <w:rsid w:val="00F84FA8"/>
    <w:rsid w:val="00FB2A49"/>
    <w:rsid w:val="00FB3C7A"/>
    <w:rsid w:val="00FB5081"/>
    <w:rsid w:val="00FD0EBE"/>
    <w:rsid w:val="00FE0D2F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F5A57"/>
  <w15:chartTrackingRefBased/>
  <w15:docId w15:val="{EC8EA840-F4D9-4067-BE3F-2029A2FA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C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C8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84FA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unhideWhenUsed/>
    <w:rsid w:val="009B6E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6E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6E1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1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896"/>
  </w:style>
  <w:style w:type="paragraph" w:styleId="Footer">
    <w:name w:val="footer"/>
    <w:basedOn w:val="Normal"/>
    <w:link w:val="FooterChar"/>
    <w:uiPriority w:val="99"/>
    <w:unhideWhenUsed/>
    <w:rsid w:val="00F61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896"/>
  </w:style>
  <w:style w:type="paragraph" w:styleId="ListParagraph">
    <w:name w:val="List Paragraph"/>
    <w:basedOn w:val="Normal"/>
    <w:uiPriority w:val="34"/>
    <w:qFormat/>
    <w:rsid w:val="00773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F40AE-AE7E-49E8-9D41-CD667634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T. Slocum</dc:creator>
  <cp:keywords/>
  <dc:description/>
  <cp:lastModifiedBy>Tyson T. Slocum</cp:lastModifiedBy>
  <cp:revision>206</cp:revision>
  <dcterms:created xsi:type="dcterms:W3CDTF">2022-01-17T19:12:00Z</dcterms:created>
  <dcterms:modified xsi:type="dcterms:W3CDTF">2022-01-26T17:56:00Z</dcterms:modified>
</cp:coreProperties>
</file>