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30E1" w14:textId="77777777" w:rsidR="0000589E" w:rsidRPr="0000589E" w:rsidRDefault="0000589E" w:rsidP="0000589E">
      <w:pPr>
        <w:spacing w:after="0" w:line="240" w:lineRule="auto"/>
        <w:jc w:val="center"/>
        <w:rPr>
          <w:rFonts w:ascii="Georgia" w:hAnsi="Georgia"/>
          <w:sz w:val="24"/>
          <w:szCs w:val="24"/>
        </w:rPr>
      </w:pPr>
      <w:r w:rsidRPr="0000589E">
        <w:rPr>
          <w:rFonts w:ascii="Georgia" w:hAnsi="Georgia"/>
          <w:sz w:val="24"/>
          <w:szCs w:val="24"/>
        </w:rPr>
        <w:t>UNITED STATES OF AMERICA</w:t>
      </w:r>
    </w:p>
    <w:p w14:paraId="6B19E9BF" w14:textId="77777777" w:rsidR="0000589E" w:rsidRPr="0000589E" w:rsidRDefault="0000589E" w:rsidP="0000589E">
      <w:pPr>
        <w:spacing w:after="0" w:line="240" w:lineRule="auto"/>
        <w:jc w:val="center"/>
        <w:rPr>
          <w:rFonts w:ascii="Georgia" w:hAnsi="Georgia"/>
          <w:sz w:val="24"/>
          <w:szCs w:val="24"/>
        </w:rPr>
      </w:pPr>
      <w:r w:rsidRPr="0000589E">
        <w:rPr>
          <w:rFonts w:ascii="Georgia" w:hAnsi="Georgia"/>
          <w:sz w:val="24"/>
          <w:szCs w:val="24"/>
        </w:rPr>
        <w:t>BEFORE THE</w:t>
      </w:r>
    </w:p>
    <w:p w14:paraId="5C294590" w14:textId="77777777" w:rsidR="0000589E" w:rsidRPr="0000589E" w:rsidRDefault="0000589E" w:rsidP="0000589E">
      <w:pPr>
        <w:spacing w:after="0" w:line="240" w:lineRule="auto"/>
        <w:jc w:val="center"/>
        <w:rPr>
          <w:rFonts w:ascii="Georgia" w:hAnsi="Georgia"/>
          <w:sz w:val="24"/>
          <w:szCs w:val="24"/>
        </w:rPr>
      </w:pPr>
      <w:r w:rsidRPr="0000589E">
        <w:rPr>
          <w:rFonts w:ascii="Georgia" w:hAnsi="Georgia"/>
          <w:sz w:val="24"/>
          <w:szCs w:val="24"/>
        </w:rPr>
        <w:t>FEDERAL ENERGY REGULATORY COMMISSION</w:t>
      </w:r>
    </w:p>
    <w:p w14:paraId="365E84D9" w14:textId="77777777" w:rsidR="0000589E" w:rsidRPr="0000589E" w:rsidRDefault="0000589E" w:rsidP="0000589E">
      <w:pPr>
        <w:spacing w:after="0" w:line="240" w:lineRule="auto"/>
        <w:rPr>
          <w:rFonts w:ascii="Georgia" w:hAnsi="Georgia"/>
          <w:sz w:val="24"/>
          <w:szCs w:val="24"/>
        </w:rPr>
      </w:pPr>
    </w:p>
    <w:p w14:paraId="631B4302" w14:textId="77777777" w:rsidR="0000589E" w:rsidRPr="0000589E" w:rsidRDefault="0000589E" w:rsidP="0000589E">
      <w:pPr>
        <w:spacing w:after="0" w:line="240" w:lineRule="auto"/>
        <w:rPr>
          <w:rFonts w:ascii="Georgia" w:hAnsi="Georgia"/>
          <w:sz w:val="24"/>
          <w:szCs w:val="24"/>
        </w:rPr>
      </w:pPr>
      <w:r w:rsidRPr="0000589E">
        <w:rPr>
          <w:rFonts w:ascii="Georgia" w:hAnsi="Georgia"/>
          <w:sz w:val="24"/>
          <w:szCs w:val="24"/>
        </w:rPr>
        <w:t>DC Energy, LLC</w:t>
      </w:r>
    </w:p>
    <w:p w14:paraId="27E69D30" w14:textId="6AFDCA72" w:rsidR="0000589E" w:rsidRPr="0000589E" w:rsidRDefault="0000589E" w:rsidP="0000589E">
      <w:pPr>
        <w:spacing w:after="0" w:line="240" w:lineRule="auto"/>
        <w:rPr>
          <w:rFonts w:ascii="Georgia" w:hAnsi="Georgia"/>
          <w:sz w:val="24"/>
          <w:szCs w:val="24"/>
        </w:rPr>
      </w:pPr>
      <w:r w:rsidRPr="0000589E">
        <w:rPr>
          <w:rFonts w:ascii="Georgia" w:hAnsi="Georgia"/>
          <w:sz w:val="24"/>
          <w:szCs w:val="24"/>
        </w:rPr>
        <w:t>v.</w:t>
      </w:r>
      <w:r w:rsidRPr="0000589E">
        <w:rPr>
          <w:rFonts w:ascii="Georgia" w:hAnsi="Georgia"/>
          <w:sz w:val="24"/>
          <w:szCs w:val="24"/>
        </w:rPr>
        <w:tab/>
      </w:r>
      <w:r w:rsidRPr="0000589E">
        <w:rPr>
          <w:rFonts w:ascii="Georgia" w:hAnsi="Georgia"/>
          <w:sz w:val="24"/>
          <w:szCs w:val="24"/>
        </w:rPr>
        <w:tab/>
      </w:r>
      <w:r w:rsidRPr="0000589E">
        <w:rPr>
          <w:rFonts w:ascii="Georgia" w:hAnsi="Georgia"/>
          <w:sz w:val="24"/>
          <w:szCs w:val="24"/>
        </w:rPr>
        <w:tab/>
      </w:r>
      <w:r w:rsidRPr="0000589E">
        <w:rPr>
          <w:rFonts w:ascii="Georgia" w:hAnsi="Georgia"/>
          <w:sz w:val="24"/>
          <w:szCs w:val="24"/>
        </w:rPr>
        <w:tab/>
      </w:r>
      <w:r w:rsidRPr="0000589E">
        <w:rPr>
          <w:rFonts w:ascii="Georgia" w:hAnsi="Georgia"/>
          <w:sz w:val="24"/>
          <w:szCs w:val="24"/>
        </w:rPr>
        <w:tab/>
      </w:r>
      <w:r w:rsidRPr="0000589E">
        <w:rPr>
          <w:rFonts w:ascii="Georgia" w:hAnsi="Georgia"/>
          <w:sz w:val="24"/>
          <w:szCs w:val="24"/>
        </w:rPr>
        <w:tab/>
      </w:r>
      <w:r w:rsidRPr="0000589E">
        <w:rPr>
          <w:rFonts w:ascii="Georgia" w:hAnsi="Georgia"/>
          <w:sz w:val="24"/>
          <w:szCs w:val="24"/>
        </w:rPr>
        <w:tab/>
      </w:r>
      <w:r w:rsidRPr="0000589E">
        <w:rPr>
          <w:rFonts w:ascii="Georgia" w:hAnsi="Georgia"/>
          <w:sz w:val="24"/>
          <w:szCs w:val="24"/>
        </w:rPr>
        <w:tab/>
      </w:r>
      <w:r w:rsidRPr="0000589E">
        <w:rPr>
          <w:rFonts w:ascii="Georgia" w:hAnsi="Georgia"/>
          <w:sz w:val="24"/>
          <w:szCs w:val="24"/>
        </w:rPr>
        <w:tab/>
        <w:t>Docket No. EL18-170</w:t>
      </w:r>
    </w:p>
    <w:p w14:paraId="5528FEC5" w14:textId="77777777" w:rsidR="0000589E" w:rsidRPr="0000589E" w:rsidRDefault="0000589E" w:rsidP="0000589E">
      <w:pPr>
        <w:spacing w:after="0" w:line="240" w:lineRule="auto"/>
        <w:rPr>
          <w:rFonts w:ascii="Georgia" w:hAnsi="Georgia"/>
          <w:sz w:val="24"/>
          <w:szCs w:val="24"/>
        </w:rPr>
      </w:pPr>
      <w:r w:rsidRPr="0000589E">
        <w:rPr>
          <w:rFonts w:ascii="Georgia" w:hAnsi="Georgia"/>
          <w:sz w:val="24"/>
          <w:szCs w:val="24"/>
        </w:rPr>
        <w:t>PJM Interconnection, L.L.C.</w:t>
      </w:r>
    </w:p>
    <w:p w14:paraId="20C2BE95" w14:textId="77777777" w:rsidR="0000589E" w:rsidRPr="0000589E" w:rsidRDefault="0000589E" w:rsidP="0000589E">
      <w:pPr>
        <w:spacing w:after="0" w:line="240" w:lineRule="auto"/>
        <w:rPr>
          <w:rFonts w:ascii="Georgia" w:hAnsi="Georgia"/>
          <w:sz w:val="24"/>
          <w:szCs w:val="24"/>
        </w:rPr>
      </w:pPr>
    </w:p>
    <w:p w14:paraId="6A162CFF" w14:textId="254C6077" w:rsidR="0000589E" w:rsidRDefault="0000589E" w:rsidP="0000589E">
      <w:pPr>
        <w:spacing w:after="0" w:line="240" w:lineRule="auto"/>
        <w:jc w:val="center"/>
        <w:rPr>
          <w:rFonts w:ascii="Georgia" w:hAnsi="Georgia"/>
          <w:b/>
          <w:sz w:val="24"/>
          <w:szCs w:val="24"/>
        </w:rPr>
      </w:pPr>
      <w:r w:rsidRPr="0000589E">
        <w:rPr>
          <w:rFonts w:ascii="Georgia" w:hAnsi="Georgia"/>
          <w:b/>
          <w:sz w:val="24"/>
          <w:szCs w:val="24"/>
        </w:rPr>
        <w:t>Comments of Public Citizen, Inc.</w:t>
      </w:r>
    </w:p>
    <w:p w14:paraId="7E1D822E" w14:textId="4D180D74" w:rsidR="0000589E" w:rsidRDefault="0000589E" w:rsidP="0000589E">
      <w:pPr>
        <w:spacing w:after="0" w:line="240" w:lineRule="auto"/>
        <w:jc w:val="center"/>
        <w:rPr>
          <w:rFonts w:ascii="Georgia" w:hAnsi="Georgia"/>
          <w:b/>
          <w:sz w:val="24"/>
          <w:szCs w:val="24"/>
        </w:rPr>
      </w:pPr>
    </w:p>
    <w:p w14:paraId="2EC906F7" w14:textId="6681EA80" w:rsidR="0000589E" w:rsidRDefault="00EA08A2" w:rsidP="00F80B12">
      <w:pPr>
        <w:spacing w:after="0" w:line="360" w:lineRule="auto"/>
        <w:ind w:firstLine="720"/>
        <w:rPr>
          <w:rFonts w:ascii="Georgia" w:hAnsi="Georgia"/>
          <w:bCs/>
          <w:sz w:val="24"/>
          <w:szCs w:val="24"/>
        </w:rPr>
      </w:pPr>
      <w:r>
        <w:rPr>
          <w:rFonts w:ascii="Georgia" w:hAnsi="Georgia"/>
          <w:bCs/>
          <w:sz w:val="24"/>
          <w:szCs w:val="24"/>
        </w:rPr>
        <w:t xml:space="preserve">On February 6, the Commission </w:t>
      </w:r>
      <w:r w:rsidR="005872C4">
        <w:rPr>
          <w:rFonts w:ascii="Georgia" w:hAnsi="Georgia"/>
          <w:bCs/>
          <w:sz w:val="24"/>
          <w:szCs w:val="24"/>
        </w:rPr>
        <w:t>published a notice soliciting comments “</w:t>
      </w:r>
      <w:r w:rsidR="005872C4" w:rsidRPr="005872C4">
        <w:rPr>
          <w:rFonts w:ascii="Georgia" w:hAnsi="Georgia"/>
          <w:bCs/>
          <w:sz w:val="24"/>
          <w:szCs w:val="24"/>
        </w:rPr>
        <w:t>whether issues remain outstanding in this proceeding</w:t>
      </w:r>
      <w:r w:rsidR="00342294">
        <w:rPr>
          <w:rFonts w:ascii="Georgia" w:hAnsi="Georgia"/>
          <w:bCs/>
          <w:sz w:val="24"/>
          <w:szCs w:val="24"/>
        </w:rPr>
        <w:t xml:space="preserve"> . . . [and] </w:t>
      </w:r>
      <w:r w:rsidR="00342294" w:rsidRPr="00342294">
        <w:rPr>
          <w:rFonts w:ascii="Georgia" w:hAnsi="Georgia"/>
          <w:bCs/>
          <w:sz w:val="24"/>
          <w:szCs w:val="24"/>
        </w:rPr>
        <w:t>whether, if issues remain outstanding, the Commission should continue to hold the complaint in abeyance in light of any ongoing PJM stakeholder proceedings</w:t>
      </w:r>
      <w:r w:rsidR="005872C4">
        <w:rPr>
          <w:rFonts w:ascii="Georgia" w:hAnsi="Georgia"/>
          <w:bCs/>
          <w:sz w:val="24"/>
          <w:szCs w:val="24"/>
        </w:rPr>
        <w:t>”.</w:t>
      </w:r>
      <w:r w:rsidR="00907925">
        <w:rPr>
          <w:rFonts w:ascii="Georgia" w:hAnsi="Georgia"/>
          <w:bCs/>
          <w:sz w:val="24"/>
          <w:szCs w:val="24"/>
        </w:rPr>
        <w:t xml:space="preserve"> We make three points.</w:t>
      </w:r>
    </w:p>
    <w:p w14:paraId="02B93182" w14:textId="15AD01C6" w:rsidR="00907925" w:rsidRDefault="00907925" w:rsidP="00F80B12">
      <w:pPr>
        <w:spacing w:after="0" w:line="360" w:lineRule="auto"/>
        <w:rPr>
          <w:rFonts w:ascii="Georgia" w:hAnsi="Georgia"/>
          <w:bCs/>
          <w:sz w:val="24"/>
          <w:szCs w:val="24"/>
        </w:rPr>
      </w:pPr>
    </w:p>
    <w:p w14:paraId="2929CF97" w14:textId="136E5656" w:rsidR="00907925" w:rsidRDefault="00342294" w:rsidP="00F80B12">
      <w:pPr>
        <w:spacing w:after="0" w:line="360" w:lineRule="auto"/>
        <w:ind w:firstLine="720"/>
        <w:rPr>
          <w:rFonts w:ascii="Georgia" w:hAnsi="Georgia"/>
          <w:bCs/>
          <w:sz w:val="24"/>
          <w:szCs w:val="24"/>
        </w:rPr>
      </w:pPr>
      <w:r>
        <w:rPr>
          <w:rFonts w:ascii="Georgia" w:hAnsi="Georgia"/>
          <w:bCs/>
          <w:sz w:val="24"/>
          <w:szCs w:val="24"/>
        </w:rPr>
        <w:t xml:space="preserve">First, we are unfortunately forced to remind the Commission that </w:t>
      </w:r>
      <w:r w:rsidR="00907925">
        <w:rPr>
          <w:rFonts w:ascii="Georgia" w:hAnsi="Georgia"/>
          <w:bCs/>
          <w:sz w:val="24"/>
          <w:szCs w:val="24"/>
        </w:rPr>
        <w:t xml:space="preserve">PJM </w:t>
      </w:r>
      <w:r>
        <w:rPr>
          <w:rFonts w:ascii="Georgia" w:hAnsi="Georgia"/>
          <w:bCs/>
          <w:sz w:val="24"/>
          <w:szCs w:val="24"/>
        </w:rPr>
        <w:t>s</w:t>
      </w:r>
      <w:r w:rsidR="00907925">
        <w:rPr>
          <w:rFonts w:ascii="Georgia" w:hAnsi="Georgia"/>
          <w:bCs/>
          <w:sz w:val="24"/>
          <w:szCs w:val="24"/>
        </w:rPr>
        <w:t xml:space="preserve">takeholder </w:t>
      </w:r>
      <w:r>
        <w:rPr>
          <w:rFonts w:ascii="Georgia" w:hAnsi="Georgia"/>
          <w:bCs/>
          <w:sz w:val="24"/>
          <w:szCs w:val="24"/>
        </w:rPr>
        <w:t>proceedings a</w:t>
      </w:r>
      <w:r w:rsidR="00907925">
        <w:rPr>
          <w:rFonts w:ascii="Georgia" w:hAnsi="Georgia"/>
          <w:bCs/>
          <w:sz w:val="24"/>
          <w:szCs w:val="24"/>
        </w:rPr>
        <w:t xml:space="preserve">ctively </w:t>
      </w:r>
      <w:r>
        <w:rPr>
          <w:rFonts w:ascii="Georgia" w:hAnsi="Georgia"/>
          <w:bCs/>
          <w:sz w:val="24"/>
          <w:szCs w:val="24"/>
        </w:rPr>
        <w:t>d</w:t>
      </w:r>
      <w:r w:rsidR="00907925">
        <w:rPr>
          <w:rFonts w:ascii="Georgia" w:hAnsi="Georgia"/>
          <w:bCs/>
          <w:sz w:val="24"/>
          <w:szCs w:val="24"/>
        </w:rPr>
        <w:t xml:space="preserve">iscriminate </w:t>
      </w:r>
      <w:r>
        <w:rPr>
          <w:rFonts w:ascii="Georgia" w:hAnsi="Georgia"/>
          <w:bCs/>
          <w:sz w:val="24"/>
          <w:szCs w:val="24"/>
        </w:rPr>
        <w:t>a</w:t>
      </w:r>
      <w:r w:rsidR="00907925">
        <w:rPr>
          <w:rFonts w:ascii="Georgia" w:hAnsi="Georgia"/>
          <w:bCs/>
          <w:sz w:val="24"/>
          <w:szCs w:val="24"/>
        </w:rPr>
        <w:t xml:space="preserve">gainst Public </w:t>
      </w:r>
      <w:r>
        <w:rPr>
          <w:rFonts w:ascii="Georgia" w:hAnsi="Georgia"/>
          <w:bCs/>
          <w:sz w:val="24"/>
          <w:szCs w:val="24"/>
        </w:rPr>
        <w:t xml:space="preserve">Citizen. While PJM affords every other party in this proceeding full voting rights in its stakeholder proceedings, Public Citizen is denied voting rights. As a result, any Commission deference to PJM’s </w:t>
      </w:r>
      <w:r w:rsidR="00994E47">
        <w:rPr>
          <w:rFonts w:ascii="Georgia" w:hAnsi="Georgia"/>
          <w:bCs/>
          <w:sz w:val="24"/>
          <w:szCs w:val="24"/>
        </w:rPr>
        <w:t xml:space="preserve">biased </w:t>
      </w:r>
      <w:r>
        <w:rPr>
          <w:rFonts w:ascii="Georgia" w:hAnsi="Georgia"/>
          <w:bCs/>
          <w:sz w:val="24"/>
          <w:szCs w:val="24"/>
        </w:rPr>
        <w:t xml:space="preserve">stakeholder proceedings </w:t>
      </w:r>
      <w:r w:rsidR="00994E47">
        <w:rPr>
          <w:rFonts w:ascii="Georgia" w:hAnsi="Georgia"/>
          <w:bCs/>
          <w:sz w:val="24"/>
          <w:szCs w:val="24"/>
        </w:rPr>
        <w:t xml:space="preserve">places us at a distinct disadvantage relative to all of the other parties, and therefore </w:t>
      </w:r>
      <w:r>
        <w:rPr>
          <w:rFonts w:ascii="Georgia" w:hAnsi="Georgia"/>
          <w:bCs/>
          <w:sz w:val="24"/>
          <w:szCs w:val="24"/>
        </w:rPr>
        <w:t xml:space="preserve">violates our rights under the Federal Power Act. </w:t>
      </w:r>
      <w:r w:rsidR="00E4797A">
        <w:rPr>
          <w:rFonts w:ascii="Georgia" w:hAnsi="Georgia"/>
          <w:bCs/>
          <w:sz w:val="24"/>
          <w:szCs w:val="24"/>
        </w:rPr>
        <w:t>We understand that the Commission encouraged the formation of PJM and the other RTO’s to</w:t>
      </w:r>
      <w:r w:rsidR="00E4797A" w:rsidRPr="00E4797A">
        <w:rPr>
          <w:rFonts w:ascii="Georgia" w:hAnsi="Georgia"/>
          <w:bCs/>
          <w:sz w:val="24"/>
          <w:szCs w:val="24"/>
        </w:rPr>
        <w:t xml:space="preserve"> “facilitate lighter handed regulation” and “reduce the need for Commission oversight and scrutiny”</w:t>
      </w:r>
      <w:r w:rsidR="00E4797A">
        <w:rPr>
          <w:rFonts w:ascii="Georgia" w:hAnsi="Georgia"/>
          <w:bCs/>
          <w:sz w:val="24"/>
          <w:szCs w:val="24"/>
        </w:rPr>
        <w:t>,</w:t>
      </w:r>
      <w:r w:rsidR="00E4797A">
        <w:rPr>
          <w:rStyle w:val="FootnoteReference"/>
          <w:rFonts w:ascii="Georgia" w:hAnsi="Georgia"/>
          <w:bCs/>
          <w:sz w:val="24"/>
          <w:szCs w:val="24"/>
        </w:rPr>
        <w:footnoteReference w:id="1"/>
      </w:r>
      <w:r w:rsidR="00E4797A">
        <w:rPr>
          <w:rFonts w:ascii="Georgia" w:hAnsi="Georgia"/>
          <w:bCs/>
          <w:sz w:val="24"/>
          <w:szCs w:val="24"/>
        </w:rPr>
        <w:t xml:space="preserve"> but such actions cannot come at the expense of an intervenor’s FPA rights.</w:t>
      </w:r>
    </w:p>
    <w:p w14:paraId="48B4A476" w14:textId="6805CC52" w:rsidR="00BE766A" w:rsidRDefault="00994E47" w:rsidP="00F80B12">
      <w:pPr>
        <w:spacing w:after="0" w:line="360" w:lineRule="auto"/>
        <w:ind w:firstLine="720"/>
        <w:rPr>
          <w:rFonts w:ascii="Georgia" w:hAnsi="Georgia"/>
          <w:bCs/>
          <w:sz w:val="24"/>
          <w:szCs w:val="24"/>
        </w:rPr>
      </w:pPr>
      <w:r>
        <w:rPr>
          <w:rFonts w:ascii="Georgia" w:hAnsi="Georgia"/>
          <w:bCs/>
          <w:sz w:val="24"/>
          <w:szCs w:val="24"/>
        </w:rPr>
        <w:t xml:space="preserve">Second, </w:t>
      </w:r>
      <w:r w:rsidR="00E4797A" w:rsidRPr="00E4797A">
        <w:rPr>
          <w:rFonts w:ascii="Georgia" w:hAnsi="Georgia"/>
          <w:bCs/>
          <w:sz w:val="24"/>
          <w:szCs w:val="24"/>
        </w:rPr>
        <w:t>PJM</w:t>
      </w:r>
      <w:r w:rsidR="00E4797A">
        <w:rPr>
          <w:rFonts w:ascii="Georgia" w:hAnsi="Georgia"/>
          <w:bCs/>
          <w:sz w:val="24"/>
          <w:szCs w:val="24"/>
        </w:rPr>
        <w:t>’</w:t>
      </w:r>
      <w:r w:rsidR="00E4797A" w:rsidRPr="00E4797A">
        <w:rPr>
          <w:rFonts w:ascii="Georgia" w:hAnsi="Georgia"/>
          <w:bCs/>
          <w:sz w:val="24"/>
          <w:szCs w:val="24"/>
        </w:rPr>
        <w:t xml:space="preserve">s December 10, 2018 </w:t>
      </w:r>
      <w:r w:rsidR="00E4797A" w:rsidRPr="00E4797A">
        <w:rPr>
          <w:rFonts w:ascii="Georgia" w:hAnsi="Georgia"/>
          <w:bCs/>
          <w:i/>
          <w:iCs/>
          <w:sz w:val="24"/>
          <w:szCs w:val="24"/>
        </w:rPr>
        <w:t>Reply Brief</w:t>
      </w:r>
      <w:r w:rsidR="00E4797A" w:rsidRPr="00E4797A">
        <w:rPr>
          <w:rFonts w:ascii="Georgia" w:hAnsi="Georgia"/>
          <w:bCs/>
          <w:sz w:val="24"/>
          <w:szCs w:val="24"/>
        </w:rPr>
        <w:t xml:space="preserve"> endorsed Public Citizen</w:t>
      </w:r>
      <w:r w:rsidR="00E4797A">
        <w:rPr>
          <w:rFonts w:ascii="Georgia" w:hAnsi="Georgia"/>
          <w:bCs/>
          <w:sz w:val="24"/>
          <w:szCs w:val="24"/>
        </w:rPr>
        <w:t>’</w:t>
      </w:r>
      <w:r w:rsidR="00E4797A" w:rsidRPr="00E4797A">
        <w:rPr>
          <w:rFonts w:ascii="Georgia" w:hAnsi="Georgia"/>
          <w:bCs/>
          <w:sz w:val="24"/>
          <w:szCs w:val="24"/>
        </w:rPr>
        <w:t>s</w:t>
      </w:r>
      <w:r w:rsidR="00BE766A">
        <w:rPr>
          <w:rFonts w:ascii="Georgia" w:hAnsi="Georgia"/>
          <w:bCs/>
          <w:sz w:val="24"/>
          <w:szCs w:val="24"/>
        </w:rPr>
        <w:t xml:space="preserve"> request for the Commission “</w:t>
      </w:r>
      <w:r w:rsidR="00BE766A" w:rsidRPr="00BE766A">
        <w:rPr>
          <w:rFonts w:ascii="Georgia" w:hAnsi="Georgia"/>
          <w:bCs/>
          <w:sz w:val="24"/>
          <w:szCs w:val="24"/>
        </w:rPr>
        <w:t>to establish a notice-and-comment procedure as a means of screening potential participants in FTR markets</w:t>
      </w:r>
      <w:r w:rsidR="00572461">
        <w:rPr>
          <w:rFonts w:ascii="Georgia" w:hAnsi="Georgia"/>
          <w:bCs/>
          <w:sz w:val="24"/>
          <w:szCs w:val="24"/>
        </w:rPr>
        <w:t>”.</w:t>
      </w:r>
      <w:r w:rsidR="00572461">
        <w:rPr>
          <w:rStyle w:val="FootnoteReference"/>
          <w:rFonts w:ascii="Georgia" w:hAnsi="Georgia"/>
          <w:bCs/>
          <w:sz w:val="24"/>
          <w:szCs w:val="24"/>
        </w:rPr>
        <w:footnoteReference w:id="2"/>
      </w:r>
      <w:r w:rsidR="00572461">
        <w:rPr>
          <w:rFonts w:ascii="Georgia" w:hAnsi="Georgia"/>
          <w:bCs/>
          <w:sz w:val="24"/>
          <w:szCs w:val="24"/>
        </w:rPr>
        <w:t xml:space="preserve"> </w:t>
      </w:r>
      <w:r w:rsidR="001A40A3">
        <w:rPr>
          <w:rFonts w:ascii="Georgia" w:hAnsi="Georgia"/>
          <w:bCs/>
          <w:sz w:val="24"/>
          <w:szCs w:val="24"/>
        </w:rPr>
        <w:t xml:space="preserve">The Commission has thus far been silent on adopting this recommended reform. </w:t>
      </w:r>
      <w:r w:rsidR="00572461">
        <w:rPr>
          <w:rFonts w:ascii="Georgia" w:hAnsi="Georgia"/>
          <w:bCs/>
          <w:sz w:val="24"/>
          <w:szCs w:val="24"/>
        </w:rPr>
        <w:t>If the Commission is going to continue to allow trading of FTR swaps in its jurisdictional markets, we urge it to require firms seeking to trade FTRs to submit to notice-and-comment procedures similar to those seeking market-based rate authority and detail, among other things, upstream ownership and affiliation.</w:t>
      </w:r>
    </w:p>
    <w:p w14:paraId="3BA07580" w14:textId="4F0DA33B" w:rsidR="00572461" w:rsidRDefault="00572461" w:rsidP="00F80B12">
      <w:pPr>
        <w:spacing w:after="0" w:line="360" w:lineRule="auto"/>
        <w:ind w:firstLine="720"/>
        <w:rPr>
          <w:rFonts w:ascii="Georgia" w:hAnsi="Georgia"/>
          <w:bCs/>
          <w:sz w:val="24"/>
          <w:szCs w:val="24"/>
        </w:rPr>
      </w:pPr>
      <w:r>
        <w:rPr>
          <w:rFonts w:ascii="Georgia" w:hAnsi="Georgia"/>
          <w:bCs/>
          <w:sz w:val="24"/>
          <w:szCs w:val="24"/>
        </w:rPr>
        <w:lastRenderedPageBreak/>
        <w:t>Third, we reprise our concern that FTR trades are violating the terms of the exemption granted by the U.S. Commodity Futures Trading Commission</w:t>
      </w:r>
      <w:r w:rsidR="00227869">
        <w:rPr>
          <w:rFonts w:ascii="Georgia" w:hAnsi="Georgia"/>
          <w:bCs/>
          <w:sz w:val="24"/>
          <w:szCs w:val="24"/>
        </w:rPr>
        <w:t xml:space="preserve"> (CFTC)</w:t>
      </w:r>
      <w:r>
        <w:rPr>
          <w:rFonts w:ascii="Georgia" w:hAnsi="Georgia"/>
          <w:bCs/>
          <w:sz w:val="24"/>
          <w:szCs w:val="24"/>
        </w:rPr>
        <w:t xml:space="preserve">, </w:t>
      </w:r>
      <w:r w:rsidR="00CC6344">
        <w:rPr>
          <w:rFonts w:ascii="Georgia" w:hAnsi="Georgia"/>
          <w:bCs/>
          <w:sz w:val="24"/>
          <w:szCs w:val="24"/>
        </w:rPr>
        <w:t xml:space="preserve">and the Commission should therefore endorse handing jurisdiction of FTRs over to the CFTC, which is far better </w:t>
      </w:r>
      <w:r w:rsidR="00450612">
        <w:rPr>
          <w:rFonts w:ascii="Georgia" w:hAnsi="Georgia"/>
          <w:bCs/>
          <w:sz w:val="24"/>
          <w:szCs w:val="24"/>
        </w:rPr>
        <w:t>equipped</w:t>
      </w:r>
      <w:r w:rsidR="00CC6344">
        <w:rPr>
          <w:rFonts w:ascii="Georgia" w:hAnsi="Georgia"/>
          <w:bCs/>
          <w:sz w:val="24"/>
          <w:szCs w:val="24"/>
        </w:rPr>
        <w:t xml:space="preserve"> than FERC to oversee these swaps.</w:t>
      </w:r>
    </w:p>
    <w:p w14:paraId="13AB7B6A" w14:textId="326745EE" w:rsidR="00CC6344" w:rsidRPr="00CC6344" w:rsidRDefault="00CC6344" w:rsidP="00CC6344">
      <w:pPr>
        <w:spacing w:after="0" w:line="360" w:lineRule="auto"/>
        <w:ind w:firstLine="720"/>
        <w:rPr>
          <w:rFonts w:ascii="Georgia" w:hAnsi="Georgia"/>
          <w:sz w:val="24"/>
          <w:szCs w:val="24"/>
        </w:rPr>
      </w:pPr>
      <w:r w:rsidRPr="00CC6344">
        <w:rPr>
          <w:rFonts w:ascii="Georgia" w:hAnsi="Georgia"/>
          <w:sz w:val="24"/>
          <w:szCs w:val="24"/>
        </w:rPr>
        <w:t xml:space="preserve">Title VII of </w:t>
      </w:r>
      <w:r w:rsidR="00AA77F1" w:rsidRPr="00CC6344">
        <w:rPr>
          <w:rFonts w:ascii="Georgia" w:hAnsi="Georgia"/>
          <w:sz w:val="24"/>
          <w:szCs w:val="24"/>
        </w:rPr>
        <w:t>Dodd-Frank Wall Street Reform and Consumer Protection Act</w:t>
      </w:r>
      <w:r w:rsidRPr="00CC6344">
        <w:rPr>
          <w:rFonts w:ascii="Georgia" w:hAnsi="Georgia"/>
          <w:sz w:val="24"/>
          <w:szCs w:val="24"/>
        </w:rPr>
        <w:t xml:space="preserve"> amended the Commodity Exchange Act to expand the exclusive jurisdiction of the CFTC to cover swaps traded, executed, or cleared: “[The CFTC] shall have exclusive jurisdiction . . .with respect to accounts, agreements . . . and transactions involving swaps or contracts of sale of a commodity for future delivery (including significant price discovery contracts) traded or executed on a contract market . . . or a swap execution facility . . . or any other board of trade, exchange or market.”</w:t>
      </w:r>
      <w:r w:rsidRPr="00CC6344">
        <w:rPr>
          <w:rStyle w:val="FootnoteReference"/>
          <w:rFonts w:ascii="Georgia" w:hAnsi="Georgia"/>
          <w:sz w:val="24"/>
          <w:szCs w:val="24"/>
        </w:rPr>
        <w:footnoteReference w:id="3"/>
      </w:r>
      <w:r w:rsidRPr="00CC6344">
        <w:rPr>
          <w:rFonts w:ascii="Georgia" w:hAnsi="Georgia"/>
          <w:sz w:val="24"/>
          <w:szCs w:val="24"/>
        </w:rPr>
        <w:t xml:space="preserve"> Dodd-Frank further clarified that the CFTC retains its authorities over agreements, contracts or transactions traded pursuant to FERC-approved tariff or rate schedules.</w:t>
      </w:r>
      <w:r w:rsidRPr="00CC6344">
        <w:rPr>
          <w:rStyle w:val="FootnoteReference"/>
          <w:rFonts w:ascii="Georgia" w:hAnsi="Georgia"/>
          <w:sz w:val="24"/>
          <w:szCs w:val="24"/>
        </w:rPr>
        <w:footnoteReference w:id="4"/>
      </w:r>
      <w:r w:rsidRPr="00CC6344">
        <w:rPr>
          <w:rFonts w:ascii="Georgia" w:hAnsi="Georgia"/>
          <w:sz w:val="24"/>
          <w:szCs w:val="24"/>
        </w:rPr>
        <w:t xml:space="preserve"> Dodd-Frank also empowers the CFTC to exempt certain swaps like FTRs:</w:t>
      </w:r>
    </w:p>
    <w:p w14:paraId="34AA5B9D" w14:textId="77777777" w:rsidR="00CC6344" w:rsidRPr="00CC6344" w:rsidRDefault="00CC6344" w:rsidP="00CC6344">
      <w:pPr>
        <w:spacing w:after="0" w:line="240" w:lineRule="auto"/>
        <w:rPr>
          <w:rFonts w:ascii="Georgia" w:hAnsi="Georgia"/>
          <w:sz w:val="24"/>
          <w:szCs w:val="24"/>
        </w:rPr>
      </w:pPr>
    </w:p>
    <w:p w14:paraId="732011C1" w14:textId="1500A072" w:rsidR="00CC6344" w:rsidRDefault="00CC6344" w:rsidP="0096781A">
      <w:pPr>
        <w:spacing w:after="0" w:line="240" w:lineRule="auto"/>
        <w:ind w:left="720"/>
        <w:rPr>
          <w:rFonts w:ascii="Georgia" w:hAnsi="Georgia"/>
          <w:sz w:val="24"/>
          <w:szCs w:val="24"/>
        </w:rPr>
      </w:pPr>
      <w:r w:rsidRPr="00CC6344">
        <w:rPr>
          <w:rFonts w:ascii="Georgia" w:hAnsi="Georgia"/>
          <w:i/>
        </w:rPr>
        <w:t>If the [CFTC] determines that the exemption would be consistent with the public interest and the purposes of this act, the [CFTC] shall . . . exempt from the requirements of this Act an agreement, contract, or transaction that is entered into pursuant to a tariff or rate schedule approved or permitted to take effect by the Federal Energy Regulatory Commission.</w:t>
      </w:r>
      <w:r w:rsidRPr="00CC6344">
        <w:rPr>
          <w:rStyle w:val="FootnoteReference"/>
          <w:rFonts w:ascii="Georgia" w:hAnsi="Georgia"/>
          <w:sz w:val="24"/>
          <w:szCs w:val="24"/>
        </w:rPr>
        <w:footnoteReference w:id="5"/>
      </w:r>
    </w:p>
    <w:p w14:paraId="35DDD286" w14:textId="77777777" w:rsidR="0096781A" w:rsidRPr="0096781A" w:rsidRDefault="0096781A" w:rsidP="0096781A">
      <w:pPr>
        <w:spacing w:after="0" w:line="240" w:lineRule="auto"/>
        <w:ind w:left="720"/>
        <w:rPr>
          <w:rFonts w:ascii="Georgia" w:hAnsi="Georgia"/>
          <w:iCs/>
          <w:sz w:val="24"/>
          <w:szCs w:val="24"/>
        </w:rPr>
      </w:pPr>
    </w:p>
    <w:p w14:paraId="305615DF" w14:textId="77777777" w:rsidR="00CC6344" w:rsidRPr="00CC6344" w:rsidRDefault="00CC6344" w:rsidP="00CC6344">
      <w:pPr>
        <w:spacing w:after="0" w:line="360" w:lineRule="auto"/>
        <w:rPr>
          <w:rFonts w:ascii="Georgia" w:hAnsi="Georgia"/>
          <w:sz w:val="24"/>
          <w:szCs w:val="24"/>
        </w:rPr>
      </w:pPr>
      <w:r w:rsidRPr="00CC6344">
        <w:rPr>
          <w:rFonts w:ascii="Georgia" w:hAnsi="Georgia"/>
          <w:sz w:val="24"/>
          <w:szCs w:val="24"/>
        </w:rPr>
        <w:tab/>
        <w:t>In accordance with the CFTC’s exclusive authority to both regulate swaps and provide exemptions to this regulatory authority, PJM joined with other RTOs and filed a joint petition to the CFTC on February 7, 2012 asking to exempt “financial transmission rights” from CFTC jurisdiction.</w:t>
      </w:r>
    </w:p>
    <w:p w14:paraId="01EA1360" w14:textId="728A0D46" w:rsidR="00CC6344" w:rsidRPr="00CC6344" w:rsidRDefault="00CC6344" w:rsidP="00F80B12">
      <w:pPr>
        <w:spacing w:after="0" w:line="360" w:lineRule="auto"/>
        <w:rPr>
          <w:rFonts w:ascii="Georgia" w:hAnsi="Georgia"/>
          <w:sz w:val="24"/>
          <w:szCs w:val="24"/>
        </w:rPr>
      </w:pPr>
      <w:r w:rsidRPr="00CC6344">
        <w:rPr>
          <w:rFonts w:ascii="Georgia" w:hAnsi="Georgia"/>
          <w:sz w:val="24"/>
          <w:szCs w:val="24"/>
        </w:rPr>
        <w:tab/>
        <w:t>On April 2, 2013, the CFTC published its Final Order approving the exemption of FTRs.</w:t>
      </w:r>
      <w:r w:rsidRPr="00CC6344">
        <w:rPr>
          <w:rStyle w:val="FootnoteReference"/>
          <w:rFonts w:ascii="Georgia" w:hAnsi="Georgia"/>
          <w:sz w:val="24"/>
          <w:szCs w:val="24"/>
        </w:rPr>
        <w:footnoteReference w:id="6"/>
      </w:r>
      <w:r w:rsidRPr="00CC6344">
        <w:rPr>
          <w:rFonts w:ascii="Georgia" w:hAnsi="Georgia"/>
          <w:sz w:val="24"/>
          <w:szCs w:val="24"/>
        </w:rPr>
        <w:t xml:space="preserve"> The Final Order explicitly reserved the right to clawback the exemption</w:t>
      </w:r>
      <w:r w:rsidR="00110A42">
        <w:rPr>
          <w:rFonts w:ascii="Georgia" w:hAnsi="Georgia"/>
          <w:sz w:val="24"/>
          <w:szCs w:val="24"/>
        </w:rPr>
        <w:t xml:space="preserve">, and noted that FTR market participants would be </w:t>
      </w:r>
      <w:r w:rsidR="00175065">
        <w:rPr>
          <w:rFonts w:ascii="Georgia" w:hAnsi="Georgia"/>
          <w:sz w:val="24"/>
          <w:szCs w:val="24"/>
        </w:rPr>
        <w:t>“</w:t>
      </w:r>
      <w:r w:rsidR="00175065" w:rsidRPr="00175065">
        <w:rPr>
          <w:rFonts w:ascii="Georgia" w:hAnsi="Georgia"/>
          <w:sz w:val="24"/>
          <w:szCs w:val="24"/>
        </w:rPr>
        <w:t>commercial participants that are in the business of generating, transmitting, and distributing electric energy</w:t>
      </w:r>
      <w:r w:rsidR="00175065">
        <w:rPr>
          <w:rFonts w:ascii="Georgia" w:hAnsi="Georgia"/>
          <w:sz w:val="24"/>
          <w:szCs w:val="24"/>
        </w:rPr>
        <w:t>”―</w:t>
      </w:r>
      <w:r w:rsidR="00175065" w:rsidRPr="00175065">
        <w:rPr>
          <w:rFonts w:ascii="Georgia" w:hAnsi="Georgia"/>
          <w:sz w:val="24"/>
          <w:szCs w:val="24"/>
          <w:u w:val="single"/>
        </w:rPr>
        <w:t>not</w:t>
      </w:r>
      <w:r w:rsidR="00175065">
        <w:rPr>
          <w:rFonts w:ascii="Georgia" w:hAnsi="Georgia"/>
          <w:sz w:val="24"/>
          <w:szCs w:val="24"/>
        </w:rPr>
        <w:t xml:space="preserve"> financial speculators</w:t>
      </w:r>
      <w:r w:rsidRPr="00CC6344">
        <w:rPr>
          <w:rFonts w:ascii="Georgia" w:hAnsi="Georgia"/>
          <w:sz w:val="24"/>
          <w:szCs w:val="24"/>
        </w:rPr>
        <w:t xml:space="preserve">: </w:t>
      </w:r>
    </w:p>
    <w:p w14:paraId="0BF602C0" w14:textId="601B6A8E" w:rsidR="00CC6344" w:rsidRPr="004654AD" w:rsidRDefault="00CC6344" w:rsidP="00CC6344">
      <w:pPr>
        <w:spacing w:after="0" w:line="240" w:lineRule="auto"/>
        <w:ind w:left="720"/>
        <w:rPr>
          <w:rFonts w:ascii="Georgia" w:hAnsi="Georgia"/>
          <w:iCs/>
        </w:rPr>
      </w:pPr>
      <w:r w:rsidRPr="00CC6344">
        <w:rPr>
          <w:rFonts w:ascii="Georgia" w:hAnsi="Georgia"/>
          <w:i/>
        </w:rPr>
        <w:lastRenderedPageBreak/>
        <w:t xml:space="preserve">[the CFTC] expressly noted that the proposed exemption was based upon the representations made in the Petition and in the supporting materials provided by the Requesting Parties and their counsel, </w:t>
      </w:r>
      <w:r w:rsidRPr="00C45496">
        <w:rPr>
          <w:rFonts w:ascii="Georgia" w:hAnsi="Georgia"/>
          <w:i/>
          <w:u w:val="single"/>
        </w:rPr>
        <w:t>and that any material change or omission in the facts and circumstances that alter the grounds for the Proposed Order might require the Commission to reconsider its finding that the exemption contained therein is appropriate and/or in the public interest and consistent with the purposes of the CEA</w:t>
      </w:r>
      <w:r w:rsidRPr="00CC6344">
        <w:rPr>
          <w:rFonts w:ascii="Georgia" w:hAnsi="Georgia"/>
          <w:i/>
        </w:rPr>
        <w:t xml:space="preserve"> </w:t>
      </w:r>
      <w:r w:rsidR="00522EF4">
        <w:rPr>
          <w:rFonts w:ascii="Georgia" w:hAnsi="Georgia"/>
          <w:i/>
        </w:rPr>
        <w:t>…</w:t>
      </w:r>
      <w:r w:rsidRPr="00CC6344">
        <w:rPr>
          <w:rFonts w:ascii="Georgia" w:hAnsi="Georgia"/>
          <w:i/>
        </w:rPr>
        <w:t xml:space="preserve"> several of the [RTOs] representations of particular importance, including: The exemption sought by the [RTOs] relates to the transactions described in the Proposed Order, </w:t>
      </w:r>
      <w:r w:rsidRPr="00C45496">
        <w:rPr>
          <w:rFonts w:ascii="Georgia" w:hAnsi="Georgia"/>
          <w:i/>
          <w:u w:val="single"/>
        </w:rPr>
        <w:t xml:space="preserve">which are primarily entered into by </w:t>
      </w:r>
      <w:bookmarkStart w:id="0" w:name="_Hlk129099446"/>
      <w:r w:rsidRPr="00C45496">
        <w:rPr>
          <w:rFonts w:ascii="Georgia" w:hAnsi="Georgia"/>
          <w:i/>
          <w:u w:val="single"/>
        </w:rPr>
        <w:t>commercial participants that are in the business of generating, transmitting, and distributing electric energy</w:t>
      </w:r>
      <w:bookmarkEnd w:id="0"/>
      <w:r w:rsidRPr="00CC6344">
        <w:rPr>
          <w:rFonts w:ascii="Georgia" w:hAnsi="Georgia"/>
          <w:i/>
        </w:rPr>
        <w:t>; . . . the transactions . . . enable the reliable delivery of affordable electric energy</w:t>
      </w:r>
      <w:r w:rsidR="00110A42">
        <w:rPr>
          <w:rFonts w:ascii="Georgia" w:hAnsi="Georgia"/>
          <w:i/>
        </w:rPr>
        <w:t xml:space="preserve"> . . .</w:t>
      </w:r>
      <w:r w:rsidRPr="00CC6344">
        <w:rPr>
          <w:rFonts w:ascii="Georgia" w:hAnsi="Georgia"/>
          <w:i/>
        </w:rPr>
        <w:t xml:space="preserve"> and each transaction defined in the Proposed Order is directly tied to the physical capabilities of the Requesting Parties' electric energy grids</w:t>
      </w:r>
      <w:r w:rsidR="004654AD">
        <w:rPr>
          <w:rFonts w:ascii="Georgia" w:hAnsi="Georgia"/>
          <w:i/>
        </w:rPr>
        <w:t xml:space="preserve"> </w:t>
      </w:r>
      <w:r w:rsidR="004654AD">
        <w:rPr>
          <w:rFonts w:ascii="Georgia" w:hAnsi="Georgia"/>
          <w:iCs/>
        </w:rPr>
        <w:t>[emphasis added].</w:t>
      </w:r>
    </w:p>
    <w:p w14:paraId="04AD226C" w14:textId="010E3CCA" w:rsidR="00CC6344" w:rsidRDefault="00CC6344" w:rsidP="00CC6344">
      <w:pPr>
        <w:spacing w:after="0" w:line="240" w:lineRule="auto"/>
        <w:rPr>
          <w:rFonts w:ascii="Georgia" w:hAnsi="Georgia"/>
          <w:iCs/>
        </w:rPr>
      </w:pPr>
    </w:p>
    <w:p w14:paraId="1A3EC3AA" w14:textId="549FDFD4" w:rsidR="00CC6344" w:rsidRDefault="008E7D34" w:rsidP="00581DB4">
      <w:pPr>
        <w:spacing w:after="0" w:line="360" w:lineRule="auto"/>
        <w:ind w:firstLine="720"/>
        <w:rPr>
          <w:rFonts w:ascii="Georgia" w:hAnsi="Georgia"/>
          <w:iCs/>
          <w:sz w:val="24"/>
          <w:szCs w:val="24"/>
        </w:rPr>
      </w:pPr>
      <w:r>
        <w:rPr>
          <w:rFonts w:ascii="Georgia" w:hAnsi="Georgia"/>
          <w:iCs/>
          <w:sz w:val="24"/>
          <w:szCs w:val="24"/>
        </w:rPr>
        <w:t xml:space="preserve">The </w:t>
      </w:r>
      <w:r w:rsidRPr="00F80B12">
        <w:rPr>
          <w:rFonts w:ascii="Georgia" w:hAnsi="Georgia"/>
          <w:i/>
          <w:sz w:val="24"/>
          <w:szCs w:val="24"/>
        </w:rPr>
        <w:t>Quarterly State of the Market Report for PJM: January through September</w:t>
      </w:r>
      <w:r>
        <w:rPr>
          <w:rFonts w:ascii="Georgia" w:hAnsi="Georgia"/>
          <w:iCs/>
          <w:sz w:val="24"/>
          <w:szCs w:val="24"/>
        </w:rPr>
        <w:t xml:space="preserve"> concludes that PJM’s FTR market participants are dominated by financial</w:t>
      </w:r>
      <w:r w:rsidR="00F80B12">
        <w:rPr>
          <w:rFonts w:ascii="Georgia" w:hAnsi="Georgia"/>
          <w:iCs/>
          <w:sz w:val="24"/>
          <w:szCs w:val="24"/>
        </w:rPr>
        <w:t xml:space="preserve"> </w:t>
      </w:r>
      <w:r>
        <w:rPr>
          <w:rFonts w:ascii="Georgia" w:hAnsi="Georgia"/>
          <w:iCs/>
          <w:sz w:val="24"/>
          <w:szCs w:val="24"/>
        </w:rPr>
        <w:t>speculators</w:t>
      </w:r>
      <w:r w:rsidR="00C45496">
        <w:rPr>
          <w:rFonts w:ascii="Georgia" w:hAnsi="Georgia"/>
          <w:iCs/>
          <w:sz w:val="24"/>
          <w:szCs w:val="24"/>
        </w:rPr>
        <w:t>―</w:t>
      </w:r>
      <w:r w:rsidR="00F80B12">
        <w:rPr>
          <w:rFonts w:ascii="Georgia" w:hAnsi="Georgia"/>
          <w:iCs/>
          <w:sz w:val="24"/>
          <w:szCs w:val="24"/>
        </w:rPr>
        <w:t xml:space="preserve"> </w:t>
      </w:r>
      <w:r w:rsidR="00C45496">
        <w:rPr>
          <w:rFonts w:ascii="Georgia" w:hAnsi="Georgia"/>
          <w:iCs/>
          <w:sz w:val="24"/>
          <w:szCs w:val="24"/>
        </w:rPr>
        <w:t xml:space="preserve">and </w:t>
      </w:r>
      <w:r w:rsidR="00C45496" w:rsidRPr="00C45496">
        <w:rPr>
          <w:rFonts w:ascii="Georgia" w:hAnsi="Georgia"/>
          <w:iCs/>
          <w:sz w:val="24"/>
          <w:szCs w:val="24"/>
          <w:u w:val="single"/>
        </w:rPr>
        <w:t xml:space="preserve">not </w:t>
      </w:r>
      <w:r w:rsidR="00C45496">
        <w:rPr>
          <w:rFonts w:ascii="Georgia" w:hAnsi="Georgia"/>
          <w:iCs/>
          <w:sz w:val="24"/>
          <w:szCs w:val="24"/>
        </w:rPr>
        <w:t>“</w:t>
      </w:r>
      <w:r w:rsidR="00C45496" w:rsidRPr="00C45496">
        <w:rPr>
          <w:rFonts w:ascii="Georgia" w:hAnsi="Georgia"/>
          <w:iCs/>
          <w:sz w:val="24"/>
          <w:szCs w:val="24"/>
        </w:rPr>
        <w:t>commercial participants that are in the business of generating, transmitting, and distributing electric energy</w:t>
      </w:r>
      <w:r w:rsidR="00C45496">
        <w:rPr>
          <w:rFonts w:ascii="Georgia" w:hAnsi="Georgia"/>
          <w:iCs/>
          <w:sz w:val="24"/>
          <w:szCs w:val="24"/>
        </w:rPr>
        <w:t>”, as pledged to the CFTC:</w:t>
      </w:r>
    </w:p>
    <w:p w14:paraId="02B59BA9" w14:textId="0C2166F5" w:rsidR="008E7D34" w:rsidRDefault="008E7D34" w:rsidP="00CC6344">
      <w:pPr>
        <w:spacing w:after="0" w:line="240" w:lineRule="auto"/>
        <w:rPr>
          <w:rFonts w:ascii="Georgia" w:hAnsi="Georgia"/>
          <w:iCs/>
          <w:sz w:val="24"/>
          <w:szCs w:val="24"/>
        </w:rPr>
      </w:pPr>
    </w:p>
    <w:p w14:paraId="78778032" w14:textId="01080668" w:rsidR="008E7D34" w:rsidRPr="00F80B12" w:rsidRDefault="00B55C0A" w:rsidP="00F80B12">
      <w:pPr>
        <w:spacing w:after="0" w:line="240" w:lineRule="auto"/>
        <w:ind w:left="720"/>
        <w:rPr>
          <w:rFonts w:ascii="Georgia" w:hAnsi="Georgia"/>
          <w:i/>
        </w:rPr>
      </w:pPr>
      <w:r w:rsidRPr="00F80B12">
        <w:rPr>
          <w:rFonts w:ascii="Georgia" w:hAnsi="Georgia"/>
          <w:i/>
        </w:rPr>
        <w:t>FTR design does not serve as an efficient mechanism for returning</w:t>
      </w:r>
      <w:r w:rsidR="00F80B12" w:rsidRPr="00F80B12">
        <w:rPr>
          <w:rFonts w:ascii="Georgia" w:hAnsi="Georgia"/>
          <w:i/>
        </w:rPr>
        <w:t xml:space="preserve"> </w:t>
      </w:r>
      <w:r w:rsidRPr="00F80B12">
        <w:rPr>
          <w:rFonts w:ascii="Georgia" w:hAnsi="Georgia"/>
          <w:i/>
        </w:rPr>
        <w:t>congestion [revenues] to load</w:t>
      </w:r>
      <w:r w:rsidRPr="00F80B12">
        <w:rPr>
          <w:rFonts w:ascii="Georgia" w:hAnsi="Georgia"/>
          <w:i/>
        </w:rPr>
        <w:t xml:space="preserve"> . . . </w:t>
      </w:r>
      <w:r w:rsidR="008E7D34" w:rsidRPr="00F80B12">
        <w:rPr>
          <w:rFonts w:ascii="Georgia" w:hAnsi="Georgia"/>
          <w:i/>
        </w:rPr>
        <w:t>For the Monthly Balance of Planning Period</w:t>
      </w:r>
      <w:r w:rsidR="00F80B12" w:rsidRPr="00F80B12">
        <w:rPr>
          <w:rFonts w:ascii="Georgia" w:hAnsi="Georgia"/>
          <w:i/>
        </w:rPr>
        <w:t xml:space="preserve"> </w:t>
      </w:r>
      <w:r w:rsidR="008E7D34" w:rsidRPr="00F80B12">
        <w:rPr>
          <w:rFonts w:ascii="Georgia" w:hAnsi="Georgia"/>
          <w:i/>
        </w:rPr>
        <w:t>Auctions, financial entities purchased 80.9 percent of prevailing flow and</w:t>
      </w:r>
      <w:r w:rsidR="00F80B12" w:rsidRPr="00F80B12">
        <w:rPr>
          <w:rFonts w:ascii="Georgia" w:hAnsi="Georgia"/>
          <w:i/>
        </w:rPr>
        <w:t xml:space="preserve"> </w:t>
      </w:r>
      <w:r w:rsidR="008E7D34" w:rsidRPr="00F80B12">
        <w:rPr>
          <w:rFonts w:ascii="Georgia" w:hAnsi="Georgia"/>
          <w:i/>
        </w:rPr>
        <w:t>89.7 percent of counter flow FTRs for January through September, 2022.</w:t>
      </w:r>
      <w:r w:rsidR="00F80B12" w:rsidRPr="00F80B12">
        <w:rPr>
          <w:rFonts w:ascii="Georgia" w:hAnsi="Georgia"/>
          <w:i/>
        </w:rPr>
        <w:t xml:space="preserve"> </w:t>
      </w:r>
      <w:r w:rsidR="008E7D34" w:rsidRPr="00F80B12">
        <w:rPr>
          <w:rFonts w:ascii="Georgia" w:hAnsi="Georgia"/>
          <w:i/>
        </w:rPr>
        <w:t>Financial entities owned 75.3 percent of all prevailing and counter flow</w:t>
      </w:r>
      <w:r w:rsidR="00F80B12" w:rsidRPr="00F80B12">
        <w:rPr>
          <w:rFonts w:ascii="Georgia" w:hAnsi="Georgia"/>
          <w:i/>
        </w:rPr>
        <w:t xml:space="preserve"> </w:t>
      </w:r>
      <w:r w:rsidR="008E7D34" w:rsidRPr="00F80B12">
        <w:rPr>
          <w:rFonts w:ascii="Georgia" w:hAnsi="Georgia"/>
          <w:i/>
        </w:rPr>
        <w:t>FTRs, including 64.9 percent of all prevailing flow FTRs and 86.7 percent</w:t>
      </w:r>
      <w:r w:rsidR="00F80B12" w:rsidRPr="00F80B12">
        <w:rPr>
          <w:rFonts w:ascii="Georgia" w:hAnsi="Georgia"/>
          <w:i/>
        </w:rPr>
        <w:t xml:space="preserve"> </w:t>
      </w:r>
      <w:r w:rsidR="008E7D34" w:rsidRPr="00F80B12">
        <w:rPr>
          <w:rFonts w:ascii="Georgia" w:hAnsi="Georgia"/>
          <w:i/>
        </w:rPr>
        <w:t>of all counter flow FTRs during the period from January through September</w:t>
      </w:r>
      <w:r w:rsidR="00F80B12" w:rsidRPr="00F80B12">
        <w:rPr>
          <w:rFonts w:ascii="Georgia" w:hAnsi="Georgia"/>
          <w:i/>
        </w:rPr>
        <w:t xml:space="preserve"> </w:t>
      </w:r>
      <w:r w:rsidR="008E7D34" w:rsidRPr="00F80B12">
        <w:rPr>
          <w:rFonts w:ascii="Georgia" w:hAnsi="Georgia"/>
          <w:i/>
        </w:rPr>
        <w:t>2022. Self scheduled FTRs account for 4.9 percent of all FTRs held</w:t>
      </w:r>
      <w:r w:rsidRPr="00F80B12">
        <w:rPr>
          <w:rFonts w:ascii="Georgia" w:hAnsi="Georgia"/>
          <w:i/>
        </w:rPr>
        <w:t xml:space="preserve"> . . .</w:t>
      </w:r>
      <w:r w:rsidR="00F80B12" w:rsidRPr="00F80B12">
        <w:rPr>
          <w:rFonts w:ascii="Georgia" w:hAnsi="Georgia"/>
          <w:i/>
        </w:rPr>
        <w:t xml:space="preserve"> </w:t>
      </w:r>
      <w:r w:rsidRPr="00F80B12">
        <w:rPr>
          <w:rFonts w:ascii="Georgia" w:hAnsi="Georgia"/>
          <w:i/>
        </w:rPr>
        <w:t>Financial entities received $225.1 million in profits, up</w:t>
      </w:r>
      <w:r w:rsidR="00F80B12" w:rsidRPr="00F80B12">
        <w:rPr>
          <w:rFonts w:ascii="Georgia" w:hAnsi="Georgia"/>
          <w:i/>
        </w:rPr>
        <w:t xml:space="preserve"> </w:t>
      </w:r>
      <w:r w:rsidRPr="00F80B12">
        <w:rPr>
          <w:rFonts w:ascii="Georgia" w:hAnsi="Georgia"/>
          <w:i/>
        </w:rPr>
        <w:t>from $100.3 million profits in</w:t>
      </w:r>
      <w:r w:rsidR="00F80B12" w:rsidRPr="00F80B12">
        <w:rPr>
          <w:rFonts w:ascii="Georgia" w:hAnsi="Georgia"/>
          <w:i/>
        </w:rPr>
        <w:t xml:space="preserve"> </w:t>
      </w:r>
      <w:r w:rsidRPr="00F80B12">
        <w:rPr>
          <w:rFonts w:ascii="Georgia" w:hAnsi="Georgia"/>
          <w:i/>
        </w:rPr>
        <w:t>the same time period in the 2021/2022</w:t>
      </w:r>
      <w:r w:rsidR="00F80B12" w:rsidRPr="00F80B12">
        <w:rPr>
          <w:rFonts w:ascii="Georgia" w:hAnsi="Georgia"/>
          <w:i/>
        </w:rPr>
        <w:t xml:space="preserve"> </w:t>
      </w:r>
      <w:r w:rsidRPr="00F80B12">
        <w:rPr>
          <w:rFonts w:ascii="Georgia" w:hAnsi="Georgia"/>
          <w:i/>
        </w:rPr>
        <w:t>planning period.</w:t>
      </w:r>
      <w:r w:rsidR="00F80B12">
        <w:rPr>
          <w:rStyle w:val="FootnoteReference"/>
          <w:rFonts w:ascii="Georgia" w:hAnsi="Georgia"/>
          <w:i/>
        </w:rPr>
        <w:footnoteReference w:id="7"/>
      </w:r>
    </w:p>
    <w:p w14:paraId="23EC29B7" w14:textId="36092421" w:rsidR="00F80B12" w:rsidRDefault="00F80B12" w:rsidP="00B55C0A">
      <w:pPr>
        <w:spacing w:after="0" w:line="240" w:lineRule="auto"/>
        <w:rPr>
          <w:rFonts w:ascii="Georgia" w:hAnsi="Georgia"/>
          <w:iCs/>
          <w:sz w:val="24"/>
          <w:szCs w:val="24"/>
        </w:rPr>
      </w:pPr>
    </w:p>
    <w:p w14:paraId="17BBC6E1" w14:textId="601E0A02" w:rsidR="00F80B12" w:rsidRDefault="00F80B12" w:rsidP="00581DB4">
      <w:pPr>
        <w:spacing w:after="0" w:line="360" w:lineRule="auto"/>
        <w:rPr>
          <w:rFonts w:ascii="Georgia" w:hAnsi="Georgia"/>
          <w:iCs/>
          <w:sz w:val="24"/>
          <w:szCs w:val="24"/>
        </w:rPr>
      </w:pPr>
      <w:r>
        <w:rPr>
          <w:rFonts w:ascii="Georgia" w:hAnsi="Georgia"/>
          <w:iCs/>
          <w:sz w:val="24"/>
          <w:szCs w:val="24"/>
        </w:rPr>
        <w:tab/>
        <w:t>The fact that PJM’s FTR market participants are in violation of the terms of the exemption granted by the CFTC should result in a revocation of the exemption and place PJM’s FTR market under the exclusive jurisdiction of the CFTC.</w:t>
      </w:r>
    </w:p>
    <w:p w14:paraId="59DBE976" w14:textId="77777777" w:rsidR="00581DB4" w:rsidRDefault="00581DB4" w:rsidP="00B55C0A">
      <w:pPr>
        <w:spacing w:after="0" w:line="240" w:lineRule="auto"/>
        <w:rPr>
          <w:rFonts w:ascii="Georgia" w:hAnsi="Georgia"/>
          <w:iCs/>
          <w:sz w:val="24"/>
          <w:szCs w:val="24"/>
        </w:rPr>
      </w:pPr>
    </w:p>
    <w:p w14:paraId="3CC0DEAB" w14:textId="77777777" w:rsidR="00581DB4" w:rsidRDefault="00581DB4" w:rsidP="00B55C0A">
      <w:pPr>
        <w:spacing w:after="0" w:line="240" w:lineRule="auto"/>
        <w:rPr>
          <w:rFonts w:ascii="Georgia" w:hAnsi="Georgia"/>
          <w:iCs/>
          <w:sz w:val="24"/>
          <w:szCs w:val="24"/>
        </w:rPr>
      </w:pPr>
    </w:p>
    <w:p w14:paraId="64FD8E7D" w14:textId="45EE1248" w:rsidR="00581DB4" w:rsidRDefault="00581DB4" w:rsidP="00B55C0A">
      <w:pPr>
        <w:spacing w:after="0" w:line="240" w:lineRule="auto"/>
        <w:rPr>
          <w:rFonts w:ascii="Georgia" w:hAnsi="Georgia"/>
          <w:iCs/>
          <w:sz w:val="24"/>
          <w:szCs w:val="24"/>
        </w:rPr>
      </w:pPr>
      <w:r>
        <w:rPr>
          <w:rFonts w:ascii="Georgia" w:hAnsi="Georgia"/>
          <w:iCs/>
          <w:sz w:val="24"/>
          <w:szCs w:val="24"/>
        </w:rPr>
        <w:tab/>
      </w:r>
      <w:r>
        <w:rPr>
          <w:rFonts w:ascii="Georgia" w:hAnsi="Georgia"/>
          <w:iCs/>
          <w:sz w:val="24"/>
          <w:szCs w:val="24"/>
        </w:rPr>
        <w:tab/>
        <w:t>Respectfully submitted,</w:t>
      </w:r>
    </w:p>
    <w:p w14:paraId="108FE606" w14:textId="77777777" w:rsidR="00581DB4" w:rsidRDefault="00581DB4" w:rsidP="00B55C0A">
      <w:pPr>
        <w:spacing w:after="0" w:line="240" w:lineRule="auto"/>
        <w:rPr>
          <w:rFonts w:ascii="Georgia" w:hAnsi="Georgia"/>
          <w:iCs/>
          <w:sz w:val="24"/>
          <w:szCs w:val="24"/>
        </w:rPr>
      </w:pPr>
    </w:p>
    <w:p w14:paraId="4D70745D" w14:textId="2831494D" w:rsidR="00581DB4" w:rsidRDefault="00581DB4" w:rsidP="00B55C0A">
      <w:pPr>
        <w:spacing w:after="0" w:line="240" w:lineRule="auto"/>
        <w:rPr>
          <w:rFonts w:ascii="Georgia" w:hAnsi="Georgia"/>
          <w:iCs/>
          <w:sz w:val="24"/>
          <w:szCs w:val="24"/>
        </w:rPr>
      </w:pPr>
      <w:r>
        <w:rPr>
          <w:rFonts w:ascii="Georgia" w:hAnsi="Georgia"/>
          <w:iCs/>
          <w:sz w:val="24"/>
          <w:szCs w:val="24"/>
        </w:rPr>
        <w:tab/>
      </w:r>
      <w:r>
        <w:rPr>
          <w:rFonts w:ascii="Georgia" w:hAnsi="Georgia"/>
          <w:iCs/>
          <w:sz w:val="24"/>
          <w:szCs w:val="24"/>
        </w:rPr>
        <w:tab/>
        <w:t>Tyson Slocum, Energy Program Director</w:t>
      </w:r>
    </w:p>
    <w:p w14:paraId="75B99A20" w14:textId="5A9FC0F5" w:rsidR="00581DB4" w:rsidRDefault="00581DB4" w:rsidP="00B55C0A">
      <w:pPr>
        <w:spacing w:after="0" w:line="240" w:lineRule="auto"/>
        <w:rPr>
          <w:rFonts w:ascii="Georgia" w:hAnsi="Georgia"/>
          <w:iCs/>
          <w:sz w:val="24"/>
          <w:szCs w:val="24"/>
        </w:rPr>
      </w:pPr>
      <w:r>
        <w:rPr>
          <w:rFonts w:ascii="Georgia" w:hAnsi="Georgia"/>
          <w:iCs/>
          <w:sz w:val="24"/>
          <w:szCs w:val="24"/>
        </w:rPr>
        <w:tab/>
      </w:r>
      <w:r>
        <w:rPr>
          <w:rFonts w:ascii="Georgia" w:hAnsi="Georgia"/>
          <w:iCs/>
          <w:sz w:val="24"/>
          <w:szCs w:val="24"/>
        </w:rPr>
        <w:tab/>
        <w:t>Public Citizen, Inc.</w:t>
      </w:r>
    </w:p>
    <w:p w14:paraId="3279A096" w14:textId="586CFA99" w:rsidR="00581DB4" w:rsidRDefault="00581DB4" w:rsidP="00B55C0A">
      <w:pPr>
        <w:spacing w:after="0" w:line="240" w:lineRule="auto"/>
        <w:rPr>
          <w:rFonts w:ascii="Georgia" w:hAnsi="Georgia"/>
          <w:iCs/>
          <w:sz w:val="24"/>
          <w:szCs w:val="24"/>
        </w:rPr>
      </w:pPr>
      <w:r>
        <w:rPr>
          <w:rFonts w:ascii="Georgia" w:hAnsi="Georgia"/>
          <w:iCs/>
          <w:sz w:val="24"/>
          <w:szCs w:val="24"/>
        </w:rPr>
        <w:tab/>
      </w:r>
      <w:r>
        <w:rPr>
          <w:rFonts w:ascii="Georgia" w:hAnsi="Georgia"/>
          <w:iCs/>
          <w:sz w:val="24"/>
          <w:szCs w:val="24"/>
        </w:rPr>
        <w:tab/>
        <w:t>215 Pennsylvania Ave SE</w:t>
      </w:r>
    </w:p>
    <w:p w14:paraId="3046E4B5" w14:textId="5D50E6E7" w:rsidR="00581DB4" w:rsidRDefault="00581DB4" w:rsidP="00B55C0A">
      <w:pPr>
        <w:spacing w:after="0" w:line="240" w:lineRule="auto"/>
        <w:rPr>
          <w:rFonts w:ascii="Georgia" w:hAnsi="Georgia"/>
          <w:iCs/>
          <w:sz w:val="24"/>
          <w:szCs w:val="24"/>
        </w:rPr>
      </w:pPr>
      <w:r>
        <w:rPr>
          <w:rFonts w:ascii="Georgia" w:hAnsi="Georgia"/>
          <w:iCs/>
          <w:sz w:val="24"/>
          <w:szCs w:val="24"/>
        </w:rPr>
        <w:tab/>
      </w:r>
      <w:r>
        <w:rPr>
          <w:rFonts w:ascii="Georgia" w:hAnsi="Georgia"/>
          <w:iCs/>
          <w:sz w:val="24"/>
          <w:szCs w:val="24"/>
        </w:rPr>
        <w:tab/>
        <w:t>Washington, DC  20003</w:t>
      </w:r>
    </w:p>
    <w:p w14:paraId="24191EF7" w14:textId="2EE6B0C4" w:rsidR="00581DB4" w:rsidRDefault="00581DB4" w:rsidP="00B55C0A">
      <w:pPr>
        <w:spacing w:after="0" w:line="240" w:lineRule="auto"/>
        <w:rPr>
          <w:rFonts w:ascii="Georgia" w:hAnsi="Georgia"/>
          <w:iCs/>
          <w:sz w:val="24"/>
          <w:szCs w:val="24"/>
        </w:rPr>
      </w:pPr>
      <w:r>
        <w:rPr>
          <w:rFonts w:ascii="Georgia" w:hAnsi="Georgia"/>
          <w:iCs/>
          <w:sz w:val="24"/>
          <w:szCs w:val="24"/>
        </w:rPr>
        <w:tab/>
      </w:r>
      <w:r>
        <w:rPr>
          <w:rFonts w:ascii="Georgia" w:hAnsi="Georgia"/>
          <w:iCs/>
          <w:sz w:val="24"/>
          <w:szCs w:val="24"/>
        </w:rPr>
        <w:tab/>
        <w:t>(202) 454-5191</w:t>
      </w:r>
    </w:p>
    <w:p w14:paraId="3FC907C5" w14:textId="7C5461F0" w:rsidR="006443BB" w:rsidRPr="00581DB4" w:rsidRDefault="00581DB4" w:rsidP="00581DB4">
      <w:pPr>
        <w:spacing w:after="0" w:line="240" w:lineRule="auto"/>
        <w:rPr>
          <w:rFonts w:ascii="Georgia" w:hAnsi="Georgia"/>
          <w:iCs/>
          <w:sz w:val="24"/>
          <w:szCs w:val="24"/>
        </w:rPr>
      </w:pPr>
      <w:r>
        <w:rPr>
          <w:rFonts w:ascii="Georgia" w:hAnsi="Georgia"/>
          <w:iCs/>
          <w:sz w:val="24"/>
          <w:szCs w:val="24"/>
        </w:rPr>
        <w:tab/>
      </w:r>
      <w:r>
        <w:rPr>
          <w:rFonts w:ascii="Georgia" w:hAnsi="Georgia"/>
          <w:iCs/>
          <w:sz w:val="24"/>
          <w:szCs w:val="24"/>
        </w:rPr>
        <w:tab/>
        <w:t>tslocum@citizen.org</w:t>
      </w:r>
    </w:p>
    <w:sectPr w:rsidR="006443BB" w:rsidRPr="00581DB4" w:rsidSect="004654A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4178" w14:textId="77777777" w:rsidR="00284F8A" w:rsidRDefault="00284F8A" w:rsidP="00E4797A">
      <w:pPr>
        <w:spacing w:after="0" w:line="240" w:lineRule="auto"/>
      </w:pPr>
      <w:r>
        <w:separator/>
      </w:r>
    </w:p>
  </w:endnote>
  <w:endnote w:type="continuationSeparator" w:id="0">
    <w:p w14:paraId="70301F2C" w14:textId="77777777" w:rsidR="00284F8A" w:rsidRDefault="00284F8A" w:rsidP="00E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20056"/>
      <w:docPartObj>
        <w:docPartGallery w:val="Page Numbers (Bottom of Page)"/>
        <w:docPartUnique/>
      </w:docPartObj>
    </w:sdtPr>
    <w:sdtEndPr>
      <w:rPr>
        <w:color w:val="7F7F7F" w:themeColor="background1" w:themeShade="7F"/>
        <w:spacing w:val="60"/>
      </w:rPr>
    </w:sdtEndPr>
    <w:sdtContent>
      <w:p w14:paraId="09AF9898" w14:textId="614E678F" w:rsidR="004654AD" w:rsidRDefault="004654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968E86" w14:textId="77777777" w:rsidR="004654AD" w:rsidRDefault="0046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AE29" w14:textId="77777777" w:rsidR="00284F8A" w:rsidRDefault="00284F8A" w:rsidP="00E4797A">
      <w:pPr>
        <w:spacing w:after="0" w:line="240" w:lineRule="auto"/>
      </w:pPr>
      <w:r>
        <w:separator/>
      </w:r>
    </w:p>
  </w:footnote>
  <w:footnote w:type="continuationSeparator" w:id="0">
    <w:p w14:paraId="2376A1A8" w14:textId="77777777" w:rsidR="00284F8A" w:rsidRDefault="00284F8A" w:rsidP="00E4797A">
      <w:pPr>
        <w:spacing w:after="0" w:line="240" w:lineRule="auto"/>
      </w:pPr>
      <w:r>
        <w:continuationSeparator/>
      </w:r>
    </w:p>
  </w:footnote>
  <w:footnote w:id="1">
    <w:p w14:paraId="0AF2ECB3" w14:textId="403736FF" w:rsidR="00E4797A" w:rsidRDefault="00E4797A">
      <w:pPr>
        <w:pStyle w:val="FootnoteText"/>
      </w:pPr>
      <w:r>
        <w:rPr>
          <w:rStyle w:val="FootnoteReference"/>
        </w:rPr>
        <w:footnoteRef/>
      </w:r>
      <w:r>
        <w:t xml:space="preserve"> </w:t>
      </w:r>
      <w:r w:rsidRPr="00E4797A">
        <w:rPr>
          <w:rFonts w:ascii="Georgia" w:hAnsi="Georgia"/>
        </w:rPr>
        <w:t>FERC Order 2000, at pages 3 and 96, www.ferc.gov/sites/default/files/2020-06/RM99-2-00K_1.pdf</w:t>
      </w:r>
    </w:p>
  </w:footnote>
  <w:footnote w:id="2">
    <w:p w14:paraId="7A469357" w14:textId="21463921" w:rsidR="00572461" w:rsidRDefault="00572461">
      <w:pPr>
        <w:pStyle w:val="FootnoteText"/>
      </w:pPr>
      <w:r>
        <w:rPr>
          <w:rStyle w:val="FootnoteReference"/>
        </w:rPr>
        <w:footnoteRef/>
      </w:r>
      <w:r>
        <w:t xml:space="preserve"> </w:t>
      </w:r>
      <w:r w:rsidRPr="00572461">
        <w:rPr>
          <w:rFonts w:ascii="Georgia" w:hAnsi="Georgia"/>
          <w:sz w:val="18"/>
          <w:szCs w:val="18"/>
        </w:rPr>
        <w:t>At page 9, https://elibrary.ferc.gov/eLibrary/filedownload?fileid=01FBCF1C-66E2-5005-8110-C31FAFC91712</w:t>
      </w:r>
    </w:p>
  </w:footnote>
  <w:footnote w:id="3">
    <w:p w14:paraId="77D42E0E" w14:textId="77777777" w:rsidR="00CC6344" w:rsidRDefault="00CC6344" w:rsidP="00CC6344">
      <w:pPr>
        <w:pStyle w:val="FootnoteText"/>
      </w:pPr>
      <w:r>
        <w:rPr>
          <w:rStyle w:val="FootnoteReference"/>
        </w:rPr>
        <w:footnoteRef/>
      </w:r>
      <w:r>
        <w:t xml:space="preserve"> </w:t>
      </w:r>
      <w:r w:rsidRPr="00110A42">
        <w:rPr>
          <w:rFonts w:ascii="Georgia" w:hAnsi="Georgia"/>
        </w:rPr>
        <w:t>7 USC § 2(a)(1)(A)</w:t>
      </w:r>
    </w:p>
  </w:footnote>
  <w:footnote w:id="4">
    <w:p w14:paraId="21F7C9A9" w14:textId="77777777" w:rsidR="00CC6344" w:rsidRDefault="00CC6344" w:rsidP="00CC6344">
      <w:pPr>
        <w:pStyle w:val="FootnoteText"/>
      </w:pPr>
      <w:r>
        <w:rPr>
          <w:rStyle w:val="FootnoteReference"/>
        </w:rPr>
        <w:footnoteRef/>
      </w:r>
      <w:r>
        <w:t xml:space="preserve"> </w:t>
      </w:r>
      <w:r w:rsidRPr="00110A42">
        <w:rPr>
          <w:rFonts w:ascii="Georgia" w:hAnsi="Georgia"/>
        </w:rPr>
        <w:t xml:space="preserve">7 USC </w:t>
      </w:r>
      <w:r w:rsidRPr="00110A42">
        <w:rPr>
          <w:rFonts w:ascii="Georgia" w:hAnsi="Georgia" w:cstheme="minorHAnsi"/>
        </w:rPr>
        <w:t>§</w:t>
      </w:r>
      <w:r w:rsidRPr="00110A42">
        <w:rPr>
          <w:rFonts w:ascii="Georgia" w:hAnsi="Georgia"/>
        </w:rPr>
        <w:t xml:space="preserve"> 2(a)(1)(I)(i) and (ii)</w:t>
      </w:r>
    </w:p>
  </w:footnote>
  <w:footnote w:id="5">
    <w:p w14:paraId="3A002965" w14:textId="77777777" w:rsidR="00CC6344" w:rsidRDefault="00CC6344" w:rsidP="00CC6344">
      <w:pPr>
        <w:pStyle w:val="FootnoteText"/>
      </w:pPr>
      <w:r>
        <w:rPr>
          <w:rStyle w:val="FootnoteReference"/>
        </w:rPr>
        <w:footnoteRef/>
      </w:r>
      <w:r>
        <w:t xml:space="preserve"> </w:t>
      </w:r>
      <w:r w:rsidRPr="00110A42">
        <w:rPr>
          <w:rFonts w:ascii="Georgia" w:hAnsi="Georgia"/>
        </w:rPr>
        <w:t xml:space="preserve">Commodity Exchange Act </w:t>
      </w:r>
      <w:r w:rsidRPr="00110A42">
        <w:rPr>
          <w:rFonts w:ascii="Georgia" w:hAnsi="Georgia" w:cstheme="minorHAnsi"/>
        </w:rPr>
        <w:t>§</w:t>
      </w:r>
      <w:r w:rsidRPr="00110A42">
        <w:rPr>
          <w:rFonts w:ascii="Georgia" w:hAnsi="Georgia"/>
        </w:rPr>
        <w:t xml:space="preserve"> 4(c)(6)(A)</w:t>
      </w:r>
    </w:p>
  </w:footnote>
  <w:footnote w:id="6">
    <w:p w14:paraId="3340C8BB" w14:textId="4ECC1C4D" w:rsidR="00CC6344" w:rsidRDefault="00CC6344" w:rsidP="00CC6344">
      <w:pPr>
        <w:pStyle w:val="FootnoteText"/>
      </w:pPr>
      <w:r>
        <w:rPr>
          <w:rStyle w:val="FootnoteReference"/>
        </w:rPr>
        <w:footnoteRef/>
      </w:r>
      <w:r>
        <w:t xml:space="preserve"> </w:t>
      </w:r>
      <w:r w:rsidRPr="00110A42">
        <w:rPr>
          <w:rFonts w:ascii="Georgia" w:hAnsi="Georgia"/>
        </w:rPr>
        <w:t>www.gpo.gov/fdsys/pkg/FR-2013-04-02/pdf/2013-07634.pdf</w:t>
      </w:r>
    </w:p>
  </w:footnote>
  <w:footnote w:id="7">
    <w:p w14:paraId="2BEA7E14" w14:textId="0A32DBBB" w:rsidR="00F80B12" w:rsidRDefault="00F80B12">
      <w:pPr>
        <w:pStyle w:val="FootnoteText"/>
      </w:pPr>
      <w:r>
        <w:rPr>
          <w:rStyle w:val="FootnoteReference"/>
        </w:rPr>
        <w:footnoteRef/>
      </w:r>
      <w:r>
        <w:t xml:space="preserve"> </w:t>
      </w:r>
      <w:r w:rsidRPr="00F80B12">
        <w:rPr>
          <w:rFonts w:ascii="Georgia" w:hAnsi="Georgia"/>
        </w:rPr>
        <w:t>www.monitoringanalytics.com/reports/PJM_State_of_the_Market/2022/2022q3-som-pjm-sec13.pdf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C598" w14:textId="13DD6D68" w:rsidR="004654AD" w:rsidRPr="004654AD" w:rsidRDefault="004654AD" w:rsidP="004654AD">
    <w:pPr>
      <w:pStyle w:val="Header"/>
      <w:jc w:val="center"/>
      <w:rPr>
        <w:rFonts w:ascii="Georgia" w:hAnsi="Georgia"/>
        <w:i/>
        <w:iCs/>
      </w:rPr>
    </w:pPr>
    <w:r w:rsidRPr="004654AD">
      <w:rPr>
        <w:rFonts w:ascii="Georgia" w:hAnsi="Georgia"/>
        <w:i/>
        <w:iCs/>
      </w:rPr>
      <w:t>Public Citizen Comments • Docket No. EL18-170 • March 7, 2023</w:t>
    </w:r>
  </w:p>
  <w:p w14:paraId="32EA0884" w14:textId="77777777" w:rsidR="004654AD" w:rsidRDefault="00465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9E"/>
    <w:rsid w:val="0000589E"/>
    <w:rsid w:val="00084CFC"/>
    <w:rsid w:val="000F4965"/>
    <w:rsid w:val="00100550"/>
    <w:rsid w:val="00110A42"/>
    <w:rsid w:val="00175065"/>
    <w:rsid w:val="001A40A3"/>
    <w:rsid w:val="00227869"/>
    <w:rsid w:val="002460F4"/>
    <w:rsid w:val="00284F8A"/>
    <w:rsid w:val="00327CF1"/>
    <w:rsid w:val="00342294"/>
    <w:rsid w:val="003E0C3D"/>
    <w:rsid w:val="00450612"/>
    <w:rsid w:val="004654AD"/>
    <w:rsid w:val="00522EF4"/>
    <w:rsid w:val="00572461"/>
    <w:rsid w:val="00581DB4"/>
    <w:rsid w:val="005872C4"/>
    <w:rsid w:val="006443BB"/>
    <w:rsid w:val="008E7D34"/>
    <w:rsid w:val="00907925"/>
    <w:rsid w:val="0096781A"/>
    <w:rsid w:val="00994E47"/>
    <w:rsid w:val="00AA5EE1"/>
    <w:rsid w:val="00AA77F1"/>
    <w:rsid w:val="00B55C0A"/>
    <w:rsid w:val="00BE766A"/>
    <w:rsid w:val="00C45496"/>
    <w:rsid w:val="00CC6344"/>
    <w:rsid w:val="00E4797A"/>
    <w:rsid w:val="00EA08A2"/>
    <w:rsid w:val="00F8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F3"/>
  <w15:chartTrackingRefBased/>
  <w15:docId w15:val="{AAB368D8-5651-4772-A6C4-8F82B746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7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97A"/>
    <w:rPr>
      <w:sz w:val="20"/>
      <w:szCs w:val="20"/>
    </w:rPr>
  </w:style>
  <w:style w:type="character" w:styleId="FootnoteReference">
    <w:name w:val="footnote reference"/>
    <w:basedOn w:val="DefaultParagraphFont"/>
    <w:uiPriority w:val="99"/>
    <w:semiHidden/>
    <w:unhideWhenUsed/>
    <w:rsid w:val="00E4797A"/>
    <w:rPr>
      <w:vertAlign w:val="superscript"/>
    </w:rPr>
  </w:style>
  <w:style w:type="paragraph" w:styleId="Header">
    <w:name w:val="header"/>
    <w:basedOn w:val="Normal"/>
    <w:link w:val="HeaderChar"/>
    <w:uiPriority w:val="99"/>
    <w:unhideWhenUsed/>
    <w:rsid w:val="00465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AD"/>
  </w:style>
  <w:style w:type="paragraph" w:styleId="Footer">
    <w:name w:val="footer"/>
    <w:basedOn w:val="Normal"/>
    <w:link w:val="FooterChar"/>
    <w:uiPriority w:val="99"/>
    <w:unhideWhenUsed/>
    <w:rsid w:val="00465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313E-8D58-4C17-8C87-3644D1A3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14</cp:revision>
  <dcterms:created xsi:type="dcterms:W3CDTF">2023-03-07T16:16:00Z</dcterms:created>
  <dcterms:modified xsi:type="dcterms:W3CDTF">2023-03-07T21:43:00Z</dcterms:modified>
</cp:coreProperties>
</file>