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4D38" w14:textId="77777777" w:rsidR="00F33480" w:rsidRPr="00746A1D" w:rsidRDefault="00F33480" w:rsidP="00F33480">
      <w:pPr>
        <w:jc w:val="center"/>
        <w:rPr>
          <w:rFonts w:ascii="Georgia" w:hAnsi="Georgia" w:cs="Times New Roman"/>
          <w:sz w:val="24"/>
          <w:szCs w:val="24"/>
        </w:rPr>
      </w:pPr>
      <w:r w:rsidRPr="00746A1D">
        <w:rPr>
          <w:rFonts w:ascii="Georgia" w:hAnsi="Georgia" w:cs="Times New Roman"/>
          <w:sz w:val="24"/>
          <w:szCs w:val="24"/>
        </w:rPr>
        <w:t>UNITED STATES OF AMERICA</w:t>
      </w:r>
    </w:p>
    <w:p w14:paraId="2DEA38D5" w14:textId="77777777" w:rsidR="00F33480" w:rsidRPr="00746A1D" w:rsidRDefault="00F33480" w:rsidP="00F33480">
      <w:pPr>
        <w:jc w:val="center"/>
        <w:rPr>
          <w:rFonts w:ascii="Georgia" w:hAnsi="Georgia" w:cs="Times New Roman"/>
          <w:sz w:val="24"/>
          <w:szCs w:val="24"/>
        </w:rPr>
      </w:pPr>
      <w:r w:rsidRPr="00746A1D">
        <w:rPr>
          <w:rFonts w:ascii="Georgia" w:hAnsi="Georgia" w:cs="Times New Roman"/>
          <w:sz w:val="24"/>
          <w:szCs w:val="24"/>
        </w:rPr>
        <w:t>BEFORE THE</w:t>
      </w:r>
    </w:p>
    <w:p w14:paraId="0D9314E7" w14:textId="77777777" w:rsidR="00F33480" w:rsidRDefault="00F33480" w:rsidP="00F33480">
      <w:pPr>
        <w:jc w:val="center"/>
        <w:rPr>
          <w:rFonts w:ascii="Georgia" w:hAnsi="Georgia" w:cs="Times New Roman"/>
          <w:sz w:val="24"/>
          <w:szCs w:val="24"/>
        </w:rPr>
      </w:pPr>
      <w:r w:rsidRPr="00746A1D">
        <w:rPr>
          <w:rFonts w:ascii="Georgia" w:hAnsi="Georgia" w:cs="Times New Roman"/>
          <w:sz w:val="24"/>
          <w:szCs w:val="24"/>
        </w:rPr>
        <w:t>FEDERAL ENERGY REGULATORY COMMISSION</w:t>
      </w:r>
    </w:p>
    <w:p w14:paraId="5E95AD5F" w14:textId="77777777" w:rsidR="00F33480" w:rsidRDefault="00F33480" w:rsidP="00F33480">
      <w:pPr>
        <w:jc w:val="center"/>
        <w:rPr>
          <w:rFonts w:ascii="Georgia" w:hAnsi="Georgia" w:cs="Times New Roman"/>
          <w:sz w:val="24"/>
          <w:szCs w:val="24"/>
        </w:rPr>
      </w:pPr>
    </w:p>
    <w:p w14:paraId="2F28EBFB" w14:textId="77777777" w:rsidR="00F33480" w:rsidRPr="00746A1D" w:rsidRDefault="00F33480" w:rsidP="00F33480">
      <w:pPr>
        <w:rPr>
          <w:rFonts w:ascii="Georgia" w:hAnsi="Georgia" w:cs="Times New Roman"/>
          <w:sz w:val="24"/>
          <w:szCs w:val="24"/>
        </w:rPr>
      </w:pPr>
    </w:p>
    <w:p w14:paraId="4FF1C730" w14:textId="77777777" w:rsidR="00F33480" w:rsidRPr="00746A1D" w:rsidRDefault="00F33480" w:rsidP="00F33480">
      <w:pPr>
        <w:rPr>
          <w:rFonts w:ascii="Georgia" w:hAnsi="Georgia" w:cs="Times New Roman"/>
          <w:sz w:val="24"/>
          <w:szCs w:val="24"/>
        </w:rPr>
      </w:pPr>
      <w:r w:rsidRPr="00746A1D">
        <w:rPr>
          <w:rFonts w:ascii="Georgia" w:hAnsi="Georgia" w:cs="Times New Roman"/>
          <w:sz w:val="24"/>
          <w:szCs w:val="24"/>
        </w:rPr>
        <w:t>Evergy Metro, Inc.</w:t>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t>Docket Nos.</w:t>
      </w:r>
      <w:r>
        <w:rPr>
          <w:rFonts w:ascii="Georgia" w:hAnsi="Georgia" w:cs="Times New Roman"/>
          <w:sz w:val="24"/>
          <w:szCs w:val="24"/>
        </w:rPr>
        <w:tab/>
      </w:r>
      <w:r w:rsidRPr="00746A1D">
        <w:rPr>
          <w:rFonts w:ascii="Georgia" w:hAnsi="Georgia" w:cs="Times New Roman"/>
          <w:sz w:val="24"/>
          <w:szCs w:val="24"/>
        </w:rPr>
        <w:t>ER20-67-001</w:t>
      </w:r>
    </w:p>
    <w:p w14:paraId="09734F76" w14:textId="77777777" w:rsidR="00F33480" w:rsidRDefault="00F33480" w:rsidP="00F33480">
      <w:pPr>
        <w:rPr>
          <w:rFonts w:ascii="Georgia" w:hAnsi="Georgia" w:cs="Times New Roman"/>
          <w:sz w:val="24"/>
          <w:szCs w:val="24"/>
        </w:rPr>
      </w:pPr>
      <w:r w:rsidRPr="00746A1D">
        <w:rPr>
          <w:rFonts w:ascii="Georgia" w:hAnsi="Georgia" w:cs="Times New Roman"/>
          <w:sz w:val="24"/>
          <w:szCs w:val="24"/>
        </w:rPr>
        <w:t>Evergy Missouri West, Inc.</w:t>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sidRPr="00746A1D">
        <w:rPr>
          <w:rFonts w:ascii="Georgia" w:hAnsi="Georgia" w:cs="Times New Roman"/>
          <w:sz w:val="24"/>
          <w:szCs w:val="24"/>
        </w:rPr>
        <w:t>ER20-116-001</w:t>
      </w:r>
    </w:p>
    <w:p w14:paraId="27BC1F3C" w14:textId="77777777" w:rsidR="00F33480" w:rsidRDefault="00F33480" w:rsidP="00F33480">
      <w:pPr>
        <w:rPr>
          <w:rFonts w:ascii="Georgia" w:hAnsi="Georgia" w:cs="Times New Roman"/>
          <w:sz w:val="24"/>
          <w:szCs w:val="24"/>
        </w:rPr>
      </w:pPr>
      <w:r w:rsidRPr="00746A1D">
        <w:rPr>
          <w:rFonts w:ascii="Georgia" w:hAnsi="Georgia" w:cs="Times New Roman"/>
          <w:sz w:val="24"/>
          <w:szCs w:val="24"/>
        </w:rPr>
        <w:t>Evergy Kansas Central, Inc.</w:t>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Pr>
          <w:rFonts w:ascii="Georgia" w:hAnsi="Georgia" w:cs="Times New Roman"/>
          <w:sz w:val="24"/>
          <w:szCs w:val="24"/>
        </w:rPr>
        <w:tab/>
      </w:r>
      <w:r w:rsidRPr="00746A1D">
        <w:rPr>
          <w:rFonts w:ascii="Georgia" w:hAnsi="Georgia" w:cs="Times New Roman"/>
          <w:sz w:val="24"/>
          <w:szCs w:val="24"/>
        </w:rPr>
        <w:t>ER20-113-001</w:t>
      </w:r>
    </w:p>
    <w:p w14:paraId="7FFE2B5F" w14:textId="62F94103" w:rsidR="00F33480" w:rsidRDefault="00F33480"/>
    <w:p w14:paraId="1978D787" w14:textId="77777777" w:rsidR="00B62820" w:rsidRDefault="00B62820" w:rsidP="00B62820">
      <w:pPr>
        <w:jc w:val="center"/>
        <w:rPr>
          <w:rFonts w:ascii="Georgia" w:hAnsi="Georgia"/>
          <w:b/>
          <w:bCs/>
          <w:sz w:val="24"/>
          <w:szCs w:val="24"/>
        </w:rPr>
      </w:pPr>
    </w:p>
    <w:p w14:paraId="0F40026F" w14:textId="1C26D9A9" w:rsidR="00663F69" w:rsidRPr="00B62820" w:rsidRDefault="00663F69" w:rsidP="00B62820">
      <w:pPr>
        <w:jc w:val="center"/>
        <w:rPr>
          <w:rFonts w:ascii="Georgia" w:hAnsi="Georgia"/>
          <w:b/>
          <w:bCs/>
          <w:sz w:val="24"/>
          <w:szCs w:val="24"/>
        </w:rPr>
      </w:pPr>
      <w:r w:rsidRPr="00B62820">
        <w:rPr>
          <w:rFonts w:ascii="Georgia" w:hAnsi="Georgia"/>
          <w:b/>
          <w:bCs/>
          <w:sz w:val="24"/>
          <w:szCs w:val="24"/>
        </w:rPr>
        <w:t>Comment of Public Citizen, Inc.</w:t>
      </w:r>
    </w:p>
    <w:p w14:paraId="639AFC65" w14:textId="39B8DD24" w:rsidR="00663F69" w:rsidRDefault="00663F69">
      <w:pPr>
        <w:rPr>
          <w:rFonts w:ascii="Georgia" w:hAnsi="Georgia"/>
          <w:sz w:val="24"/>
          <w:szCs w:val="24"/>
        </w:rPr>
      </w:pPr>
    </w:p>
    <w:p w14:paraId="04089243" w14:textId="77777777" w:rsidR="00C1249C" w:rsidRPr="00B62820" w:rsidRDefault="00C1249C">
      <w:pPr>
        <w:rPr>
          <w:rFonts w:ascii="Georgia" w:hAnsi="Georgia"/>
          <w:sz w:val="24"/>
          <w:szCs w:val="24"/>
        </w:rPr>
      </w:pPr>
    </w:p>
    <w:p w14:paraId="430D5CF2" w14:textId="4ADA162B" w:rsidR="00663F69" w:rsidRDefault="00B62820" w:rsidP="00437833">
      <w:pPr>
        <w:spacing w:line="360" w:lineRule="auto"/>
        <w:rPr>
          <w:rFonts w:ascii="Georgia" w:hAnsi="Georgia"/>
          <w:sz w:val="24"/>
          <w:szCs w:val="24"/>
        </w:rPr>
      </w:pPr>
      <w:r>
        <w:rPr>
          <w:rFonts w:ascii="Georgia" w:hAnsi="Georgia"/>
          <w:sz w:val="24"/>
          <w:szCs w:val="24"/>
        </w:rPr>
        <w:tab/>
        <w:t>On May 10, the Commission</w:t>
      </w:r>
      <w:r w:rsidR="00B5086B">
        <w:rPr>
          <w:rFonts w:ascii="Georgia" w:hAnsi="Georgia"/>
          <w:sz w:val="24"/>
          <w:szCs w:val="24"/>
        </w:rPr>
        <w:t xml:space="preserve"> </w:t>
      </w:r>
      <w:r w:rsidR="00BE5E42">
        <w:rPr>
          <w:rFonts w:ascii="Georgia" w:hAnsi="Georgia"/>
          <w:sz w:val="24"/>
          <w:szCs w:val="24"/>
        </w:rPr>
        <w:t>requested additional information from Evergy</w:t>
      </w:r>
      <w:r w:rsidR="00126DA3">
        <w:rPr>
          <w:rFonts w:ascii="Georgia" w:hAnsi="Georgia"/>
          <w:sz w:val="24"/>
          <w:szCs w:val="24"/>
        </w:rPr>
        <w:t xml:space="preserve">: </w:t>
      </w:r>
      <w:r w:rsidR="000B6F17">
        <w:rPr>
          <w:rFonts w:ascii="Georgia" w:hAnsi="Georgia"/>
          <w:sz w:val="24"/>
          <w:szCs w:val="24"/>
        </w:rPr>
        <w:t>“</w:t>
      </w:r>
      <w:r w:rsidR="000B6F17" w:rsidRPr="000B6F17">
        <w:rPr>
          <w:rFonts w:ascii="Georgia" w:hAnsi="Georgia"/>
          <w:sz w:val="24"/>
          <w:szCs w:val="24"/>
        </w:rPr>
        <w:t>Please trace all ownership in the Evergy MBR Sellers until all upstream owners are identified, including The Vanguard Group, Inc.  Also, please describe the business activities of all direct and upstream owners (including their affiliates).</w:t>
      </w:r>
      <w:r w:rsidR="007423AC">
        <w:rPr>
          <w:rFonts w:ascii="Georgia" w:hAnsi="Georgia"/>
          <w:sz w:val="24"/>
          <w:szCs w:val="24"/>
        </w:rPr>
        <w:t>”</w:t>
      </w:r>
      <w:r w:rsidR="007423AC">
        <w:rPr>
          <w:rStyle w:val="FootnoteReference"/>
          <w:rFonts w:ascii="Georgia" w:hAnsi="Georgia"/>
          <w:sz w:val="24"/>
          <w:szCs w:val="24"/>
        </w:rPr>
        <w:footnoteReference w:id="1"/>
      </w:r>
      <w:r w:rsidR="000B6F17" w:rsidRPr="000B6F17">
        <w:rPr>
          <w:rFonts w:ascii="Georgia" w:hAnsi="Georgia"/>
          <w:sz w:val="24"/>
          <w:szCs w:val="24"/>
        </w:rPr>
        <w:t xml:space="preserve"> </w:t>
      </w:r>
      <w:r w:rsidR="00815CE5">
        <w:rPr>
          <w:rFonts w:ascii="Georgia" w:hAnsi="Georgia"/>
          <w:sz w:val="24"/>
          <w:szCs w:val="24"/>
        </w:rPr>
        <w:t>The letter states that “</w:t>
      </w:r>
      <w:r w:rsidR="000B6F17" w:rsidRPr="000B6F17">
        <w:rPr>
          <w:rFonts w:ascii="Georgia" w:hAnsi="Georgia"/>
          <w:sz w:val="24"/>
          <w:szCs w:val="24"/>
        </w:rPr>
        <w:t>For this purpose, there is a presumption of affiliation for entities in which Evergy MBR Sellers or any of their direct or upstream owners have at least a 10% interest</w:t>
      </w:r>
      <w:r w:rsidR="00DD32DD">
        <w:rPr>
          <w:rFonts w:ascii="Georgia" w:hAnsi="Georgia"/>
          <w:sz w:val="24"/>
          <w:szCs w:val="24"/>
        </w:rPr>
        <w:t xml:space="preserve">,” but this clarification does not appear to preclude the requirement to list all </w:t>
      </w:r>
      <w:r w:rsidR="00DA2B5E">
        <w:rPr>
          <w:rFonts w:ascii="Georgia" w:hAnsi="Georgia"/>
          <w:sz w:val="24"/>
          <w:szCs w:val="24"/>
        </w:rPr>
        <w:t>“upstream owners</w:t>
      </w:r>
      <w:r w:rsidR="00061A49">
        <w:rPr>
          <w:rFonts w:ascii="Georgia" w:hAnsi="Georgia"/>
          <w:sz w:val="24"/>
          <w:szCs w:val="24"/>
        </w:rPr>
        <w:t>”, particularly if</w:t>
      </w:r>
      <w:r w:rsidR="009B20C2">
        <w:rPr>
          <w:rFonts w:ascii="Georgia" w:hAnsi="Georgia"/>
          <w:sz w:val="24"/>
          <w:szCs w:val="24"/>
        </w:rPr>
        <w:t xml:space="preserve"> </w:t>
      </w:r>
      <w:r w:rsidR="0025760C">
        <w:rPr>
          <w:rFonts w:ascii="Georgia" w:hAnsi="Georgia"/>
          <w:sz w:val="24"/>
          <w:szCs w:val="24"/>
        </w:rPr>
        <w:t>an</w:t>
      </w:r>
      <w:r w:rsidR="009B20C2">
        <w:rPr>
          <w:rFonts w:ascii="Georgia" w:hAnsi="Georgia"/>
          <w:sz w:val="24"/>
          <w:szCs w:val="24"/>
        </w:rPr>
        <w:t xml:space="preserve"> owner is not operating at arm’s length.</w:t>
      </w:r>
    </w:p>
    <w:p w14:paraId="3C08965D" w14:textId="169FDA82" w:rsidR="00351F8E" w:rsidRDefault="00DA2B5E" w:rsidP="00437833">
      <w:pPr>
        <w:spacing w:line="360" w:lineRule="auto"/>
        <w:rPr>
          <w:rFonts w:ascii="Georgia" w:hAnsi="Georgia"/>
          <w:sz w:val="24"/>
          <w:szCs w:val="24"/>
        </w:rPr>
      </w:pPr>
      <w:r>
        <w:rPr>
          <w:rFonts w:ascii="Georgia" w:hAnsi="Georgia"/>
          <w:sz w:val="24"/>
          <w:szCs w:val="24"/>
        </w:rPr>
        <w:tab/>
      </w:r>
      <w:r w:rsidR="0025760C">
        <w:rPr>
          <w:rFonts w:ascii="Georgia" w:hAnsi="Georgia"/>
          <w:sz w:val="24"/>
          <w:szCs w:val="24"/>
        </w:rPr>
        <w:t>T</w:t>
      </w:r>
      <w:r>
        <w:rPr>
          <w:rFonts w:ascii="Georgia" w:hAnsi="Georgia"/>
          <w:sz w:val="24"/>
          <w:szCs w:val="24"/>
        </w:rPr>
        <w:t xml:space="preserve">he May 28 response of the Evergy MBR sellers is deficient because it fails to list </w:t>
      </w:r>
      <w:r w:rsidR="003F4ADF">
        <w:rPr>
          <w:rFonts w:ascii="Georgia" w:hAnsi="Georgia"/>
          <w:sz w:val="24"/>
          <w:szCs w:val="24"/>
        </w:rPr>
        <w:t>its upstream owners</w:t>
      </w:r>
      <w:r w:rsidR="00F14EF3">
        <w:rPr>
          <w:rFonts w:ascii="Georgia" w:hAnsi="Georgia"/>
          <w:sz w:val="24"/>
          <w:szCs w:val="24"/>
        </w:rPr>
        <w:t>,</w:t>
      </w:r>
      <w:r w:rsidR="003F4ADF">
        <w:rPr>
          <w:rFonts w:ascii="Georgia" w:hAnsi="Georgia"/>
          <w:sz w:val="24"/>
          <w:szCs w:val="24"/>
        </w:rPr>
        <w:t xml:space="preserve"> Elliott Management and </w:t>
      </w:r>
      <w:r w:rsidR="003F4ADF" w:rsidRPr="00B62288">
        <w:rPr>
          <w:rFonts w:ascii="Georgia" w:hAnsi="Georgia"/>
          <w:sz w:val="24"/>
          <w:szCs w:val="24"/>
        </w:rPr>
        <w:t>Bluescape Energy Partners, LLC</w:t>
      </w:r>
      <w:r>
        <w:rPr>
          <w:rFonts w:ascii="Georgia" w:hAnsi="Georgia"/>
          <w:sz w:val="24"/>
          <w:szCs w:val="24"/>
        </w:rPr>
        <w:t>.</w:t>
      </w:r>
      <w:r w:rsidR="003F4ADF">
        <w:rPr>
          <w:rFonts w:ascii="Georgia" w:hAnsi="Georgia"/>
          <w:sz w:val="24"/>
          <w:szCs w:val="24"/>
        </w:rPr>
        <w:t xml:space="preserve"> The two activist hedge funds </w:t>
      </w:r>
      <w:r w:rsidR="0018057F">
        <w:rPr>
          <w:rFonts w:ascii="Georgia" w:hAnsi="Georgia"/>
          <w:sz w:val="24"/>
          <w:szCs w:val="24"/>
        </w:rPr>
        <w:t>are conspiring</w:t>
      </w:r>
      <w:r w:rsidR="00F93ED0">
        <w:rPr>
          <w:rFonts w:ascii="Georgia" w:hAnsi="Georgia"/>
          <w:sz w:val="24"/>
          <w:szCs w:val="24"/>
        </w:rPr>
        <w:t xml:space="preserve"> to </w:t>
      </w:r>
      <w:r w:rsidR="00F20269">
        <w:rPr>
          <w:rFonts w:ascii="Georgia" w:hAnsi="Georgia"/>
          <w:sz w:val="24"/>
          <w:szCs w:val="24"/>
        </w:rPr>
        <w:t>exert clear control over Evergy, Inc.</w:t>
      </w:r>
      <w:r w:rsidR="005B3B59">
        <w:rPr>
          <w:rFonts w:ascii="Georgia" w:hAnsi="Georgia"/>
          <w:sz w:val="24"/>
          <w:szCs w:val="24"/>
        </w:rPr>
        <w:t xml:space="preserve">, per </w:t>
      </w:r>
      <w:r w:rsidR="005B3B59" w:rsidRPr="005B3B59">
        <w:rPr>
          <w:rFonts w:ascii="Georgia" w:hAnsi="Georgia"/>
          <w:sz w:val="24"/>
          <w:szCs w:val="24"/>
        </w:rPr>
        <w:t>18 CFR § 35.36(a)(9)(iii)</w:t>
      </w:r>
      <w:r w:rsidR="00351F8E">
        <w:rPr>
          <w:rFonts w:ascii="Georgia" w:hAnsi="Georgia"/>
          <w:sz w:val="24"/>
          <w:szCs w:val="24"/>
        </w:rPr>
        <w:t>, despite the fact that combined the hedge funds own only about 6% of Evergy’s shares</w:t>
      </w:r>
      <w:r w:rsidR="005B3B59" w:rsidRPr="005B3B59">
        <w:rPr>
          <w:rFonts w:ascii="Georgia" w:hAnsi="Georgia"/>
          <w:sz w:val="24"/>
          <w:szCs w:val="24"/>
        </w:rPr>
        <w:t>.</w:t>
      </w:r>
    </w:p>
    <w:p w14:paraId="58E62569" w14:textId="1E524740" w:rsidR="007E7BE4" w:rsidRDefault="00047924" w:rsidP="00351F8E">
      <w:pPr>
        <w:spacing w:line="360" w:lineRule="auto"/>
        <w:ind w:firstLine="720"/>
        <w:rPr>
          <w:rFonts w:ascii="Georgia" w:hAnsi="Georgia"/>
          <w:sz w:val="24"/>
          <w:szCs w:val="24"/>
        </w:rPr>
      </w:pPr>
      <w:r>
        <w:rPr>
          <w:rFonts w:ascii="Georgia" w:hAnsi="Georgia"/>
          <w:sz w:val="24"/>
          <w:szCs w:val="24"/>
        </w:rPr>
        <w:t xml:space="preserve">In an agreement coordinated directly with Elliott Management, </w:t>
      </w:r>
      <w:r w:rsidR="007A4E47">
        <w:rPr>
          <w:rFonts w:ascii="Georgia" w:hAnsi="Georgia"/>
          <w:sz w:val="24"/>
          <w:szCs w:val="24"/>
        </w:rPr>
        <w:t>Bluescape secured ownership of Evergy in a non-arm’s length transaction with the utility</w:t>
      </w:r>
      <w:r w:rsidR="00607649">
        <w:rPr>
          <w:rFonts w:ascii="Georgia" w:hAnsi="Georgia"/>
          <w:sz w:val="24"/>
          <w:szCs w:val="24"/>
        </w:rPr>
        <w:t xml:space="preserve"> on February 25, 2021</w:t>
      </w:r>
      <w:r w:rsidR="00B91D95">
        <w:rPr>
          <w:rFonts w:ascii="Georgia" w:hAnsi="Georgia"/>
          <w:sz w:val="24"/>
          <w:szCs w:val="24"/>
        </w:rPr>
        <w:t xml:space="preserve"> that resulted in Bluescape’s Executive Chairman, </w:t>
      </w:r>
      <w:r w:rsidR="00B91D95" w:rsidRPr="00B91D95">
        <w:rPr>
          <w:rFonts w:ascii="Georgia" w:hAnsi="Georgia"/>
          <w:sz w:val="24"/>
          <w:szCs w:val="24"/>
        </w:rPr>
        <w:t>C. John Wilder</w:t>
      </w:r>
      <w:r w:rsidR="00B91D95">
        <w:rPr>
          <w:rFonts w:ascii="Georgia" w:hAnsi="Georgia"/>
          <w:sz w:val="24"/>
          <w:szCs w:val="24"/>
        </w:rPr>
        <w:t xml:space="preserve">, obtaining a </w:t>
      </w:r>
      <w:r w:rsidR="00946FAB">
        <w:rPr>
          <w:rFonts w:ascii="Georgia" w:hAnsi="Georgia"/>
          <w:sz w:val="24"/>
          <w:szCs w:val="24"/>
        </w:rPr>
        <w:t>voting seat on Evergy’s board of directors.</w:t>
      </w:r>
      <w:r w:rsidR="006274CC">
        <w:rPr>
          <w:rFonts w:ascii="Georgia" w:hAnsi="Georgia"/>
          <w:sz w:val="24"/>
          <w:szCs w:val="24"/>
        </w:rPr>
        <w:t xml:space="preserve"> </w:t>
      </w:r>
      <w:r w:rsidR="00946FAB">
        <w:rPr>
          <w:rFonts w:ascii="Georgia" w:hAnsi="Georgia"/>
          <w:sz w:val="24"/>
          <w:szCs w:val="24"/>
        </w:rPr>
        <w:t>A</w:t>
      </w:r>
      <w:r w:rsidR="00DB5FB3">
        <w:rPr>
          <w:rFonts w:ascii="Georgia" w:hAnsi="Georgia"/>
          <w:sz w:val="24"/>
          <w:szCs w:val="24"/>
        </w:rPr>
        <w:t xml:space="preserve">s mentioned in our </w:t>
      </w:r>
      <w:r w:rsidR="007E7BE4">
        <w:rPr>
          <w:rFonts w:ascii="Georgia" w:hAnsi="Georgia"/>
          <w:sz w:val="24"/>
          <w:szCs w:val="24"/>
        </w:rPr>
        <w:t xml:space="preserve">October 19 </w:t>
      </w:r>
      <w:r w:rsidR="007E7BE4" w:rsidRPr="007E7BE4">
        <w:rPr>
          <w:rFonts w:ascii="Georgia" w:hAnsi="Georgia"/>
          <w:i/>
          <w:iCs/>
          <w:sz w:val="24"/>
          <w:szCs w:val="24"/>
        </w:rPr>
        <w:t>Protest</w:t>
      </w:r>
      <w:r w:rsidR="004A6054">
        <w:rPr>
          <w:rFonts w:ascii="Georgia" w:hAnsi="Georgia"/>
          <w:sz w:val="24"/>
          <w:szCs w:val="24"/>
        </w:rPr>
        <w:t xml:space="preserve"> in this docket</w:t>
      </w:r>
      <w:r w:rsidR="007E7BE4">
        <w:rPr>
          <w:rFonts w:ascii="Georgia" w:hAnsi="Georgia"/>
          <w:sz w:val="24"/>
          <w:szCs w:val="24"/>
        </w:rPr>
        <w:t xml:space="preserve">, </w:t>
      </w:r>
      <w:r w:rsidR="006274CC">
        <w:rPr>
          <w:rFonts w:ascii="Georgia" w:hAnsi="Georgia"/>
          <w:sz w:val="24"/>
          <w:szCs w:val="24"/>
        </w:rPr>
        <w:t xml:space="preserve">Elliott Management </w:t>
      </w:r>
      <w:r w:rsidR="003709C1">
        <w:rPr>
          <w:rFonts w:ascii="Georgia" w:hAnsi="Georgia"/>
          <w:sz w:val="24"/>
          <w:szCs w:val="24"/>
        </w:rPr>
        <w:t xml:space="preserve">reached a </w:t>
      </w:r>
      <w:r w:rsidR="00215FE8">
        <w:rPr>
          <w:rFonts w:ascii="Georgia" w:hAnsi="Georgia"/>
          <w:sz w:val="24"/>
          <w:szCs w:val="24"/>
        </w:rPr>
        <w:t>previous</w:t>
      </w:r>
      <w:r w:rsidR="003709C1">
        <w:rPr>
          <w:rFonts w:ascii="Georgia" w:hAnsi="Georgia"/>
          <w:sz w:val="24"/>
          <w:szCs w:val="24"/>
        </w:rPr>
        <w:t xml:space="preserve"> deal in February 2020</w:t>
      </w:r>
      <w:r w:rsidR="005C76CF">
        <w:rPr>
          <w:rFonts w:ascii="Georgia" w:hAnsi="Georgia"/>
          <w:sz w:val="24"/>
          <w:szCs w:val="24"/>
        </w:rPr>
        <w:t xml:space="preserve">, in part through the terms of a non-public </w:t>
      </w:r>
      <w:r w:rsidR="005C76CF" w:rsidRPr="00B11ABE">
        <w:rPr>
          <w:rFonts w:ascii="Georgia" w:hAnsi="Georgia"/>
          <w:i/>
          <w:iCs/>
          <w:sz w:val="24"/>
          <w:szCs w:val="24"/>
        </w:rPr>
        <w:t>Cooperation Agreement</w:t>
      </w:r>
      <w:r w:rsidR="005C76CF">
        <w:rPr>
          <w:rFonts w:ascii="Georgia" w:hAnsi="Georgia"/>
          <w:sz w:val="24"/>
          <w:szCs w:val="24"/>
        </w:rPr>
        <w:t xml:space="preserve"> that conveys</w:t>
      </w:r>
      <w:r w:rsidR="002A6391">
        <w:rPr>
          <w:rFonts w:ascii="Georgia" w:hAnsi="Georgia"/>
          <w:sz w:val="24"/>
          <w:szCs w:val="24"/>
        </w:rPr>
        <w:t xml:space="preserve"> access to Elliott Management of material, non-public information about Evergy’s business operations</w:t>
      </w:r>
      <w:r w:rsidR="00E01AA4">
        <w:rPr>
          <w:rFonts w:ascii="Georgia" w:hAnsi="Georgia"/>
          <w:sz w:val="24"/>
          <w:szCs w:val="24"/>
        </w:rPr>
        <w:t>,</w:t>
      </w:r>
      <w:r w:rsidR="00F11FA7">
        <w:rPr>
          <w:rFonts w:ascii="Georgia" w:hAnsi="Georgia"/>
          <w:sz w:val="24"/>
          <w:szCs w:val="24"/>
        </w:rPr>
        <w:t xml:space="preserve"> and </w:t>
      </w:r>
      <w:r w:rsidR="00E01AA4">
        <w:rPr>
          <w:rFonts w:ascii="Georgia" w:hAnsi="Georgia"/>
          <w:sz w:val="24"/>
          <w:szCs w:val="24"/>
        </w:rPr>
        <w:t xml:space="preserve">also </w:t>
      </w:r>
      <w:r w:rsidR="00F11FA7">
        <w:rPr>
          <w:rFonts w:ascii="Georgia" w:hAnsi="Georgia"/>
          <w:sz w:val="24"/>
          <w:szCs w:val="24"/>
        </w:rPr>
        <w:t>provided</w:t>
      </w:r>
      <w:r w:rsidR="00C238AC">
        <w:rPr>
          <w:rFonts w:ascii="Georgia" w:hAnsi="Georgia"/>
          <w:sz w:val="24"/>
          <w:szCs w:val="24"/>
        </w:rPr>
        <w:t xml:space="preserve"> two board seats of Elliott’s choosing</w:t>
      </w:r>
      <w:r w:rsidR="002A6391">
        <w:rPr>
          <w:rFonts w:ascii="Georgia" w:hAnsi="Georgia"/>
          <w:sz w:val="24"/>
          <w:szCs w:val="24"/>
        </w:rPr>
        <w:t>.</w:t>
      </w:r>
      <w:r w:rsidR="002A6391">
        <w:rPr>
          <w:rStyle w:val="FootnoteReference"/>
          <w:rFonts w:ascii="Georgia" w:hAnsi="Georgia"/>
          <w:sz w:val="24"/>
          <w:szCs w:val="24"/>
        </w:rPr>
        <w:footnoteReference w:id="2"/>
      </w:r>
    </w:p>
    <w:p w14:paraId="34DDB833" w14:textId="56F2380B" w:rsidR="00C34074" w:rsidRDefault="007A4E47" w:rsidP="00231C14">
      <w:pPr>
        <w:spacing w:line="360" w:lineRule="auto"/>
        <w:ind w:firstLine="720"/>
        <w:rPr>
          <w:rFonts w:ascii="Georgia" w:hAnsi="Georgia"/>
          <w:sz w:val="24"/>
          <w:szCs w:val="24"/>
        </w:rPr>
      </w:pPr>
      <w:r>
        <w:rPr>
          <w:rFonts w:ascii="Georgia" w:hAnsi="Georgia"/>
          <w:sz w:val="24"/>
          <w:szCs w:val="24"/>
        </w:rPr>
        <w:lastRenderedPageBreak/>
        <w:t>The hedge funds</w:t>
      </w:r>
      <w:r w:rsidR="003A2EB1">
        <w:rPr>
          <w:rFonts w:ascii="Georgia" w:hAnsi="Georgia"/>
          <w:sz w:val="24"/>
          <w:szCs w:val="24"/>
        </w:rPr>
        <w:t xml:space="preserve"> </w:t>
      </w:r>
      <w:r w:rsidR="000C58EC">
        <w:rPr>
          <w:rFonts w:ascii="Georgia" w:hAnsi="Georgia"/>
          <w:sz w:val="24"/>
          <w:szCs w:val="24"/>
        </w:rPr>
        <w:t>wield</w:t>
      </w:r>
      <w:r w:rsidR="00F93ED0">
        <w:rPr>
          <w:rFonts w:ascii="Georgia" w:hAnsi="Georgia"/>
          <w:sz w:val="24"/>
          <w:szCs w:val="24"/>
        </w:rPr>
        <w:t xml:space="preserve"> significant </w:t>
      </w:r>
      <w:r w:rsidR="00681C93">
        <w:rPr>
          <w:rFonts w:ascii="Georgia" w:hAnsi="Georgia"/>
          <w:sz w:val="24"/>
          <w:szCs w:val="24"/>
        </w:rPr>
        <w:t xml:space="preserve">influence over </w:t>
      </w:r>
      <w:r w:rsidR="00F93ED0">
        <w:rPr>
          <w:rFonts w:ascii="Georgia" w:hAnsi="Georgia"/>
          <w:sz w:val="24"/>
          <w:szCs w:val="24"/>
        </w:rPr>
        <w:t>management, board and investment decisions at Evergy, Inc.</w:t>
      </w:r>
      <w:r w:rsidR="00A52743">
        <w:rPr>
          <w:rFonts w:ascii="Georgia" w:hAnsi="Georgia"/>
          <w:sz w:val="24"/>
          <w:szCs w:val="24"/>
        </w:rPr>
        <w:t xml:space="preserve">, in part through </w:t>
      </w:r>
      <w:r w:rsidR="00C47A8C">
        <w:rPr>
          <w:rFonts w:ascii="Georgia" w:hAnsi="Georgia"/>
          <w:sz w:val="24"/>
          <w:szCs w:val="24"/>
        </w:rPr>
        <w:t>Elliott’s</w:t>
      </w:r>
      <w:r w:rsidR="00A52743">
        <w:rPr>
          <w:rFonts w:ascii="Georgia" w:hAnsi="Georgia"/>
          <w:sz w:val="24"/>
          <w:szCs w:val="24"/>
        </w:rPr>
        <w:t xml:space="preserve"> non-public agreement that provide access to material, non-public information</w:t>
      </w:r>
      <w:r w:rsidR="006C43A5">
        <w:rPr>
          <w:rFonts w:ascii="Georgia" w:hAnsi="Georgia"/>
          <w:sz w:val="24"/>
          <w:szCs w:val="24"/>
        </w:rPr>
        <w:t xml:space="preserve"> about Evergy, Inc. </w:t>
      </w:r>
      <w:r w:rsidR="00DC0127">
        <w:rPr>
          <w:rFonts w:ascii="Georgia" w:hAnsi="Georgia"/>
          <w:sz w:val="24"/>
          <w:szCs w:val="24"/>
        </w:rPr>
        <w:t>Elliott Management</w:t>
      </w:r>
      <w:r w:rsidR="00CA41B5">
        <w:rPr>
          <w:rFonts w:ascii="Georgia" w:hAnsi="Georgia"/>
          <w:sz w:val="24"/>
          <w:szCs w:val="24"/>
        </w:rPr>
        <w:t xml:space="preserve"> ha</w:t>
      </w:r>
      <w:r w:rsidR="00DC0127">
        <w:rPr>
          <w:rFonts w:ascii="Georgia" w:hAnsi="Georgia"/>
          <w:sz w:val="24"/>
          <w:szCs w:val="24"/>
        </w:rPr>
        <w:t>s</w:t>
      </w:r>
      <w:r w:rsidR="00CA41B5">
        <w:rPr>
          <w:rFonts w:ascii="Georgia" w:hAnsi="Georgia"/>
          <w:sz w:val="24"/>
          <w:szCs w:val="24"/>
        </w:rPr>
        <w:t xml:space="preserve"> a similar agreement </w:t>
      </w:r>
      <w:r w:rsidR="00DC0127">
        <w:rPr>
          <w:rFonts w:ascii="Georgia" w:hAnsi="Georgia"/>
          <w:sz w:val="24"/>
          <w:szCs w:val="24"/>
        </w:rPr>
        <w:t>to obtain material, non-public business information of</w:t>
      </w:r>
      <w:r w:rsidR="003027BD">
        <w:rPr>
          <w:rFonts w:ascii="Georgia" w:hAnsi="Georgia"/>
          <w:sz w:val="24"/>
          <w:szCs w:val="24"/>
        </w:rPr>
        <w:t xml:space="preserve"> a competing MBR seller,</w:t>
      </w:r>
      <w:r w:rsidR="00CA41B5">
        <w:rPr>
          <w:rFonts w:ascii="Georgia" w:hAnsi="Georgia"/>
          <w:sz w:val="24"/>
          <w:szCs w:val="24"/>
        </w:rPr>
        <w:t xml:space="preserve"> CenterPoint Energy</w:t>
      </w:r>
      <w:r w:rsidR="003027BD">
        <w:rPr>
          <w:rStyle w:val="FootnoteReference"/>
          <w:rFonts w:ascii="Georgia" w:hAnsi="Georgia"/>
          <w:sz w:val="24"/>
          <w:szCs w:val="24"/>
        </w:rPr>
        <w:footnoteReference w:id="3"/>
      </w:r>
      <w:r w:rsidR="008A656E">
        <w:rPr>
          <w:rFonts w:ascii="Georgia" w:hAnsi="Georgia"/>
          <w:sz w:val="24"/>
          <w:szCs w:val="24"/>
        </w:rPr>
        <w:t xml:space="preserve">. </w:t>
      </w:r>
      <w:r w:rsidR="00204803">
        <w:rPr>
          <w:rFonts w:ascii="Georgia" w:hAnsi="Georgia"/>
          <w:sz w:val="24"/>
          <w:szCs w:val="24"/>
        </w:rPr>
        <w:t xml:space="preserve">The combination of the hedge funds’ </w:t>
      </w:r>
      <w:r w:rsidR="00492F2B">
        <w:rPr>
          <w:rFonts w:ascii="Georgia" w:hAnsi="Georgia"/>
          <w:sz w:val="24"/>
          <w:szCs w:val="24"/>
        </w:rPr>
        <w:t>upstream ownership</w:t>
      </w:r>
      <w:r w:rsidR="008C701D">
        <w:rPr>
          <w:rFonts w:ascii="Georgia" w:hAnsi="Georgia"/>
          <w:sz w:val="24"/>
          <w:szCs w:val="24"/>
        </w:rPr>
        <w:t xml:space="preserve"> of Evergy</w:t>
      </w:r>
      <w:r w:rsidR="00D159E4">
        <w:rPr>
          <w:rFonts w:ascii="Georgia" w:hAnsi="Georgia"/>
          <w:sz w:val="24"/>
          <w:szCs w:val="24"/>
        </w:rPr>
        <w:t xml:space="preserve">, </w:t>
      </w:r>
      <w:r w:rsidR="008C701D">
        <w:rPr>
          <w:rFonts w:ascii="Georgia" w:hAnsi="Georgia"/>
          <w:sz w:val="24"/>
          <w:szCs w:val="24"/>
        </w:rPr>
        <w:t>Bluescape’s Executive Chairman securing a voting seat on the board of directors in exchange for a non-arm’s length</w:t>
      </w:r>
      <w:r w:rsidR="00866DE3">
        <w:rPr>
          <w:rFonts w:ascii="Georgia" w:hAnsi="Georgia"/>
          <w:sz w:val="24"/>
          <w:szCs w:val="24"/>
        </w:rPr>
        <w:t xml:space="preserve"> </w:t>
      </w:r>
      <w:r w:rsidR="00D9185F">
        <w:rPr>
          <w:rFonts w:ascii="Georgia" w:hAnsi="Georgia"/>
          <w:sz w:val="24"/>
          <w:szCs w:val="24"/>
        </w:rPr>
        <w:t xml:space="preserve">financial </w:t>
      </w:r>
      <w:r w:rsidR="00866DE3">
        <w:rPr>
          <w:rFonts w:ascii="Georgia" w:hAnsi="Georgia"/>
          <w:sz w:val="24"/>
          <w:szCs w:val="24"/>
        </w:rPr>
        <w:t>transaction</w:t>
      </w:r>
      <w:r w:rsidR="00E20AD0">
        <w:rPr>
          <w:rFonts w:ascii="Georgia" w:hAnsi="Georgia"/>
          <w:sz w:val="24"/>
          <w:szCs w:val="24"/>
        </w:rPr>
        <w:t>,</w:t>
      </w:r>
      <w:r w:rsidR="00D159E4">
        <w:rPr>
          <w:rFonts w:ascii="Georgia" w:hAnsi="Georgia"/>
          <w:sz w:val="24"/>
          <w:szCs w:val="24"/>
        </w:rPr>
        <w:t xml:space="preserve"> and</w:t>
      </w:r>
      <w:r w:rsidR="0017376B">
        <w:rPr>
          <w:rFonts w:ascii="Georgia" w:hAnsi="Georgia"/>
          <w:sz w:val="24"/>
          <w:szCs w:val="24"/>
        </w:rPr>
        <w:t xml:space="preserve"> Elliott’s</w:t>
      </w:r>
      <w:r w:rsidR="00D159E4">
        <w:rPr>
          <w:rFonts w:ascii="Georgia" w:hAnsi="Georgia"/>
          <w:sz w:val="24"/>
          <w:szCs w:val="24"/>
        </w:rPr>
        <w:t xml:space="preserve"> </w:t>
      </w:r>
      <w:r w:rsidR="00866DE3">
        <w:rPr>
          <w:rFonts w:ascii="Georgia" w:hAnsi="Georgia"/>
          <w:sz w:val="24"/>
          <w:szCs w:val="24"/>
        </w:rPr>
        <w:t>rights</w:t>
      </w:r>
      <w:r w:rsidR="002E11D6">
        <w:rPr>
          <w:rFonts w:ascii="Georgia" w:hAnsi="Georgia"/>
          <w:sz w:val="24"/>
          <w:szCs w:val="24"/>
        </w:rPr>
        <w:t xml:space="preserve"> to access material non-public information about multiple, competing MBR sellers</w:t>
      </w:r>
      <w:r w:rsidR="003239F7">
        <w:rPr>
          <w:rFonts w:ascii="Georgia" w:hAnsi="Georgia"/>
          <w:sz w:val="24"/>
          <w:szCs w:val="24"/>
        </w:rPr>
        <w:t xml:space="preserve"> </w:t>
      </w:r>
      <w:r w:rsidR="00D9155C">
        <w:rPr>
          <w:rFonts w:ascii="Georgia" w:hAnsi="Georgia"/>
          <w:sz w:val="24"/>
          <w:szCs w:val="24"/>
        </w:rPr>
        <w:t xml:space="preserve">raise significant concerns about the </w:t>
      </w:r>
      <w:r w:rsidR="003B3698">
        <w:rPr>
          <w:rFonts w:ascii="Georgia" w:hAnsi="Georgia"/>
          <w:sz w:val="24"/>
          <w:szCs w:val="24"/>
        </w:rPr>
        <w:t>threat to competition</w:t>
      </w:r>
      <w:r w:rsidR="003B445F">
        <w:rPr>
          <w:rFonts w:ascii="Georgia" w:hAnsi="Georgia"/>
          <w:sz w:val="24"/>
          <w:szCs w:val="24"/>
        </w:rPr>
        <w:t xml:space="preserve"> </w:t>
      </w:r>
      <w:r w:rsidR="00954055">
        <w:rPr>
          <w:rFonts w:ascii="Georgia" w:hAnsi="Georgia"/>
          <w:sz w:val="24"/>
          <w:szCs w:val="24"/>
        </w:rPr>
        <w:t>and just and reasonable rates</w:t>
      </w:r>
      <w:r w:rsidR="003B445F">
        <w:rPr>
          <w:rFonts w:ascii="Georgia" w:hAnsi="Georgia"/>
          <w:sz w:val="24"/>
          <w:szCs w:val="24"/>
        </w:rPr>
        <w:t xml:space="preserve">. The Commission must designate both Elliott Management and </w:t>
      </w:r>
      <w:r w:rsidR="00EA548C" w:rsidRPr="00EA548C">
        <w:rPr>
          <w:rFonts w:ascii="Georgia" w:hAnsi="Georgia"/>
          <w:sz w:val="24"/>
          <w:szCs w:val="24"/>
        </w:rPr>
        <w:t>Bluescape Energy Partners, LLC</w:t>
      </w:r>
      <w:r w:rsidR="00154F3B">
        <w:rPr>
          <w:rFonts w:ascii="Georgia" w:hAnsi="Georgia"/>
          <w:sz w:val="24"/>
          <w:szCs w:val="24"/>
        </w:rPr>
        <w:t xml:space="preserve"> </w:t>
      </w:r>
      <w:r w:rsidR="00C34074">
        <w:rPr>
          <w:rFonts w:ascii="Georgia" w:hAnsi="Georgia"/>
          <w:sz w:val="24"/>
          <w:szCs w:val="24"/>
        </w:rPr>
        <w:t>as affiliates of Evergy, Inc.</w:t>
      </w:r>
    </w:p>
    <w:p w14:paraId="79631549" w14:textId="77777777" w:rsidR="00D9185F" w:rsidRDefault="00D9185F" w:rsidP="0017376B">
      <w:pPr>
        <w:spacing w:line="360" w:lineRule="auto"/>
        <w:rPr>
          <w:rFonts w:ascii="Georgia" w:hAnsi="Georgia"/>
          <w:sz w:val="24"/>
          <w:szCs w:val="24"/>
        </w:rPr>
      </w:pPr>
    </w:p>
    <w:p w14:paraId="7576599B" w14:textId="3F6BE083" w:rsidR="00C34074" w:rsidRDefault="00C34074" w:rsidP="0017376B">
      <w:pPr>
        <w:spacing w:line="360" w:lineRule="auto"/>
        <w:rPr>
          <w:rFonts w:ascii="Georgia" w:hAnsi="Georgia"/>
          <w:sz w:val="24"/>
          <w:szCs w:val="24"/>
        </w:rPr>
      </w:pPr>
      <w:r>
        <w:rPr>
          <w:rFonts w:ascii="Georgia" w:hAnsi="Georgia"/>
          <w:sz w:val="24"/>
          <w:szCs w:val="24"/>
        </w:rPr>
        <w:tab/>
      </w:r>
      <w:r w:rsidR="007D25A8">
        <w:rPr>
          <w:rFonts w:ascii="Georgia" w:hAnsi="Georgia"/>
          <w:sz w:val="24"/>
          <w:szCs w:val="24"/>
        </w:rPr>
        <w:t xml:space="preserve">On February 25, 2021, Evergy, Inc. entered into </w:t>
      </w:r>
      <w:r w:rsidR="00154F3B">
        <w:rPr>
          <w:rFonts w:ascii="Georgia" w:hAnsi="Georgia"/>
          <w:sz w:val="24"/>
          <w:szCs w:val="24"/>
        </w:rPr>
        <w:t xml:space="preserve">a </w:t>
      </w:r>
      <w:r w:rsidR="00154F3B" w:rsidRPr="0002794D">
        <w:rPr>
          <w:rFonts w:ascii="Georgia" w:hAnsi="Georgia"/>
          <w:i/>
          <w:iCs/>
          <w:sz w:val="24"/>
          <w:szCs w:val="24"/>
        </w:rPr>
        <w:t>Material Definitive Agreement</w:t>
      </w:r>
      <w:r w:rsidR="00061F62">
        <w:rPr>
          <w:rStyle w:val="FootnoteReference"/>
          <w:rFonts w:ascii="Georgia" w:hAnsi="Georgia"/>
          <w:sz w:val="24"/>
          <w:szCs w:val="24"/>
        </w:rPr>
        <w:footnoteReference w:id="4"/>
      </w:r>
      <w:r w:rsidR="00154F3B">
        <w:rPr>
          <w:rFonts w:ascii="Georgia" w:hAnsi="Georgia"/>
          <w:sz w:val="24"/>
          <w:szCs w:val="24"/>
        </w:rPr>
        <w:t xml:space="preserve"> with </w:t>
      </w:r>
      <w:r w:rsidR="00AD725C" w:rsidRPr="00EA548C">
        <w:rPr>
          <w:rFonts w:ascii="Georgia" w:hAnsi="Georgia"/>
          <w:sz w:val="24"/>
          <w:szCs w:val="24"/>
        </w:rPr>
        <w:t>Bluescape Energy Partners, LLC</w:t>
      </w:r>
      <w:r w:rsidR="00AD725C">
        <w:rPr>
          <w:rFonts w:ascii="Georgia" w:hAnsi="Georgia"/>
          <w:sz w:val="24"/>
          <w:szCs w:val="24"/>
        </w:rPr>
        <w:t xml:space="preserve"> that </w:t>
      </w:r>
      <w:r w:rsidR="00061F62">
        <w:rPr>
          <w:rFonts w:ascii="Georgia" w:hAnsi="Georgia"/>
          <w:sz w:val="24"/>
          <w:szCs w:val="24"/>
        </w:rPr>
        <w:t>d</w:t>
      </w:r>
      <w:r w:rsidR="006B0DEC">
        <w:rPr>
          <w:rFonts w:ascii="Georgia" w:hAnsi="Georgia"/>
          <w:sz w:val="24"/>
          <w:szCs w:val="24"/>
        </w:rPr>
        <w:t>oes</w:t>
      </w:r>
      <w:r w:rsidR="00061F62">
        <w:rPr>
          <w:rFonts w:ascii="Georgia" w:hAnsi="Georgia"/>
          <w:sz w:val="24"/>
          <w:szCs w:val="24"/>
        </w:rPr>
        <w:t xml:space="preserve"> the following:</w:t>
      </w:r>
    </w:p>
    <w:p w14:paraId="29A67C6C" w14:textId="72FFF467" w:rsidR="00061F62" w:rsidRDefault="00061F62">
      <w:pPr>
        <w:rPr>
          <w:rFonts w:ascii="Georgia" w:hAnsi="Georgia"/>
          <w:sz w:val="24"/>
          <w:szCs w:val="24"/>
        </w:rPr>
      </w:pPr>
    </w:p>
    <w:p w14:paraId="605003F5" w14:textId="7523C6F7" w:rsidR="00061F62" w:rsidRDefault="00275011" w:rsidP="00E225A7">
      <w:pPr>
        <w:pStyle w:val="ListParagraph"/>
        <w:numPr>
          <w:ilvl w:val="0"/>
          <w:numId w:val="1"/>
        </w:numPr>
        <w:spacing w:line="360" w:lineRule="auto"/>
        <w:rPr>
          <w:rFonts w:ascii="Georgia" w:hAnsi="Georgia"/>
          <w:sz w:val="24"/>
          <w:szCs w:val="24"/>
        </w:rPr>
      </w:pPr>
      <w:r w:rsidRPr="00EA548C">
        <w:rPr>
          <w:rFonts w:ascii="Georgia" w:hAnsi="Georgia"/>
          <w:sz w:val="24"/>
          <w:szCs w:val="24"/>
        </w:rPr>
        <w:t>Bluescape Energy Partners</w:t>
      </w:r>
      <w:r w:rsidR="00791F8C">
        <w:rPr>
          <w:rFonts w:ascii="Georgia" w:hAnsi="Georgia"/>
          <w:sz w:val="24"/>
          <w:szCs w:val="24"/>
        </w:rPr>
        <w:t xml:space="preserve"> </w:t>
      </w:r>
      <w:r>
        <w:rPr>
          <w:rFonts w:ascii="Georgia" w:hAnsi="Georgia"/>
          <w:sz w:val="24"/>
          <w:szCs w:val="24"/>
        </w:rPr>
        <w:t>purchased</w:t>
      </w:r>
      <w:r w:rsidR="00791F8C">
        <w:rPr>
          <w:rFonts w:ascii="Georgia" w:hAnsi="Georgia"/>
          <w:sz w:val="24"/>
          <w:szCs w:val="24"/>
        </w:rPr>
        <w:t xml:space="preserve"> </w:t>
      </w:r>
      <w:r w:rsidR="00791F8C" w:rsidRPr="00791F8C">
        <w:rPr>
          <w:rFonts w:ascii="Georgia" w:hAnsi="Georgia"/>
          <w:sz w:val="24"/>
          <w:szCs w:val="24"/>
        </w:rPr>
        <w:t>2,269,447</w:t>
      </w:r>
      <w:r w:rsidR="00791F8C">
        <w:rPr>
          <w:rFonts w:ascii="Georgia" w:hAnsi="Georgia"/>
          <w:sz w:val="24"/>
          <w:szCs w:val="24"/>
        </w:rPr>
        <w:t xml:space="preserve"> shares</w:t>
      </w:r>
      <w:r w:rsidR="001746F1">
        <w:rPr>
          <w:rFonts w:ascii="Georgia" w:hAnsi="Georgia"/>
          <w:sz w:val="24"/>
          <w:szCs w:val="24"/>
        </w:rPr>
        <w:t xml:space="preserve"> </w:t>
      </w:r>
      <w:r>
        <w:rPr>
          <w:rFonts w:ascii="Georgia" w:hAnsi="Georgia"/>
          <w:sz w:val="24"/>
          <w:szCs w:val="24"/>
        </w:rPr>
        <w:t xml:space="preserve">directly from Evergy </w:t>
      </w:r>
      <w:r w:rsidR="0043040E">
        <w:rPr>
          <w:rFonts w:ascii="Georgia" w:hAnsi="Georgia"/>
          <w:sz w:val="24"/>
          <w:szCs w:val="24"/>
        </w:rPr>
        <w:t xml:space="preserve">on February 25 </w:t>
      </w:r>
      <w:r w:rsidR="001746F1">
        <w:rPr>
          <w:rFonts w:ascii="Georgia" w:hAnsi="Georgia"/>
          <w:sz w:val="24"/>
          <w:szCs w:val="24"/>
        </w:rPr>
        <w:t xml:space="preserve">in a non-arm’s length transaction at </w:t>
      </w:r>
      <w:r w:rsidR="0025529B">
        <w:rPr>
          <w:rFonts w:ascii="Georgia" w:hAnsi="Georgia"/>
          <w:sz w:val="24"/>
          <w:szCs w:val="24"/>
        </w:rPr>
        <w:t xml:space="preserve">a discount to the prevailing market price of Evergy’s stock price. Evergy </w:t>
      </w:r>
      <w:r w:rsidR="007F773F">
        <w:rPr>
          <w:rFonts w:ascii="Georgia" w:hAnsi="Georgia"/>
          <w:sz w:val="24"/>
          <w:szCs w:val="24"/>
        </w:rPr>
        <w:t xml:space="preserve">only </w:t>
      </w:r>
      <w:r w:rsidR="0025529B">
        <w:rPr>
          <w:rFonts w:ascii="Georgia" w:hAnsi="Georgia"/>
          <w:sz w:val="24"/>
          <w:szCs w:val="24"/>
        </w:rPr>
        <w:t xml:space="preserve">charged Bluescape </w:t>
      </w:r>
      <w:r w:rsidR="00033F04">
        <w:rPr>
          <w:rFonts w:ascii="Georgia" w:hAnsi="Georgia"/>
          <w:sz w:val="24"/>
          <w:szCs w:val="24"/>
        </w:rPr>
        <w:t>$</w:t>
      </w:r>
      <w:r w:rsidR="00033F04" w:rsidRPr="00033F04">
        <w:rPr>
          <w:rFonts w:ascii="Georgia" w:hAnsi="Georgia"/>
          <w:sz w:val="24"/>
          <w:szCs w:val="24"/>
        </w:rPr>
        <w:t>113</w:t>
      </w:r>
      <w:r w:rsidR="00033F04">
        <w:rPr>
          <w:rFonts w:ascii="Georgia" w:hAnsi="Georgia"/>
          <w:sz w:val="24"/>
          <w:szCs w:val="24"/>
        </w:rPr>
        <w:t>,</w:t>
      </w:r>
      <w:r w:rsidR="00033F04" w:rsidRPr="00033F04">
        <w:rPr>
          <w:rFonts w:ascii="Georgia" w:hAnsi="Georgia"/>
          <w:sz w:val="24"/>
          <w:szCs w:val="24"/>
        </w:rPr>
        <w:t>184</w:t>
      </w:r>
      <w:r w:rsidR="00033F04">
        <w:rPr>
          <w:rFonts w:ascii="Georgia" w:hAnsi="Georgia"/>
          <w:sz w:val="24"/>
          <w:szCs w:val="24"/>
        </w:rPr>
        <w:t>,</w:t>
      </w:r>
      <w:r w:rsidR="00033F04" w:rsidRPr="00033F04">
        <w:rPr>
          <w:rFonts w:ascii="Georgia" w:hAnsi="Georgia"/>
          <w:sz w:val="24"/>
          <w:szCs w:val="24"/>
        </w:rPr>
        <w:t>661.3</w:t>
      </w:r>
      <w:r w:rsidR="00033F04">
        <w:rPr>
          <w:rFonts w:ascii="Georgia" w:hAnsi="Georgia"/>
          <w:sz w:val="24"/>
          <w:szCs w:val="24"/>
        </w:rPr>
        <w:t xml:space="preserve">0, which amounts to </w:t>
      </w:r>
      <w:r w:rsidR="002E6731">
        <w:rPr>
          <w:rFonts w:ascii="Georgia" w:hAnsi="Georgia"/>
          <w:sz w:val="24"/>
          <w:szCs w:val="24"/>
        </w:rPr>
        <w:t>$49.87/share</w:t>
      </w:r>
      <w:r w:rsidR="00BB2831">
        <w:rPr>
          <w:rFonts w:ascii="Cambria" w:hAnsi="Cambria"/>
          <w:sz w:val="24"/>
          <w:szCs w:val="24"/>
        </w:rPr>
        <w:t>—</w:t>
      </w:r>
      <w:r w:rsidR="007E2415" w:rsidRPr="007E2415">
        <w:rPr>
          <w:rFonts w:ascii="Georgia" w:hAnsi="Georgia"/>
          <w:sz w:val="24"/>
          <w:szCs w:val="24"/>
        </w:rPr>
        <w:t xml:space="preserve"> </w:t>
      </w:r>
      <w:r w:rsidR="007E2415" w:rsidRPr="00B62820">
        <w:rPr>
          <w:rFonts w:ascii="Georgia" w:hAnsi="Georgia"/>
          <w:sz w:val="24"/>
          <w:szCs w:val="24"/>
        </w:rPr>
        <w:t>a discount of  7.11%  from the Evergy  closing stock price on February 25, 2021, and a 8.55% discount from the Evergy closing stock price on February 24, 2021.</w:t>
      </w:r>
      <w:r w:rsidR="003F759D">
        <w:rPr>
          <w:rFonts w:ascii="Georgia" w:hAnsi="Georgia"/>
          <w:sz w:val="24"/>
          <w:szCs w:val="24"/>
        </w:rPr>
        <w:t xml:space="preserve"> </w:t>
      </w:r>
      <w:r w:rsidR="00666220">
        <w:rPr>
          <w:rFonts w:ascii="Georgia" w:hAnsi="Georgia"/>
          <w:sz w:val="24"/>
          <w:szCs w:val="24"/>
        </w:rPr>
        <w:t xml:space="preserve">Bluescape </w:t>
      </w:r>
      <w:proofErr w:type="gramStart"/>
      <w:r w:rsidR="00666220">
        <w:rPr>
          <w:rFonts w:ascii="Georgia" w:hAnsi="Georgia"/>
          <w:sz w:val="24"/>
          <w:szCs w:val="24"/>
        </w:rPr>
        <w:t>didn’t</w:t>
      </w:r>
      <w:proofErr w:type="gramEnd"/>
      <w:r w:rsidR="00666220">
        <w:rPr>
          <w:rFonts w:ascii="Georgia" w:hAnsi="Georgia"/>
          <w:sz w:val="24"/>
          <w:szCs w:val="24"/>
        </w:rPr>
        <w:t xml:space="preserve"> purchase these shares on the open market via the Robin</w:t>
      </w:r>
      <w:r w:rsidR="00F73B5F">
        <w:rPr>
          <w:rFonts w:ascii="Georgia" w:hAnsi="Georgia"/>
          <w:sz w:val="24"/>
          <w:szCs w:val="24"/>
        </w:rPr>
        <w:t xml:space="preserve">hood app; this was a private </w:t>
      </w:r>
      <w:r w:rsidR="008C2B11">
        <w:rPr>
          <w:rFonts w:ascii="Georgia" w:hAnsi="Georgia"/>
          <w:sz w:val="24"/>
          <w:szCs w:val="24"/>
        </w:rPr>
        <w:t>sale of Evergy’s securities to an adversarial hedge fund at a price that was a steep discount to prevailing market prices.</w:t>
      </w:r>
    </w:p>
    <w:p w14:paraId="798793B7" w14:textId="77777777" w:rsidR="00E225A7" w:rsidRDefault="00E225A7" w:rsidP="00B03071">
      <w:pPr>
        <w:pStyle w:val="ListParagraph"/>
        <w:rPr>
          <w:rFonts w:ascii="Georgia" w:hAnsi="Georgia"/>
          <w:sz w:val="24"/>
          <w:szCs w:val="24"/>
        </w:rPr>
      </w:pPr>
    </w:p>
    <w:p w14:paraId="2A4D6183" w14:textId="50EFBF68" w:rsidR="00E225A7" w:rsidRDefault="00123529" w:rsidP="00E225A7">
      <w:pPr>
        <w:pStyle w:val="ListParagraph"/>
        <w:numPr>
          <w:ilvl w:val="0"/>
          <w:numId w:val="1"/>
        </w:numPr>
        <w:spacing w:line="360" w:lineRule="auto"/>
        <w:rPr>
          <w:rFonts w:ascii="Georgia" w:hAnsi="Georgia"/>
          <w:sz w:val="24"/>
          <w:szCs w:val="24"/>
        </w:rPr>
      </w:pPr>
      <w:r>
        <w:rPr>
          <w:rFonts w:ascii="Georgia" w:hAnsi="Georgia"/>
          <w:sz w:val="24"/>
          <w:szCs w:val="24"/>
        </w:rPr>
        <w:t xml:space="preserve">In exchange for </w:t>
      </w:r>
      <w:proofErr w:type="spellStart"/>
      <w:r>
        <w:rPr>
          <w:rFonts w:ascii="Georgia" w:hAnsi="Georgia"/>
          <w:sz w:val="24"/>
          <w:szCs w:val="24"/>
        </w:rPr>
        <w:t>Bluescape’s</w:t>
      </w:r>
      <w:proofErr w:type="spellEnd"/>
      <w:r>
        <w:rPr>
          <w:rFonts w:ascii="Georgia" w:hAnsi="Georgia"/>
          <w:sz w:val="24"/>
          <w:szCs w:val="24"/>
        </w:rPr>
        <w:t xml:space="preserve"> cash, </w:t>
      </w:r>
      <w:r w:rsidR="008A0223">
        <w:rPr>
          <w:rFonts w:ascii="Georgia" w:hAnsi="Georgia"/>
          <w:sz w:val="24"/>
          <w:szCs w:val="24"/>
        </w:rPr>
        <w:t xml:space="preserve">Evergy agreed to </w:t>
      </w:r>
      <w:r w:rsidR="00E66AAD">
        <w:rPr>
          <w:rFonts w:ascii="Georgia" w:hAnsi="Georgia"/>
          <w:sz w:val="24"/>
          <w:szCs w:val="24"/>
        </w:rPr>
        <w:t>install two of Bluescape’s preferred selections for the board of directors, including</w:t>
      </w:r>
      <w:r w:rsidR="00814421">
        <w:rPr>
          <w:rFonts w:ascii="Georgia" w:hAnsi="Georgia"/>
          <w:sz w:val="24"/>
          <w:szCs w:val="24"/>
        </w:rPr>
        <w:t xml:space="preserve"> Bluescape’s Executive Chairman, </w:t>
      </w:r>
      <w:r w:rsidR="00814421" w:rsidRPr="00814421">
        <w:rPr>
          <w:rFonts w:ascii="Georgia" w:hAnsi="Georgia"/>
          <w:sz w:val="24"/>
          <w:szCs w:val="24"/>
        </w:rPr>
        <w:t>C. John Wilder</w:t>
      </w:r>
      <w:r w:rsidR="00814421">
        <w:rPr>
          <w:rFonts w:ascii="Georgia" w:hAnsi="Georgia"/>
          <w:sz w:val="24"/>
          <w:szCs w:val="24"/>
        </w:rPr>
        <w:t xml:space="preserve">. In addition, Evergy agreed to appoint former Democratic U.S. Senator </w:t>
      </w:r>
      <w:r w:rsidR="008031C5" w:rsidRPr="008031C5">
        <w:rPr>
          <w:rFonts w:ascii="Georgia" w:hAnsi="Georgia"/>
          <w:sz w:val="24"/>
          <w:szCs w:val="24"/>
        </w:rPr>
        <w:t>Mary L. Landrieu</w:t>
      </w:r>
      <w:r w:rsidR="008031C5">
        <w:rPr>
          <w:rFonts w:ascii="Georgia" w:hAnsi="Georgia"/>
          <w:sz w:val="24"/>
          <w:szCs w:val="24"/>
        </w:rPr>
        <w:t xml:space="preserve"> to the board. Evergy also agreed to </w:t>
      </w:r>
      <w:r w:rsidR="008031C5">
        <w:rPr>
          <w:rFonts w:ascii="Georgia" w:hAnsi="Georgia"/>
          <w:sz w:val="24"/>
          <w:szCs w:val="24"/>
        </w:rPr>
        <w:lastRenderedPageBreak/>
        <w:t xml:space="preserve">allow Bluescape’s Wilder to chair the </w:t>
      </w:r>
      <w:r w:rsidR="00802D46">
        <w:rPr>
          <w:rFonts w:ascii="Georgia" w:hAnsi="Georgia"/>
          <w:sz w:val="24"/>
          <w:szCs w:val="24"/>
        </w:rPr>
        <w:t xml:space="preserve">board’s </w:t>
      </w:r>
      <w:r w:rsidR="008031C5">
        <w:rPr>
          <w:rFonts w:ascii="Georgia" w:hAnsi="Georgia"/>
          <w:sz w:val="24"/>
          <w:szCs w:val="24"/>
        </w:rPr>
        <w:t>Finance Committee.</w:t>
      </w:r>
      <w:r w:rsidR="003951BB">
        <w:rPr>
          <w:rFonts w:ascii="Georgia" w:hAnsi="Georgia"/>
          <w:sz w:val="24"/>
          <w:szCs w:val="24"/>
        </w:rPr>
        <w:t xml:space="preserve"> Allowing </w:t>
      </w:r>
      <w:proofErr w:type="spellStart"/>
      <w:r w:rsidR="003951BB">
        <w:rPr>
          <w:rFonts w:ascii="Georgia" w:hAnsi="Georgia"/>
          <w:sz w:val="24"/>
          <w:szCs w:val="24"/>
        </w:rPr>
        <w:t>Bluescape’s</w:t>
      </w:r>
      <w:proofErr w:type="spellEnd"/>
      <w:r w:rsidR="003951BB">
        <w:rPr>
          <w:rFonts w:ascii="Georgia" w:hAnsi="Georgia"/>
          <w:sz w:val="24"/>
          <w:szCs w:val="24"/>
        </w:rPr>
        <w:t xml:space="preserve"> Executive Chairman to have voting rights on Evergy’s board conveys </w:t>
      </w:r>
      <w:r w:rsidR="00A36C3F">
        <w:rPr>
          <w:rFonts w:ascii="Georgia" w:hAnsi="Georgia"/>
          <w:sz w:val="24"/>
          <w:szCs w:val="24"/>
        </w:rPr>
        <w:t>control to Bluescape.</w:t>
      </w:r>
    </w:p>
    <w:p w14:paraId="65606655" w14:textId="77777777" w:rsidR="002032AB" w:rsidRPr="002032AB" w:rsidRDefault="002032AB" w:rsidP="00B03071">
      <w:pPr>
        <w:rPr>
          <w:rFonts w:ascii="Georgia" w:hAnsi="Georgia"/>
          <w:sz w:val="24"/>
          <w:szCs w:val="24"/>
        </w:rPr>
      </w:pPr>
    </w:p>
    <w:p w14:paraId="1CED1D08" w14:textId="05391310" w:rsidR="00DF0661" w:rsidRPr="00061F62" w:rsidRDefault="00DF0661" w:rsidP="00E225A7">
      <w:pPr>
        <w:pStyle w:val="ListParagraph"/>
        <w:numPr>
          <w:ilvl w:val="0"/>
          <w:numId w:val="1"/>
        </w:numPr>
        <w:spacing w:line="360" w:lineRule="auto"/>
        <w:rPr>
          <w:rFonts w:ascii="Georgia" w:hAnsi="Georgia"/>
          <w:sz w:val="24"/>
          <w:szCs w:val="24"/>
        </w:rPr>
      </w:pPr>
      <w:r>
        <w:rPr>
          <w:rFonts w:ascii="Georgia" w:hAnsi="Georgia"/>
          <w:sz w:val="24"/>
          <w:szCs w:val="24"/>
        </w:rPr>
        <w:t xml:space="preserve">The agreement with Bluescape was done in conjunction with a new agreement signed with Elliott Management, which continues to own </w:t>
      </w:r>
      <w:r w:rsidR="00A65B13">
        <w:rPr>
          <w:rFonts w:ascii="Georgia" w:hAnsi="Georgia"/>
          <w:sz w:val="24"/>
          <w:szCs w:val="24"/>
        </w:rPr>
        <w:t>roughly 5% of</w:t>
      </w:r>
      <w:r>
        <w:rPr>
          <w:rFonts w:ascii="Georgia" w:hAnsi="Georgia"/>
          <w:sz w:val="24"/>
          <w:szCs w:val="24"/>
        </w:rPr>
        <w:t xml:space="preserve"> Evergy</w:t>
      </w:r>
      <w:r w:rsidR="00A36C3F">
        <w:rPr>
          <w:rFonts w:ascii="Georgia" w:hAnsi="Georgia"/>
          <w:sz w:val="24"/>
          <w:szCs w:val="24"/>
        </w:rPr>
        <w:t xml:space="preserve"> (Bluescape only owns about 1% of the utility)</w:t>
      </w:r>
      <w:r>
        <w:rPr>
          <w:rFonts w:ascii="Georgia" w:hAnsi="Georgia"/>
          <w:sz w:val="24"/>
          <w:szCs w:val="24"/>
        </w:rPr>
        <w:t>.</w:t>
      </w:r>
    </w:p>
    <w:p w14:paraId="0ADE43B7" w14:textId="0BD88B1E" w:rsidR="00C7525D" w:rsidRDefault="00C7525D">
      <w:pPr>
        <w:rPr>
          <w:rFonts w:ascii="Georgia" w:hAnsi="Georgia"/>
          <w:sz w:val="24"/>
          <w:szCs w:val="24"/>
        </w:rPr>
      </w:pPr>
    </w:p>
    <w:p w14:paraId="49E1630C" w14:textId="0DD41A3F" w:rsidR="006B0618" w:rsidRDefault="00F62353" w:rsidP="00231C14">
      <w:pPr>
        <w:spacing w:line="360" w:lineRule="auto"/>
        <w:ind w:firstLine="360"/>
        <w:rPr>
          <w:rFonts w:ascii="Georgia" w:hAnsi="Georgia"/>
          <w:sz w:val="24"/>
          <w:szCs w:val="24"/>
        </w:rPr>
      </w:pPr>
      <w:r>
        <w:rPr>
          <w:rFonts w:ascii="Georgia" w:hAnsi="Georgia"/>
          <w:sz w:val="24"/>
          <w:szCs w:val="24"/>
        </w:rPr>
        <w:t>These non-arm’s length transactions raise serious concerns about the influence wielded by both Bluescape and Elliott Management</w:t>
      </w:r>
      <w:r w:rsidR="002F492B">
        <w:rPr>
          <w:rFonts w:ascii="Georgia" w:hAnsi="Georgia"/>
          <w:sz w:val="24"/>
          <w:szCs w:val="24"/>
        </w:rPr>
        <w:t>:</w:t>
      </w:r>
    </w:p>
    <w:p w14:paraId="67F34AAF" w14:textId="77777777" w:rsidR="000B373C" w:rsidRDefault="000B373C" w:rsidP="006B0618">
      <w:pPr>
        <w:rPr>
          <w:rFonts w:ascii="Georgia" w:hAnsi="Georgia"/>
          <w:sz w:val="24"/>
          <w:szCs w:val="24"/>
        </w:rPr>
      </w:pPr>
    </w:p>
    <w:p w14:paraId="5FE0E246" w14:textId="5322E06C" w:rsidR="0081444A" w:rsidRPr="00B62820" w:rsidRDefault="00D5586F" w:rsidP="000B373C">
      <w:pPr>
        <w:ind w:left="360"/>
        <w:rPr>
          <w:rFonts w:ascii="Georgia" w:hAnsi="Georgia"/>
          <w:sz w:val="24"/>
          <w:szCs w:val="24"/>
        </w:rPr>
      </w:pPr>
      <w:r w:rsidRPr="00A3532A">
        <w:rPr>
          <w:rFonts w:ascii="Georgia" w:hAnsi="Georgia"/>
          <w:i/>
          <w:iCs/>
        </w:rPr>
        <w:t>Evergy Inc. has undergone tremendous change in the year since reaching an agreement with activist investor Elliott Management Corp., including a new strategic direction, CEO and CFO.</w:t>
      </w:r>
      <w:r w:rsidR="005B6A97" w:rsidRPr="00A3532A">
        <w:rPr>
          <w:rFonts w:ascii="Georgia" w:hAnsi="Georgia"/>
          <w:i/>
          <w:iCs/>
        </w:rPr>
        <w:t xml:space="preserve"> </w:t>
      </w:r>
      <w:r w:rsidRPr="00A3532A">
        <w:rPr>
          <w:rFonts w:ascii="Georgia" w:hAnsi="Georgia"/>
          <w:i/>
          <w:iCs/>
        </w:rPr>
        <w:t xml:space="preserve">But Elliott isn’t going away. In fact, the hedge fund now is joined by a frequent investing partner </w:t>
      </w:r>
      <w:r w:rsidR="005B6A97" w:rsidRPr="00A3532A">
        <w:rPr>
          <w:rFonts w:ascii="Georgia" w:hAnsi="Georgia"/>
          <w:i/>
          <w:iCs/>
        </w:rPr>
        <w:t xml:space="preserve">. . . </w:t>
      </w:r>
      <w:r w:rsidR="00214A97" w:rsidRPr="00A3532A">
        <w:rPr>
          <w:rFonts w:ascii="Georgia" w:hAnsi="Georgia"/>
          <w:i/>
          <w:iCs/>
        </w:rPr>
        <w:t>Bluescape Energy Partners LLC</w:t>
      </w:r>
      <w:r w:rsidR="006B0618" w:rsidRPr="00A3532A">
        <w:rPr>
          <w:rFonts w:ascii="Georgia" w:hAnsi="Georgia"/>
          <w:i/>
          <w:iCs/>
        </w:rPr>
        <w:t xml:space="preserve"> . . . In more practical terms, the agreements mean that Elliott—and now Bluescape—will be big forces in Evergy’s operations for the next two to three years. Beyond the new directors on the utility’s board, the investors have the right to initiate and hold private communications with the board and top Evergy executives.</w:t>
      </w:r>
      <w:r w:rsidR="00351F8E">
        <w:rPr>
          <w:rStyle w:val="FootnoteReference"/>
          <w:rFonts w:ascii="Georgia" w:hAnsi="Georgia"/>
          <w:sz w:val="24"/>
          <w:szCs w:val="24"/>
        </w:rPr>
        <w:footnoteReference w:id="5"/>
      </w:r>
    </w:p>
    <w:p w14:paraId="2440B46E" w14:textId="2F13BC26" w:rsidR="00C93407" w:rsidRDefault="00C93407" w:rsidP="00C93407">
      <w:pPr>
        <w:rPr>
          <w:rFonts w:ascii="Georgia" w:hAnsi="Georgia"/>
          <w:sz w:val="24"/>
          <w:szCs w:val="24"/>
        </w:rPr>
      </w:pPr>
    </w:p>
    <w:p w14:paraId="485BB356" w14:textId="42C6CDF8" w:rsidR="00D63E5F" w:rsidRDefault="006C69CE" w:rsidP="002D170B">
      <w:pPr>
        <w:spacing w:line="360" w:lineRule="auto"/>
        <w:rPr>
          <w:rFonts w:ascii="Georgia" w:eastAsia="Times New Roman" w:hAnsi="Georgia" w:cs="Times New Roman"/>
          <w:sz w:val="24"/>
          <w:szCs w:val="24"/>
        </w:rPr>
      </w:pPr>
      <w:r>
        <w:rPr>
          <w:rFonts w:ascii="Georgia" w:hAnsi="Georgia"/>
          <w:sz w:val="24"/>
          <w:szCs w:val="24"/>
        </w:rPr>
        <w:tab/>
      </w:r>
      <w:r w:rsidR="0043394A" w:rsidRPr="0079384C">
        <w:rPr>
          <w:rFonts w:ascii="Georgia" w:eastAsia="Times New Roman" w:hAnsi="Georgia" w:cs="Times New Roman"/>
          <w:sz w:val="24"/>
          <w:szCs w:val="24"/>
        </w:rPr>
        <w:t xml:space="preserve">Access to material, nonpublic information is highly coveted, and possession of this information bestows enormous leverage and power for any party </w:t>
      </w:r>
      <w:r w:rsidR="00C43EA9">
        <w:rPr>
          <w:rFonts w:ascii="Georgia" w:eastAsia="Times New Roman" w:hAnsi="Georgia" w:cs="Times New Roman"/>
          <w:sz w:val="24"/>
          <w:szCs w:val="24"/>
        </w:rPr>
        <w:t>able</w:t>
      </w:r>
      <w:r w:rsidR="0043394A" w:rsidRPr="0079384C">
        <w:rPr>
          <w:rFonts w:ascii="Georgia" w:eastAsia="Times New Roman" w:hAnsi="Georgia" w:cs="Times New Roman"/>
          <w:sz w:val="24"/>
          <w:szCs w:val="24"/>
        </w:rPr>
        <w:t xml:space="preserve"> to access it.</w:t>
      </w:r>
      <w:r w:rsidR="0043394A">
        <w:rPr>
          <w:rFonts w:ascii="Georgia" w:eastAsia="Times New Roman" w:hAnsi="Georgia" w:cs="Times New Roman"/>
          <w:sz w:val="24"/>
          <w:szCs w:val="24"/>
        </w:rPr>
        <w:t xml:space="preserve"> </w:t>
      </w:r>
      <w:r w:rsidR="0043394A" w:rsidRPr="004D45FE">
        <w:rPr>
          <w:rFonts w:ascii="Georgia" w:eastAsia="Times New Roman" w:hAnsi="Georgia" w:cs="Times New Roman"/>
          <w:sz w:val="24"/>
          <w:szCs w:val="24"/>
        </w:rPr>
        <w:t>The Federal Trade Commission (FTC) warned FERC about an investor using privileged information as a means to control and influence companies. In comments submitted to FERC on April 29, 2009, the FTC cautioned: “Even a non-controlling partial acquisition by a private-equity firm of a competitor to a portfolio company that the private equity firm already owns in whole or in part can lead to anticompetitive effects if it . . . facilitates the exchange of competitively sensitive information . . . This concern can arise even in situations where the private equity firm does not own a controlling interest”.</w:t>
      </w:r>
      <w:r w:rsidR="0043394A">
        <w:rPr>
          <w:rStyle w:val="FootnoteReference"/>
          <w:rFonts w:ascii="Georgia" w:eastAsia="Times New Roman" w:hAnsi="Georgia" w:cs="Times New Roman"/>
          <w:sz w:val="24"/>
          <w:szCs w:val="24"/>
        </w:rPr>
        <w:footnoteReference w:id="6"/>
      </w:r>
    </w:p>
    <w:p w14:paraId="29840B96" w14:textId="65894CC9" w:rsidR="00D63E5F" w:rsidRDefault="00E05E15" w:rsidP="002D170B">
      <w:pPr>
        <w:spacing w:line="360" w:lineRule="auto"/>
        <w:ind w:firstLine="720"/>
        <w:rPr>
          <w:rFonts w:ascii="Georgia" w:hAnsi="Georgia"/>
          <w:sz w:val="24"/>
          <w:szCs w:val="24"/>
        </w:rPr>
      </w:pPr>
      <w:r>
        <w:rPr>
          <w:rFonts w:ascii="Georgia" w:hAnsi="Georgia"/>
          <w:sz w:val="24"/>
          <w:szCs w:val="24"/>
        </w:rPr>
        <w:t>Evergy agreeing to sell</w:t>
      </w:r>
      <w:r w:rsidR="00DB255C">
        <w:rPr>
          <w:rFonts w:ascii="Georgia" w:hAnsi="Georgia"/>
          <w:sz w:val="24"/>
          <w:szCs w:val="24"/>
        </w:rPr>
        <w:t xml:space="preserve"> an ownership stake to Bluescape in a non-arm’s length transaction in exchange for placing Bluescape’s Executive Chairman on </w:t>
      </w:r>
      <w:r w:rsidR="009B7EF0">
        <w:rPr>
          <w:rFonts w:ascii="Georgia" w:hAnsi="Georgia"/>
          <w:sz w:val="24"/>
          <w:szCs w:val="24"/>
        </w:rPr>
        <w:t>its</w:t>
      </w:r>
      <w:r w:rsidR="00DB255C">
        <w:rPr>
          <w:rFonts w:ascii="Georgia" w:hAnsi="Georgia"/>
          <w:sz w:val="24"/>
          <w:szCs w:val="24"/>
        </w:rPr>
        <w:t xml:space="preserve"> board of directors</w:t>
      </w:r>
      <w:r w:rsidR="00A117AC">
        <w:rPr>
          <w:rFonts w:ascii="Georgia" w:hAnsi="Georgia"/>
          <w:sz w:val="24"/>
          <w:szCs w:val="24"/>
        </w:rPr>
        <w:t xml:space="preserve"> makes it abundantly clear that Bluescape must be treated as an affiliate of </w:t>
      </w:r>
      <w:r w:rsidR="00A117AC">
        <w:rPr>
          <w:rFonts w:ascii="Georgia" w:hAnsi="Georgia"/>
          <w:sz w:val="24"/>
          <w:szCs w:val="24"/>
        </w:rPr>
        <w:lastRenderedPageBreak/>
        <w:t>Evergy</w:t>
      </w:r>
      <w:r w:rsidR="006273DE">
        <w:rPr>
          <w:rFonts w:ascii="Georgia" w:hAnsi="Georgia"/>
          <w:sz w:val="24"/>
          <w:szCs w:val="24"/>
        </w:rPr>
        <w:t xml:space="preserve">, per </w:t>
      </w:r>
      <w:r w:rsidR="006273DE" w:rsidRPr="005B3B59">
        <w:rPr>
          <w:rFonts w:ascii="Georgia" w:hAnsi="Georgia"/>
          <w:sz w:val="24"/>
          <w:szCs w:val="24"/>
        </w:rPr>
        <w:t>18 CFR § 35.36(a)(9)(iii)</w:t>
      </w:r>
      <w:r w:rsidR="006273DE">
        <w:rPr>
          <w:rFonts w:ascii="Georgia" w:hAnsi="Georgia"/>
          <w:sz w:val="24"/>
          <w:szCs w:val="24"/>
        </w:rPr>
        <w:t>. This Bluescape transaction was done in conjunction with a</w:t>
      </w:r>
      <w:r w:rsidR="00BF5CF0">
        <w:rPr>
          <w:rFonts w:ascii="Georgia" w:hAnsi="Georgia"/>
          <w:sz w:val="24"/>
          <w:szCs w:val="24"/>
        </w:rPr>
        <w:t xml:space="preserve"> renewed cooperation agreement with Elliott Management. In addition, Elliott Management’s </w:t>
      </w:r>
      <w:r w:rsidR="00256E67">
        <w:rPr>
          <w:rFonts w:ascii="Georgia" w:hAnsi="Georgia"/>
          <w:sz w:val="24"/>
          <w:szCs w:val="24"/>
        </w:rPr>
        <w:t xml:space="preserve">agreement to obtain material, non-public business information from Evergy at the same time that it has a similar agreement in place with a competing utility with MBR authority, CenterPoint, </w:t>
      </w:r>
      <w:r w:rsidR="006A34CB">
        <w:rPr>
          <w:rFonts w:ascii="Georgia" w:hAnsi="Georgia"/>
          <w:sz w:val="24"/>
          <w:szCs w:val="24"/>
        </w:rPr>
        <w:t>is a threat to competition and just and reasonable rates.</w:t>
      </w:r>
    </w:p>
    <w:p w14:paraId="46E023F3" w14:textId="39C0E310" w:rsidR="002D170B" w:rsidRDefault="002D170B" w:rsidP="002D170B">
      <w:pPr>
        <w:spacing w:line="360" w:lineRule="auto"/>
        <w:ind w:firstLine="720"/>
        <w:rPr>
          <w:rFonts w:ascii="Georgia" w:hAnsi="Georgia"/>
          <w:sz w:val="24"/>
          <w:szCs w:val="24"/>
        </w:rPr>
      </w:pPr>
    </w:p>
    <w:p w14:paraId="37D3AC50" w14:textId="77777777" w:rsidR="00B03071" w:rsidRDefault="00B03071" w:rsidP="002D170B">
      <w:pPr>
        <w:spacing w:line="360" w:lineRule="auto"/>
        <w:ind w:firstLine="720"/>
        <w:rPr>
          <w:rFonts w:ascii="Georgia" w:hAnsi="Georgia"/>
          <w:sz w:val="24"/>
          <w:szCs w:val="24"/>
        </w:rPr>
      </w:pPr>
    </w:p>
    <w:p w14:paraId="7DC885D8" w14:textId="2AF1A0EE" w:rsidR="00D63E5F" w:rsidRDefault="00D63E5F" w:rsidP="00D63E5F">
      <w:pPr>
        <w:ind w:firstLine="720"/>
        <w:rPr>
          <w:rFonts w:ascii="Georgia" w:hAnsi="Georgia"/>
          <w:sz w:val="24"/>
          <w:szCs w:val="24"/>
        </w:rPr>
      </w:pPr>
      <w:r>
        <w:rPr>
          <w:rFonts w:ascii="Georgia" w:hAnsi="Georgia"/>
          <w:sz w:val="24"/>
          <w:szCs w:val="24"/>
        </w:rPr>
        <w:tab/>
        <w:t>Respectfully submitted</w:t>
      </w:r>
      <w:r w:rsidR="00087094">
        <w:rPr>
          <w:rFonts w:ascii="Georgia" w:hAnsi="Georgia"/>
          <w:sz w:val="24"/>
          <w:szCs w:val="24"/>
        </w:rPr>
        <w:t>,</w:t>
      </w:r>
    </w:p>
    <w:p w14:paraId="077D8240" w14:textId="74FA7836" w:rsidR="00D63E5F" w:rsidRDefault="00D63E5F" w:rsidP="00D63E5F">
      <w:pPr>
        <w:ind w:firstLine="720"/>
        <w:rPr>
          <w:rFonts w:ascii="Georgia" w:hAnsi="Georgia"/>
          <w:sz w:val="24"/>
          <w:szCs w:val="24"/>
        </w:rPr>
      </w:pPr>
    </w:p>
    <w:p w14:paraId="47E29AD7" w14:textId="42D77418" w:rsidR="00D63E5F" w:rsidRDefault="00D63E5F" w:rsidP="00D63E5F">
      <w:pPr>
        <w:ind w:firstLine="720"/>
        <w:rPr>
          <w:rFonts w:ascii="Georgia" w:hAnsi="Georgia"/>
          <w:sz w:val="24"/>
          <w:szCs w:val="24"/>
        </w:rPr>
      </w:pPr>
      <w:r>
        <w:rPr>
          <w:rFonts w:ascii="Georgia" w:hAnsi="Georgia"/>
          <w:sz w:val="24"/>
          <w:szCs w:val="24"/>
        </w:rPr>
        <w:tab/>
        <w:t>Tyson Slocum, Energy Program Director</w:t>
      </w:r>
    </w:p>
    <w:p w14:paraId="5E8D92BC" w14:textId="7680F774" w:rsidR="00D63E5F" w:rsidRDefault="00D63E5F" w:rsidP="00D63E5F">
      <w:pPr>
        <w:ind w:firstLine="720"/>
        <w:rPr>
          <w:rFonts w:ascii="Georgia" w:hAnsi="Georgia"/>
          <w:sz w:val="24"/>
          <w:szCs w:val="24"/>
        </w:rPr>
      </w:pPr>
      <w:r>
        <w:rPr>
          <w:rFonts w:ascii="Georgia" w:hAnsi="Georgia"/>
          <w:sz w:val="24"/>
          <w:szCs w:val="24"/>
        </w:rPr>
        <w:tab/>
        <w:t>Public Citizen, Inc.</w:t>
      </w:r>
    </w:p>
    <w:p w14:paraId="4CA215DA" w14:textId="2554C1F0" w:rsidR="00D63E5F" w:rsidRDefault="00D63E5F" w:rsidP="00D63E5F">
      <w:pPr>
        <w:ind w:firstLine="720"/>
        <w:rPr>
          <w:rFonts w:ascii="Georgia" w:hAnsi="Georgia"/>
          <w:sz w:val="24"/>
          <w:szCs w:val="24"/>
        </w:rPr>
      </w:pPr>
      <w:r>
        <w:rPr>
          <w:rFonts w:ascii="Georgia" w:hAnsi="Georgia"/>
          <w:sz w:val="24"/>
          <w:szCs w:val="24"/>
        </w:rPr>
        <w:tab/>
        <w:t>215 Pennsylvania Ave SE</w:t>
      </w:r>
    </w:p>
    <w:p w14:paraId="3FA0E0B1" w14:textId="48BFBF72" w:rsidR="00D63E5F" w:rsidRDefault="00D63E5F" w:rsidP="00D63E5F">
      <w:pPr>
        <w:ind w:firstLine="720"/>
        <w:rPr>
          <w:rFonts w:ascii="Georgia" w:hAnsi="Georgia"/>
          <w:sz w:val="24"/>
          <w:szCs w:val="24"/>
        </w:rPr>
      </w:pPr>
      <w:r>
        <w:rPr>
          <w:rFonts w:ascii="Georgia" w:hAnsi="Georgia"/>
          <w:sz w:val="24"/>
          <w:szCs w:val="24"/>
        </w:rPr>
        <w:tab/>
        <w:t>Washington, DC  20003</w:t>
      </w:r>
    </w:p>
    <w:p w14:paraId="7F205C84" w14:textId="6861C5C3" w:rsidR="00D63E5F" w:rsidRDefault="00D63E5F" w:rsidP="00D63E5F">
      <w:pPr>
        <w:ind w:firstLine="720"/>
        <w:rPr>
          <w:rFonts w:ascii="Georgia" w:hAnsi="Georgia"/>
          <w:sz w:val="24"/>
          <w:szCs w:val="24"/>
        </w:rPr>
      </w:pPr>
      <w:r>
        <w:rPr>
          <w:rFonts w:ascii="Georgia" w:hAnsi="Georgia"/>
          <w:sz w:val="24"/>
          <w:szCs w:val="24"/>
        </w:rPr>
        <w:tab/>
        <w:t>(202) 454-5191</w:t>
      </w:r>
    </w:p>
    <w:p w14:paraId="1E5892EE" w14:textId="670EFBF9" w:rsidR="0043394A" w:rsidRPr="00B62820" w:rsidRDefault="00D63E5F" w:rsidP="002032AB">
      <w:pPr>
        <w:ind w:firstLine="720"/>
        <w:rPr>
          <w:rFonts w:ascii="Georgia" w:hAnsi="Georgia"/>
          <w:sz w:val="24"/>
          <w:szCs w:val="24"/>
        </w:rPr>
      </w:pPr>
      <w:r>
        <w:rPr>
          <w:rFonts w:ascii="Georgia" w:hAnsi="Georgia"/>
          <w:sz w:val="24"/>
          <w:szCs w:val="24"/>
        </w:rPr>
        <w:tab/>
        <w:t>tslocum@citizen.org</w:t>
      </w:r>
    </w:p>
    <w:sectPr w:rsidR="0043394A" w:rsidRPr="00B62820" w:rsidSect="004378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0B96" w14:textId="77777777" w:rsidR="00A779FC" w:rsidRDefault="00A779FC" w:rsidP="007423AC">
      <w:r>
        <w:separator/>
      </w:r>
    </w:p>
  </w:endnote>
  <w:endnote w:type="continuationSeparator" w:id="0">
    <w:p w14:paraId="648FF3AF" w14:textId="77777777" w:rsidR="00A779FC" w:rsidRDefault="00A779FC" w:rsidP="0074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BFBA" w14:textId="77777777" w:rsidR="00437833" w:rsidRDefault="00437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835982"/>
      <w:docPartObj>
        <w:docPartGallery w:val="Page Numbers (Bottom of Page)"/>
        <w:docPartUnique/>
      </w:docPartObj>
    </w:sdtPr>
    <w:sdtEndPr>
      <w:rPr>
        <w:color w:val="7F7F7F" w:themeColor="background1" w:themeShade="7F"/>
        <w:spacing w:val="60"/>
      </w:rPr>
    </w:sdtEndPr>
    <w:sdtContent>
      <w:p w14:paraId="0D4FF41B" w14:textId="73521A9C" w:rsidR="00437833" w:rsidRDefault="0043783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3813537" w14:textId="77777777" w:rsidR="00437833" w:rsidRDefault="00437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349C" w14:textId="77777777" w:rsidR="00437833" w:rsidRDefault="00437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C89F5" w14:textId="77777777" w:rsidR="00A779FC" w:rsidRDefault="00A779FC" w:rsidP="007423AC">
      <w:r>
        <w:separator/>
      </w:r>
    </w:p>
  </w:footnote>
  <w:footnote w:type="continuationSeparator" w:id="0">
    <w:p w14:paraId="6FCAA110" w14:textId="77777777" w:rsidR="00A779FC" w:rsidRDefault="00A779FC" w:rsidP="007423AC">
      <w:r>
        <w:continuationSeparator/>
      </w:r>
    </w:p>
  </w:footnote>
  <w:footnote w:id="1">
    <w:p w14:paraId="2E37AAB7" w14:textId="6382E11E" w:rsidR="007423AC" w:rsidRDefault="007423AC">
      <w:pPr>
        <w:pStyle w:val="FootnoteText"/>
      </w:pPr>
      <w:r>
        <w:rPr>
          <w:rStyle w:val="FootnoteReference"/>
        </w:rPr>
        <w:footnoteRef/>
      </w:r>
      <w:r>
        <w:t xml:space="preserve"> </w:t>
      </w:r>
      <w:r w:rsidRPr="007423AC">
        <w:rPr>
          <w:rFonts w:ascii="Georgia" w:hAnsi="Georgia"/>
        </w:rPr>
        <w:t>At page 2.</w:t>
      </w:r>
    </w:p>
  </w:footnote>
  <w:footnote w:id="2">
    <w:p w14:paraId="5873C01A" w14:textId="07FC981B" w:rsidR="002A6391" w:rsidRDefault="002A6391">
      <w:pPr>
        <w:pStyle w:val="FootnoteText"/>
      </w:pPr>
      <w:r>
        <w:rPr>
          <w:rStyle w:val="FootnoteReference"/>
        </w:rPr>
        <w:footnoteRef/>
      </w:r>
      <w:r>
        <w:t xml:space="preserve"> </w:t>
      </w:r>
      <w:r w:rsidRPr="002A6391">
        <w:rPr>
          <w:rFonts w:ascii="Georgia" w:hAnsi="Georgia"/>
        </w:rPr>
        <w:t>At page 3.</w:t>
      </w:r>
    </w:p>
  </w:footnote>
  <w:footnote w:id="3">
    <w:p w14:paraId="4E688D2D" w14:textId="64F43AFC" w:rsidR="003027BD" w:rsidRDefault="003027BD">
      <w:pPr>
        <w:pStyle w:val="FootnoteText"/>
      </w:pPr>
      <w:r>
        <w:rPr>
          <w:rStyle w:val="FootnoteReference"/>
        </w:rPr>
        <w:footnoteRef/>
      </w:r>
      <w:r>
        <w:t xml:space="preserve"> </w:t>
      </w:r>
      <w:r w:rsidRPr="001F2376">
        <w:rPr>
          <w:rFonts w:ascii="Georgia" w:hAnsi="Georgia"/>
        </w:rPr>
        <w:t xml:space="preserve">See </w:t>
      </w:r>
      <w:r w:rsidRPr="001F2376">
        <w:rPr>
          <w:rFonts w:ascii="Georgia" w:hAnsi="Georgia"/>
          <w:i/>
          <w:iCs/>
        </w:rPr>
        <w:t>Public Citizen v. CenterPoint Energy</w:t>
      </w:r>
      <w:r w:rsidRPr="001F2376">
        <w:rPr>
          <w:rFonts w:ascii="Georgia" w:hAnsi="Georgia"/>
        </w:rPr>
        <w:t xml:space="preserve">, FERC Docket No. </w:t>
      </w:r>
      <w:r w:rsidR="001F2376" w:rsidRPr="001F2376">
        <w:rPr>
          <w:rFonts w:ascii="Georgia" w:hAnsi="Georgia"/>
        </w:rPr>
        <w:t>EL21-2.</w:t>
      </w:r>
    </w:p>
  </w:footnote>
  <w:footnote w:id="4">
    <w:p w14:paraId="5F57FF1D" w14:textId="72701B1B" w:rsidR="00061F62" w:rsidRDefault="00061F62">
      <w:pPr>
        <w:pStyle w:val="FootnoteText"/>
      </w:pPr>
      <w:r>
        <w:rPr>
          <w:rStyle w:val="FootnoteReference"/>
        </w:rPr>
        <w:footnoteRef/>
      </w:r>
      <w:r>
        <w:t xml:space="preserve"> </w:t>
      </w:r>
      <w:r w:rsidRPr="00061F62">
        <w:rPr>
          <w:rFonts w:ascii="Georgia" w:hAnsi="Georgia"/>
        </w:rPr>
        <w:t>www.sec.gov/ix?doc=/Archives/edgar/data/0001711269/000171126921000021/evrg-20210226.htm</w:t>
      </w:r>
    </w:p>
  </w:footnote>
  <w:footnote w:id="5">
    <w:p w14:paraId="7C087895" w14:textId="47816A86" w:rsidR="00351F8E" w:rsidRDefault="00351F8E">
      <w:pPr>
        <w:pStyle w:val="FootnoteText"/>
      </w:pPr>
      <w:r>
        <w:rPr>
          <w:rStyle w:val="FootnoteReference"/>
        </w:rPr>
        <w:footnoteRef/>
      </w:r>
      <w:r>
        <w:t xml:space="preserve"> </w:t>
      </w:r>
      <w:r w:rsidR="008D5528" w:rsidRPr="00A3532A">
        <w:rPr>
          <w:rFonts w:ascii="Georgia" w:hAnsi="Georgia"/>
        </w:rPr>
        <w:t xml:space="preserve">Brian Kaberline, </w:t>
      </w:r>
      <w:r w:rsidR="002F492B">
        <w:rPr>
          <w:rFonts w:ascii="Georgia" w:hAnsi="Georgia"/>
        </w:rPr>
        <w:t xml:space="preserve">Editor, </w:t>
      </w:r>
      <w:r w:rsidR="002F492B" w:rsidRPr="002F492B">
        <w:rPr>
          <w:rFonts w:ascii="Georgia" w:hAnsi="Georgia"/>
          <w:i/>
          <w:iCs/>
        </w:rPr>
        <w:t>Kansas City Business Journal</w:t>
      </w:r>
      <w:r w:rsidR="002F492B">
        <w:rPr>
          <w:rFonts w:ascii="Georgia" w:hAnsi="Georgia"/>
        </w:rPr>
        <w:t xml:space="preserve">, </w:t>
      </w:r>
      <w:r w:rsidR="00B87157" w:rsidRPr="00A3532A">
        <w:rPr>
          <w:rFonts w:ascii="Georgia" w:hAnsi="Georgia"/>
        </w:rPr>
        <w:t>Feb 27, 2021</w:t>
      </w:r>
      <w:r w:rsidR="006921C9" w:rsidRPr="00A3532A">
        <w:rPr>
          <w:rFonts w:ascii="Georgia" w:hAnsi="Georgia"/>
        </w:rPr>
        <w:t xml:space="preserve">, </w:t>
      </w:r>
      <w:r w:rsidR="00406FF9" w:rsidRPr="00A3532A">
        <w:rPr>
          <w:rFonts w:ascii="Georgia" w:hAnsi="Georgia"/>
        </w:rPr>
        <w:t>www.bizjournals.com/kansascity/news/2021/02/27/pressure-on-evergy-elliott-management-bluescape.html</w:t>
      </w:r>
    </w:p>
  </w:footnote>
  <w:footnote w:id="6">
    <w:p w14:paraId="7EDD3A99" w14:textId="77777777" w:rsidR="0043394A" w:rsidRDefault="0043394A" w:rsidP="0043394A">
      <w:pPr>
        <w:pStyle w:val="FootnoteText"/>
      </w:pPr>
      <w:r>
        <w:rPr>
          <w:rStyle w:val="FootnoteReference"/>
        </w:rPr>
        <w:footnoteRef/>
      </w:r>
      <w:r>
        <w:t xml:space="preserve"> </w:t>
      </w:r>
      <w:r w:rsidRPr="00A03C4B">
        <w:rPr>
          <w:rFonts w:ascii="Georgia" w:hAnsi="Georgia"/>
        </w:rPr>
        <w:t>FERC Docket No. PL09-3, at pages 6-7 and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9FC8" w14:textId="77777777" w:rsidR="00437833" w:rsidRDefault="00437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E59D" w14:textId="0DA54EF5" w:rsidR="00230CEC" w:rsidRPr="00B94737" w:rsidRDefault="00230CEC" w:rsidP="00230CEC">
    <w:pPr>
      <w:pStyle w:val="Header"/>
      <w:jc w:val="center"/>
      <w:rPr>
        <w:rFonts w:ascii="Georgia" w:hAnsi="Georgia"/>
        <w:i/>
        <w:iCs/>
        <w:sz w:val="20"/>
        <w:szCs w:val="20"/>
      </w:rPr>
    </w:pPr>
    <w:r w:rsidRPr="00B94737">
      <w:rPr>
        <w:rFonts w:ascii="Georgia" w:hAnsi="Georgia"/>
        <w:i/>
        <w:iCs/>
        <w:sz w:val="20"/>
        <w:szCs w:val="20"/>
      </w:rPr>
      <w:t>Public Citizen Comment • Docket Nos. ER20-67-001, ER20-116-001 &amp; ER20-113-001 • June 16, 2021</w:t>
    </w:r>
  </w:p>
  <w:p w14:paraId="7DB62776" w14:textId="77777777" w:rsidR="00437833" w:rsidRDefault="00437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7B09" w14:textId="77777777" w:rsidR="00437833" w:rsidRDefault="00437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34A5A"/>
    <w:multiLevelType w:val="hybridMultilevel"/>
    <w:tmpl w:val="24BC8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B3"/>
    <w:rsid w:val="0002794D"/>
    <w:rsid w:val="00033F04"/>
    <w:rsid w:val="00047924"/>
    <w:rsid w:val="00056CDE"/>
    <w:rsid w:val="00061A49"/>
    <w:rsid w:val="00061F62"/>
    <w:rsid w:val="00075AE2"/>
    <w:rsid w:val="00087094"/>
    <w:rsid w:val="00093530"/>
    <w:rsid w:val="000B373C"/>
    <w:rsid w:val="000B6F17"/>
    <w:rsid w:val="000C58EC"/>
    <w:rsid w:val="000D0F41"/>
    <w:rsid w:val="000E15EC"/>
    <w:rsid w:val="000E42C6"/>
    <w:rsid w:val="00123529"/>
    <w:rsid w:val="00126DA3"/>
    <w:rsid w:val="00151452"/>
    <w:rsid w:val="00154F3B"/>
    <w:rsid w:val="00172EC6"/>
    <w:rsid w:val="0017376B"/>
    <w:rsid w:val="001746F1"/>
    <w:rsid w:val="0018057F"/>
    <w:rsid w:val="001E4947"/>
    <w:rsid w:val="001E68F3"/>
    <w:rsid w:val="001F2376"/>
    <w:rsid w:val="002032AB"/>
    <w:rsid w:val="00204803"/>
    <w:rsid w:val="00214A97"/>
    <w:rsid w:val="00215FE8"/>
    <w:rsid w:val="00230CEC"/>
    <w:rsid w:val="00231C14"/>
    <w:rsid w:val="0025108B"/>
    <w:rsid w:val="0025529B"/>
    <w:rsid w:val="00256E67"/>
    <w:rsid w:val="0025760C"/>
    <w:rsid w:val="00275011"/>
    <w:rsid w:val="002A3544"/>
    <w:rsid w:val="002A6391"/>
    <w:rsid w:val="002D170B"/>
    <w:rsid w:val="002E11D6"/>
    <w:rsid w:val="002E6731"/>
    <w:rsid w:val="002F492B"/>
    <w:rsid w:val="003001D4"/>
    <w:rsid w:val="003027BD"/>
    <w:rsid w:val="003239F7"/>
    <w:rsid w:val="00351F8E"/>
    <w:rsid w:val="00356351"/>
    <w:rsid w:val="003709C1"/>
    <w:rsid w:val="0038378D"/>
    <w:rsid w:val="00387190"/>
    <w:rsid w:val="003951BB"/>
    <w:rsid w:val="003A2EB1"/>
    <w:rsid w:val="003B3698"/>
    <w:rsid w:val="003B445F"/>
    <w:rsid w:val="003F4ADF"/>
    <w:rsid w:val="003F759D"/>
    <w:rsid w:val="004057BC"/>
    <w:rsid w:val="00406FF9"/>
    <w:rsid w:val="0043040E"/>
    <w:rsid w:val="0043394A"/>
    <w:rsid w:val="00437833"/>
    <w:rsid w:val="00492F2B"/>
    <w:rsid w:val="004A0350"/>
    <w:rsid w:val="004A6054"/>
    <w:rsid w:val="005A1652"/>
    <w:rsid w:val="005B3B59"/>
    <w:rsid w:val="005B6A97"/>
    <w:rsid w:val="005B7D26"/>
    <w:rsid w:val="005C5870"/>
    <w:rsid w:val="005C76CF"/>
    <w:rsid w:val="00607649"/>
    <w:rsid w:val="006273DE"/>
    <w:rsid w:val="006274CC"/>
    <w:rsid w:val="00662EDA"/>
    <w:rsid w:val="00663F69"/>
    <w:rsid w:val="00666220"/>
    <w:rsid w:val="00681C93"/>
    <w:rsid w:val="006921C9"/>
    <w:rsid w:val="006A34CB"/>
    <w:rsid w:val="006B0618"/>
    <w:rsid w:val="006B0DEC"/>
    <w:rsid w:val="006C43A5"/>
    <w:rsid w:val="006C69CE"/>
    <w:rsid w:val="006D4C3A"/>
    <w:rsid w:val="00732A02"/>
    <w:rsid w:val="00733832"/>
    <w:rsid w:val="007423AC"/>
    <w:rsid w:val="00746052"/>
    <w:rsid w:val="00791F8C"/>
    <w:rsid w:val="007A4E47"/>
    <w:rsid w:val="007D25A8"/>
    <w:rsid w:val="007E2415"/>
    <w:rsid w:val="007E7BE4"/>
    <w:rsid w:val="007F4F84"/>
    <w:rsid w:val="007F773F"/>
    <w:rsid w:val="00802D46"/>
    <w:rsid w:val="008031C5"/>
    <w:rsid w:val="00814421"/>
    <w:rsid w:val="0081444A"/>
    <w:rsid w:val="00815CE5"/>
    <w:rsid w:val="00826464"/>
    <w:rsid w:val="00850F45"/>
    <w:rsid w:val="00866DE3"/>
    <w:rsid w:val="008A0223"/>
    <w:rsid w:val="008A656E"/>
    <w:rsid w:val="008C2B11"/>
    <w:rsid w:val="008C701D"/>
    <w:rsid w:val="008D5528"/>
    <w:rsid w:val="00931C99"/>
    <w:rsid w:val="00944A30"/>
    <w:rsid w:val="00946FAB"/>
    <w:rsid w:val="00954055"/>
    <w:rsid w:val="009B20C2"/>
    <w:rsid w:val="009B7EF0"/>
    <w:rsid w:val="009C54EA"/>
    <w:rsid w:val="00A117AC"/>
    <w:rsid w:val="00A3532A"/>
    <w:rsid w:val="00A36C3F"/>
    <w:rsid w:val="00A52743"/>
    <w:rsid w:val="00A65B13"/>
    <w:rsid w:val="00A779FC"/>
    <w:rsid w:val="00AD1232"/>
    <w:rsid w:val="00AD725C"/>
    <w:rsid w:val="00AF0055"/>
    <w:rsid w:val="00B03071"/>
    <w:rsid w:val="00B11ABE"/>
    <w:rsid w:val="00B5086B"/>
    <w:rsid w:val="00B62288"/>
    <w:rsid w:val="00B62820"/>
    <w:rsid w:val="00B87157"/>
    <w:rsid w:val="00B91D95"/>
    <w:rsid w:val="00B94160"/>
    <w:rsid w:val="00B94737"/>
    <w:rsid w:val="00BB2831"/>
    <w:rsid w:val="00BE5E42"/>
    <w:rsid w:val="00BF173A"/>
    <w:rsid w:val="00BF5CF0"/>
    <w:rsid w:val="00C1249C"/>
    <w:rsid w:val="00C13E2E"/>
    <w:rsid w:val="00C238AC"/>
    <w:rsid w:val="00C310E0"/>
    <w:rsid w:val="00C34074"/>
    <w:rsid w:val="00C43EA9"/>
    <w:rsid w:val="00C47A8C"/>
    <w:rsid w:val="00C7525D"/>
    <w:rsid w:val="00C842F3"/>
    <w:rsid w:val="00C93407"/>
    <w:rsid w:val="00C96D1C"/>
    <w:rsid w:val="00CA41B5"/>
    <w:rsid w:val="00CF12A8"/>
    <w:rsid w:val="00D159E4"/>
    <w:rsid w:val="00D308B3"/>
    <w:rsid w:val="00D5586F"/>
    <w:rsid w:val="00D622CB"/>
    <w:rsid w:val="00D63E5F"/>
    <w:rsid w:val="00D9155C"/>
    <w:rsid w:val="00D9185F"/>
    <w:rsid w:val="00DA2B5E"/>
    <w:rsid w:val="00DA7C10"/>
    <w:rsid w:val="00DB255C"/>
    <w:rsid w:val="00DB5FB3"/>
    <w:rsid w:val="00DC0127"/>
    <w:rsid w:val="00DD32DD"/>
    <w:rsid w:val="00DF0661"/>
    <w:rsid w:val="00E01AA4"/>
    <w:rsid w:val="00E05E15"/>
    <w:rsid w:val="00E20AD0"/>
    <w:rsid w:val="00E225A7"/>
    <w:rsid w:val="00E66AAD"/>
    <w:rsid w:val="00E70FE7"/>
    <w:rsid w:val="00E96A95"/>
    <w:rsid w:val="00EA548C"/>
    <w:rsid w:val="00EC6EB8"/>
    <w:rsid w:val="00EE6C38"/>
    <w:rsid w:val="00EF363E"/>
    <w:rsid w:val="00F11FA7"/>
    <w:rsid w:val="00F14EF3"/>
    <w:rsid w:val="00F20269"/>
    <w:rsid w:val="00F33480"/>
    <w:rsid w:val="00F62353"/>
    <w:rsid w:val="00F73B5F"/>
    <w:rsid w:val="00F93ED0"/>
    <w:rsid w:val="00F941B6"/>
    <w:rsid w:val="00FA4285"/>
    <w:rsid w:val="00FE2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D77C"/>
  <w15:chartTrackingRefBased/>
  <w15:docId w15:val="{AA850C3F-E7A9-4487-8220-0E41981C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1E68F3"/>
    <w:pPr>
      <w:keepLines/>
      <w:widowControl w:val="0"/>
    </w:pPr>
  </w:style>
  <w:style w:type="character" w:customStyle="1" w:styleId="FootnoteTextChar">
    <w:name w:val="Footnote Text Char"/>
    <w:basedOn w:val="DefaultParagraphFont"/>
    <w:link w:val="FootnoteText"/>
    <w:uiPriority w:val="99"/>
    <w:semiHidden/>
    <w:rsid w:val="001E68F3"/>
  </w:style>
  <w:style w:type="character" w:styleId="FootnoteReference">
    <w:name w:val="footnote reference"/>
    <w:basedOn w:val="DefaultParagraphFont"/>
    <w:uiPriority w:val="99"/>
    <w:semiHidden/>
    <w:unhideWhenUsed/>
    <w:rsid w:val="007423AC"/>
    <w:rPr>
      <w:vertAlign w:val="superscript"/>
    </w:rPr>
  </w:style>
  <w:style w:type="paragraph" w:styleId="ListParagraph">
    <w:name w:val="List Paragraph"/>
    <w:basedOn w:val="Normal"/>
    <w:uiPriority w:val="34"/>
    <w:qFormat/>
    <w:rsid w:val="00061F62"/>
    <w:pPr>
      <w:ind w:left="720"/>
      <w:contextualSpacing/>
    </w:pPr>
  </w:style>
  <w:style w:type="paragraph" w:styleId="Header">
    <w:name w:val="header"/>
    <w:basedOn w:val="Normal"/>
    <w:link w:val="HeaderChar"/>
    <w:uiPriority w:val="99"/>
    <w:unhideWhenUsed/>
    <w:rsid w:val="00437833"/>
    <w:pPr>
      <w:tabs>
        <w:tab w:val="center" w:pos="4680"/>
        <w:tab w:val="right" w:pos="9360"/>
      </w:tabs>
    </w:pPr>
  </w:style>
  <w:style w:type="character" w:customStyle="1" w:styleId="HeaderChar">
    <w:name w:val="Header Char"/>
    <w:basedOn w:val="DefaultParagraphFont"/>
    <w:link w:val="Header"/>
    <w:uiPriority w:val="99"/>
    <w:rsid w:val="00437833"/>
  </w:style>
  <w:style w:type="paragraph" w:styleId="Footer">
    <w:name w:val="footer"/>
    <w:basedOn w:val="Normal"/>
    <w:link w:val="FooterChar"/>
    <w:uiPriority w:val="99"/>
    <w:unhideWhenUsed/>
    <w:rsid w:val="00437833"/>
    <w:pPr>
      <w:tabs>
        <w:tab w:val="center" w:pos="4680"/>
        <w:tab w:val="right" w:pos="9360"/>
      </w:tabs>
    </w:pPr>
  </w:style>
  <w:style w:type="character" w:customStyle="1" w:styleId="FooterChar">
    <w:name w:val="Footer Char"/>
    <w:basedOn w:val="DefaultParagraphFont"/>
    <w:link w:val="Footer"/>
    <w:uiPriority w:val="99"/>
    <w:rsid w:val="0043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18322-113F-40BA-A172-D3057B15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4</Pages>
  <Words>999</Words>
  <Characters>5698</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174</cp:revision>
  <dcterms:created xsi:type="dcterms:W3CDTF">2021-05-17T20:22:00Z</dcterms:created>
  <dcterms:modified xsi:type="dcterms:W3CDTF">2021-06-16T11:01:00Z</dcterms:modified>
</cp:coreProperties>
</file>