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FE4D" w14:textId="5C26EA8C" w:rsidR="00AC343E" w:rsidRDefault="00017001"/>
    <w:p w14:paraId="34C0F572" w14:textId="77777777" w:rsidR="007F5501" w:rsidRPr="00746A1D" w:rsidRDefault="007F5501" w:rsidP="007F5501">
      <w:pPr>
        <w:jc w:val="center"/>
        <w:rPr>
          <w:rFonts w:ascii="Georgia" w:hAnsi="Georgia" w:cs="Times New Roman"/>
          <w:sz w:val="24"/>
          <w:szCs w:val="24"/>
        </w:rPr>
      </w:pPr>
      <w:r w:rsidRPr="00746A1D">
        <w:rPr>
          <w:rFonts w:ascii="Georgia" w:hAnsi="Georgia" w:cs="Times New Roman"/>
          <w:sz w:val="24"/>
          <w:szCs w:val="24"/>
        </w:rPr>
        <w:t>UNITED STATES OF AMERICA</w:t>
      </w:r>
    </w:p>
    <w:p w14:paraId="6994DDD2" w14:textId="77777777" w:rsidR="007F5501" w:rsidRPr="00746A1D" w:rsidRDefault="007F5501" w:rsidP="007F5501">
      <w:pPr>
        <w:jc w:val="center"/>
        <w:rPr>
          <w:rFonts w:ascii="Georgia" w:hAnsi="Georgia" w:cs="Times New Roman"/>
          <w:sz w:val="24"/>
          <w:szCs w:val="24"/>
        </w:rPr>
      </w:pPr>
      <w:r w:rsidRPr="00746A1D">
        <w:rPr>
          <w:rFonts w:ascii="Georgia" w:hAnsi="Georgia" w:cs="Times New Roman"/>
          <w:sz w:val="24"/>
          <w:szCs w:val="24"/>
        </w:rPr>
        <w:t>BEFORE THE</w:t>
      </w:r>
    </w:p>
    <w:p w14:paraId="0F0E9F1A" w14:textId="77777777" w:rsidR="007F5501" w:rsidRDefault="007F5501" w:rsidP="007F5501">
      <w:pPr>
        <w:jc w:val="center"/>
        <w:rPr>
          <w:rFonts w:ascii="Georgia" w:hAnsi="Georgia" w:cs="Times New Roman"/>
          <w:sz w:val="24"/>
          <w:szCs w:val="24"/>
        </w:rPr>
      </w:pPr>
      <w:r w:rsidRPr="00746A1D">
        <w:rPr>
          <w:rFonts w:ascii="Georgia" w:hAnsi="Georgia" w:cs="Times New Roman"/>
          <w:sz w:val="24"/>
          <w:szCs w:val="24"/>
        </w:rPr>
        <w:t>FEDERAL ENERGY REGULATORY COMMISSION</w:t>
      </w:r>
    </w:p>
    <w:p w14:paraId="3EFA6BCE" w14:textId="77777777" w:rsidR="007F5501" w:rsidRDefault="007F5501" w:rsidP="007F5501">
      <w:pPr>
        <w:jc w:val="center"/>
        <w:rPr>
          <w:rFonts w:ascii="Georgia" w:hAnsi="Georgia" w:cs="Times New Roman"/>
          <w:sz w:val="24"/>
          <w:szCs w:val="24"/>
        </w:rPr>
      </w:pPr>
    </w:p>
    <w:p w14:paraId="2806A2FE" w14:textId="77777777" w:rsidR="007F5501" w:rsidRPr="00746A1D" w:rsidRDefault="007F5501" w:rsidP="007F5501">
      <w:pPr>
        <w:rPr>
          <w:rFonts w:ascii="Georgia" w:hAnsi="Georgia" w:cs="Times New Roman"/>
          <w:sz w:val="24"/>
          <w:szCs w:val="24"/>
        </w:rPr>
      </w:pPr>
    </w:p>
    <w:p w14:paraId="21A7A5FE" w14:textId="77777777" w:rsidR="007F5501" w:rsidRPr="00746A1D" w:rsidRDefault="007F5501" w:rsidP="007F5501">
      <w:pPr>
        <w:rPr>
          <w:rFonts w:ascii="Georgia" w:hAnsi="Georgia" w:cs="Times New Roman"/>
          <w:sz w:val="24"/>
          <w:szCs w:val="24"/>
        </w:rPr>
      </w:pPr>
      <w:proofErr w:type="spellStart"/>
      <w:r w:rsidRPr="00746A1D">
        <w:rPr>
          <w:rFonts w:ascii="Georgia" w:hAnsi="Georgia" w:cs="Times New Roman"/>
          <w:sz w:val="24"/>
          <w:szCs w:val="24"/>
        </w:rPr>
        <w:t>Evergy</w:t>
      </w:r>
      <w:proofErr w:type="spellEnd"/>
      <w:r w:rsidRPr="00746A1D">
        <w:rPr>
          <w:rFonts w:ascii="Georgia" w:hAnsi="Georgia" w:cs="Times New Roman"/>
          <w:sz w:val="24"/>
          <w:szCs w:val="24"/>
        </w:rPr>
        <w:t xml:space="preserve"> Metro, Inc.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Docket Nos.</w:t>
      </w:r>
      <w:r>
        <w:rPr>
          <w:rFonts w:ascii="Georgia" w:hAnsi="Georgia" w:cs="Times New Roman"/>
          <w:sz w:val="24"/>
          <w:szCs w:val="24"/>
        </w:rPr>
        <w:tab/>
      </w:r>
      <w:r w:rsidRPr="00746A1D">
        <w:rPr>
          <w:rFonts w:ascii="Georgia" w:hAnsi="Georgia" w:cs="Times New Roman"/>
          <w:sz w:val="24"/>
          <w:szCs w:val="24"/>
        </w:rPr>
        <w:t>ER20-67-001</w:t>
      </w:r>
    </w:p>
    <w:p w14:paraId="3797D232" w14:textId="77777777" w:rsidR="007F5501" w:rsidRDefault="007F5501" w:rsidP="007F5501">
      <w:pPr>
        <w:rPr>
          <w:rFonts w:ascii="Georgia" w:hAnsi="Georgia" w:cs="Times New Roman"/>
          <w:sz w:val="24"/>
          <w:szCs w:val="24"/>
        </w:rPr>
      </w:pPr>
      <w:proofErr w:type="spellStart"/>
      <w:r w:rsidRPr="00746A1D">
        <w:rPr>
          <w:rFonts w:ascii="Georgia" w:hAnsi="Georgia" w:cs="Times New Roman"/>
          <w:sz w:val="24"/>
          <w:szCs w:val="24"/>
        </w:rPr>
        <w:t>Evergy</w:t>
      </w:r>
      <w:proofErr w:type="spellEnd"/>
      <w:r w:rsidRPr="00746A1D">
        <w:rPr>
          <w:rFonts w:ascii="Georgia" w:hAnsi="Georgia" w:cs="Times New Roman"/>
          <w:sz w:val="24"/>
          <w:szCs w:val="24"/>
        </w:rPr>
        <w:t xml:space="preserve"> Missouri West, Inc.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746A1D">
        <w:rPr>
          <w:rFonts w:ascii="Georgia" w:hAnsi="Georgia" w:cs="Times New Roman"/>
          <w:sz w:val="24"/>
          <w:szCs w:val="24"/>
        </w:rPr>
        <w:t>ER20-116-001</w:t>
      </w:r>
    </w:p>
    <w:p w14:paraId="5C00DC18" w14:textId="5A737F90" w:rsidR="00C156CF" w:rsidRDefault="007F5501" w:rsidP="007F5501">
      <w:pPr>
        <w:rPr>
          <w:rFonts w:ascii="Georgia" w:hAnsi="Georgia" w:cs="Times New Roman"/>
          <w:sz w:val="24"/>
          <w:szCs w:val="24"/>
        </w:rPr>
      </w:pPr>
      <w:proofErr w:type="spellStart"/>
      <w:r w:rsidRPr="00746A1D">
        <w:rPr>
          <w:rFonts w:ascii="Georgia" w:hAnsi="Georgia" w:cs="Times New Roman"/>
          <w:sz w:val="24"/>
          <w:szCs w:val="24"/>
        </w:rPr>
        <w:t>Evergy</w:t>
      </w:r>
      <w:proofErr w:type="spellEnd"/>
      <w:r w:rsidRPr="00746A1D">
        <w:rPr>
          <w:rFonts w:ascii="Georgia" w:hAnsi="Georgia" w:cs="Times New Roman"/>
          <w:sz w:val="24"/>
          <w:szCs w:val="24"/>
        </w:rPr>
        <w:t xml:space="preserve"> Kansas Central, Inc.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746A1D">
        <w:rPr>
          <w:rFonts w:ascii="Georgia" w:hAnsi="Georgia" w:cs="Times New Roman"/>
          <w:sz w:val="24"/>
          <w:szCs w:val="24"/>
        </w:rPr>
        <w:t>ER20-113-001</w:t>
      </w:r>
    </w:p>
    <w:p w14:paraId="1BF19D84" w14:textId="1F34A181" w:rsidR="002B0FCA" w:rsidRDefault="002B0FCA" w:rsidP="007F5501">
      <w:pPr>
        <w:rPr>
          <w:rFonts w:ascii="Georgia" w:hAnsi="Georgia" w:cs="Times New Roman"/>
          <w:sz w:val="24"/>
          <w:szCs w:val="24"/>
        </w:rPr>
      </w:pPr>
    </w:p>
    <w:p w14:paraId="41248F74" w14:textId="4BF0C08C" w:rsidR="002B0FCA" w:rsidRPr="00E340F2" w:rsidRDefault="002B0FCA" w:rsidP="00E340F2">
      <w:pPr>
        <w:jc w:val="center"/>
        <w:rPr>
          <w:b/>
          <w:bCs/>
        </w:rPr>
      </w:pPr>
      <w:r w:rsidRPr="00E340F2">
        <w:rPr>
          <w:rFonts w:ascii="Georgia" w:hAnsi="Georgia" w:cs="Times New Roman"/>
          <w:b/>
          <w:bCs/>
          <w:sz w:val="24"/>
          <w:szCs w:val="24"/>
        </w:rPr>
        <w:t>Answer of Public Citizen, Inc.</w:t>
      </w:r>
    </w:p>
    <w:p w14:paraId="635A0E8B" w14:textId="10ECD3B3" w:rsidR="00C156CF" w:rsidRDefault="00C156CF"/>
    <w:p w14:paraId="4BBC1DC7" w14:textId="77777777" w:rsidR="00C156CF" w:rsidRDefault="00C156CF" w:rsidP="00C156C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55A2F03" w14:textId="77777777" w:rsidR="00D5346A" w:rsidRDefault="00C156CF" w:rsidP="00B9721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6A6BF5">
        <w:rPr>
          <w:rFonts w:ascii="Georgia" w:hAnsi="Georgia"/>
          <w:sz w:val="24"/>
          <w:szCs w:val="24"/>
        </w:rPr>
        <w:t>Public Citizen ask</w:t>
      </w:r>
      <w:r w:rsidR="002B0FCA">
        <w:rPr>
          <w:rFonts w:ascii="Georgia" w:hAnsi="Georgia"/>
          <w:sz w:val="24"/>
          <w:szCs w:val="24"/>
        </w:rPr>
        <w:t>s</w:t>
      </w:r>
      <w:r w:rsidRPr="006A6BF5">
        <w:rPr>
          <w:rFonts w:ascii="Georgia" w:hAnsi="Georgia"/>
          <w:sz w:val="24"/>
          <w:szCs w:val="24"/>
        </w:rPr>
        <w:t xml:space="preserve"> the Commission to consider this answer under Rule 213 (18 CFR § 385.213)</w:t>
      </w:r>
      <w:r>
        <w:rPr>
          <w:rFonts w:ascii="Georgia" w:hAnsi="Georgia"/>
          <w:sz w:val="24"/>
          <w:szCs w:val="24"/>
        </w:rPr>
        <w:t>, even though our answer is submitted beyond fifteen day</w:t>
      </w:r>
      <w:r w:rsidR="002B0FCA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. Elliott Management’s role within </w:t>
      </w:r>
      <w:proofErr w:type="spellStart"/>
      <w:r w:rsidR="00B97215">
        <w:rPr>
          <w:rFonts w:ascii="Georgia" w:hAnsi="Georgia"/>
          <w:sz w:val="24"/>
          <w:szCs w:val="24"/>
        </w:rPr>
        <w:t>Evergy</w:t>
      </w:r>
      <w:proofErr w:type="spellEnd"/>
      <w:r>
        <w:rPr>
          <w:rFonts w:ascii="Georgia" w:hAnsi="Georgia"/>
          <w:sz w:val="24"/>
          <w:szCs w:val="24"/>
        </w:rPr>
        <w:t xml:space="preserve"> involves many complicated layers that take time to process and analyze.</w:t>
      </w:r>
    </w:p>
    <w:p w14:paraId="435C24CA" w14:textId="00CFAF09" w:rsidR="009209FC" w:rsidRDefault="007D5ABD" w:rsidP="00B9721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facts demonstrate that </w:t>
      </w:r>
      <w:r w:rsidR="0082144A">
        <w:rPr>
          <w:rFonts w:ascii="Georgia" w:hAnsi="Georgia"/>
          <w:sz w:val="24"/>
          <w:szCs w:val="24"/>
        </w:rPr>
        <w:t xml:space="preserve">Elliott Management </w:t>
      </w:r>
      <w:r>
        <w:rPr>
          <w:rFonts w:ascii="Georgia" w:hAnsi="Georgia"/>
          <w:sz w:val="24"/>
          <w:szCs w:val="24"/>
        </w:rPr>
        <w:t xml:space="preserve">is an activist investor that </w:t>
      </w:r>
      <w:r w:rsidR="006C42FD">
        <w:rPr>
          <w:rFonts w:ascii="Georgia" w:hAnsi="Georgia"/>
          <w:sz w:val="24"/>
          <w:szCs w:val="24"/>
        </w:rPr>
        <w:t>acquires</w:t>
      </w:r>
      <w:r>
        <w:rPr>
          <w:rFonts w:ascii="Georgia" w:hAnsi="Georgia"/>
          <w:sz w:val="24"/>
          <w:szCs w:val="24"/>
        </w:rPr>
        <w:t xml:space="preserve"> a company’s </w:t>
      </w:r>
      <w:r w:rsidR="00D820CF">
        <w:rPr>
          <w:rFonts w:ascii="Georgia" w:hAnsi="Georgia"/>
          <w:sz w:val="24"/>
          <w:szCs w:val="24"/>
        </w:rPr>
        <w:t>voting shares for the sole purpose of influenc</w:t>
      </w:r>
      <w:r w:rsidR="00F048B8">
        <w:rPr>
          <w:rFonts w:ascii="Georgia" w:hAnsi="Georgia"/>
          <w:sz w:val="24"/>
          <w:szCs w:val="24"/>
        </w:rPr>
        <w:t>ing</w:t>
      </w:r>
      <w:r w:rsidR="00D820CF">
        <w:rPr>
          <w:rFonts w:ascii="Georgia" w:hAnsi="Georgia"/>
          <w:sz w:val="24"/>
          <w:szCs w:val="24"/>
        </w:rPr>
        <w:t xml:space="preserve"> management and investment decisions </w:t>
      </w:r>
      <w:r w:rsidR="00AB7327">
        <w:rPr>
          <w:rFonts w:ascii="Georgia" w:hAnsi="Georgia"/>
          <w:sz w:val="24"/>
          <w:szCs w:val="24"/>
        </w:rPr>
        <w:t>of</w:t>
      </w:r>
      <w:r w:rsidR="00D820CF">
        <w:rPr>
          <w:rFonts w:ascii="Georgia" w:hAnsi="Georgia"/>
          <w:sz w:val="24"/>
          <w:szCs w:val="24"/>
        </w:rPr>
        <w:t xml:space="preserve"> companies that it targets.</w:t>
      </w:r>
      <w:r w:rsidR="0012219D">
        <w:rPr>
          <w:rFonts w:ascii="Georgia" w:hAnsi="Georgia"/>
          <w:sz w:val="24"/>
          <w:szCs w:val="24"/>
        </w:rPr>
        <w:t xml:space="preserve"> </w:t>
      </w:r>
      <w:r w:rsidR="00F66EA3">
        <w:rPr>
          <w:rFonts w:ascii="Georgia" w:hAnsi="Georgia"/>
          <w:sz w:val="24"/>
          <w:szCs w:val="24"/>
        </w:rPr>
        <w:t xml:space="preserve">Elliott’s </w:t>
      </w:r>
      <w:r w:rsidR="00337758">
        <w:rPr>
          <w:rFonts w:ascii="Georgia" w:hAnsi="Georgia"/>
          <w:sz w:val="24"/>
          <w:szCs w:val="24"/>
        </w:rPr>
        <w:t xml:space="preserve">takeover tactics consistently </w:t>
      </w:r>
      <w:r w:rsidR="004C752D">
        <w:rPr>
          <w:rFonts w:ascii="Georgia" w:hAnsi="Georgia"/>
          <w:sz w:val="24"/>
          <w:szCs w:val="24"/>
        </w:rPr>
        <w:t xml:space="preserve">result in </w:t>
      </w:r>
      <w:r w:rsidR="00254212">
        <w:rPr>
          <w:rFonts w:ascii="Georgia" w:hAnsi="Georgia"/>
          <w:sz w:val="24"/>
          <w:szCs w:val="24"/>
        </w:rPr>
        <w:t xml:space="preserve">the placement of the hedge fund’s preferred board members and </w:t>
      </w:r>
      <w:r w:rsidR="00336119">
        <w:rPr>
          <w:rFonts w:ascii="Georgia" w:hAnsi="Georgia"/>
          <w:sz w:val="24"/>
          <w:szCs w:val="24"/>
        </w:rPr>
        <w:t>major changes i</w:t>
      </w:r>
      <w:r w:rsidR="00B20D9C">
        <w:rPr>
          <w:rFonts w:ascii="Georgia" w:hAnsi="Georgia"/>
          <w:sz w:val="24"/>
          <w:szCs w:val="24"/>
        </w:rPr>
        <w:t xml:space="preserve">n the </w:t>
      </w:r>
      <w:r w:rsidR="00CC55DD">
        <w:rPr>
          <w:rFonts w:ascii="Georgia" w:hAnsi="Georgia"/>
          <w:sz w:val="24"/>
          <w:szCs w:val="24"/>
        </w:rPr>
        <w:t>investment strategies of the target company</w:t>
      </w:r>
      <w:r w:rsidR="00CC55DD">
        <w:rPr>
          <w:rFonts w:ascii="Cambria" w:hAnsi="Cambria"/>
          <w:sz w:val="24"/>
          <w:szCs w:val="24"/>
        </w:rPr>
        <w:t>—</w:t>
      </w:r>
      <w:r w:rsidR="00785599">
        <w:rPr>
          <w:rFonts w:ascii="Georgia" w:hAnsi="Georgia"/>
          <w:sz w:val="24"/>
          <w:szCs w:val="24"/>
        </w:rPr>
        <w:t>despite the fact that Elliott rarely acquires voting shares anywhere close to 10%</w:t>
      </w:r>
      <w:r w:rsidR="00E0004A">
        <w:rPr>
          <w:rFonts w:ascii="Georgia" w:hAnsi="Georgia"/>
          <w:sz w:val="24"/>
          <w:szCs w:val="24"/>
        </w:rPr>
        <w:t>. The hedge fund engages in a unique form of influence and control of publicly traded companies</w:t>
      </w:r>
      <w:r w:rsidR="008732EA">
        <w:rPr>
          <w:rFonts w:ascii="Georgia" w:hAnsi="Georgia"/>
          <w:sz w:val="24"/>
          <w:szCs w:val="24"/>
        </w:rPr>
        <w:t xml:space="preserve"> that evade</w:t>
      </w:r>
      <w:r w:rsidR="008D0AD9">
        <w:rPr>
          <w:rFonts w:ascii="Georgia" w:hAnsi="Georgia"/>
          <w:sz w:val="24"/>
          <w:szCs w:val="24"/>
        </w:rPr>
        <w:t>s</w:t>
      </w:r>
      <w:r w:rsidR="008732EA">
        <w:rPr>
          <w:rFonts w:ascii="Georgia" w:hAnsi="Georgia"/>
          <w:sz w:val="24"/>
          <w:szCs w:val="24"/>
        </w:rPr>
        <w:t xml:space="preserve"> regulatory review.</w:t>
      </w:r>
    </w:p>
    <w:p w14:paraId="616A1265" w14:textId="4D5B51C1" w:rsidR="00C156CF" w:rsidRDefault="0012219D" w:rsidP="00B9721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Elliott Management continues to be aggressive in pushing for significant changes at </w:t>
      </w:r>
      <w:proofErr w:type="spellStart"/>
      <w:r>
        <w:rPr>
          <w:rFonts w:ascii="Georgia" w:hAnsi="Georgia"/>
          <w:sz w:val="24"/>
          <w:szCs w:val="24"/>
        </w:rPr>
        <w:t>Evergy</w:t>
      </w:r>
      <w:proofErr w:type="spellEnd"/>
      <w:r>
        <w:rPr>
          <w:rFonts w:ascii="Georgia" w:hAnsi="Georgia"/>
          <w:sz w:val="24"/>
          <w:szCs w:val="24"/>
        </w:rPr>
        <w:t xml:space="preserve">, including </w:t>
      </w:r>
      <w:r w:rsidR="00FE298C">
        <w:rPr>
          <w:rFonts w:ascii="Georgia" w:hAnsi="Georgia"/>
          <w:sz w:val="24"/>
          <w:szCs w:val="24"/>
        </w:rPr>
        <w:t>advocacy</w:t>
      </w:r>
      <w:r>
        <w:rPr>
          <w:rFonts w:ascii="Georgia" w:hAnsi="Georgia"/>
          <w:sz w:val="24"/>
          <w:szCs w:val="24"/>
        </w:rPr>
        <w:t xml:space="preserve"> </w:t>
      </w:r>
      <w:r w:rsidR="004D06DE">
        <w:rPr>
          <w:rFonts w:ascii="Georgia" w:hAnsi="Georgia"/>
          <w:sz w:val="24"/>
          <w:szCs w:val="24"/>
        </w:rPr>
        <w:t>that it</w:t>
      </w:r>
      <w:r>
        <w:rPr>
          <w:rFonts w:ascii="Georgia" w:hAnsi="Georgia"/>
          <w:sz w:val="24"/>
          <w:szCs w:val="24"/>
        </w:rPr>
        <w:t xml:space="preserve"> be acquired by NextEra.</w:t>
      </w:r>
      <w:r w:rsidR="00D6763D">
        <w:rPr>
          <w:rFonts w:ascii="Georgia" w:hAnsi="Georgia"/>
          <w:sz w:val="24"/>
          <w:szCs w:val="24"/>
        </w:rPr>
        <w:t xml:space="preserve"> Elliott’s </w:t>
      </w:r>
      <w:r w:rsidR="00A84734">
        <w:rPr>
          <w:rFonts w:ascii="Georgia" w:hAnsi="Georgia"/>
          <w:sz w:val="24"/>
          <w:szCs w:val="24"/>
        </w:rPr>
        <w:t>use of</w:t>
      </w:r>
      <w:r w:rsidR="00D6763D">
        <w:rPr>
          <w:rFonts w:ascii="Georgia" w:hAnsi="Georgia"/>
          <w:sz w:val="24"/>
          <w:szCs w:val="24"/>
        </w:rPr>
        <w:t xml:space="preserve"> non-public negotiations</w:t>
      </w:r>
      <w:r w:rsidR="00717822">
        <w:rPr>
          <w:rFonts w:ascii="Georgia" w:hAnsi="Georgia"/>
          <w:sz w:val="24"/>
          <w:szCs w:val="24"/>
        </w:rPr>
        <w:t xml:space="preserve"> and agreements</w:t>
      </w:r>
      <w:r w:rsidR="00D6763D">
        <w:rPr>
          <w:rFonts w:ascii="Georgia" w:hAnsi="Georgia"/>
          <w:sz w:val="24"/>
          <w:szCs w:val="24"/>
        </w:rPr>
        <w:t xml:space="preserve">, combined with the hedge fund’s ongoing </w:t>
      </w:r>
      <w:r w:rsidR="00AC0ACE">
        <w:rPr>
          <w:rFonts w:ascii="Georgia" w:hAnsi="Georgia"/>
          <w:sz w:val="24"/>
          <w:szCs w:val="24"/>
        </w:rPr>
        <w:t xml:space="preserve">efforts to </w:t>
      </w:r>
      <w:r w:rsidR="00521E7D">
        <w:rPr>
          <w:rFonts w:ascii="Georgia" w:hAnsi="Georgia"/>
          <w:sz w:val="24"/>
          <w:szCs w:val="24"/>
        </w:rPr>
        <w:t xml:space="preserve">sway </w:t>
      </w:r>
      <w:r w:rsidR="004451B2">
        <w:rPr>
          <w:rFonts w:ascii="Georgia" w:hAnsi="Georgia"/>
          <w:sz w:val="24"/>
          <w:szCs w:val="24"/>
        </w:rPr>
        <w:t>management to pursue Elliott’s preferred agenda</w:t>
      </w:r>
      <w:r w:rsidR="00A84734">
        <w:rPr>
          <w:rFonts w:ascii="Georgia" w:hAnsi="Georgia"/>
          <w:sz w:val="24"/>
          <w:szCs w:val="24"/>
        </w:rPr>
        <w:t>,</w:t>
      </w:r>
      <w:r w:rsidR="004451B2">
        <w:rPr>
          <w:rFonts w:ascii="Georgia" w:hAnsi="Georgia"/>
          <w:sz w:val="24"/>
          <w:szCs w:val="24"/>
        </w:rPr>
        <w:t xml:space="preserve"> should render the hedge fund to be an affiliate of </w:t>
      </w:r>
      <w:proofErr w:type="spellStart"/>
      <w:r w:rsidR="004451B2">
        <w:rPr>
          <w:rFonts w:ascii="Georgia" w:hAnsi="Georgia"/>
          <w:sz w:val="24"/>
          <w:szCs w:val="24"/>
        </w:rPr>
        <w:t>Evergy</w:t>
      </w:r>
      <w:proofErr w:type="spellEnd"/>
      <w:r w:rsidR="004451B2">
        <w:rPr>
          <w:rFonts w:ascii="Georgia" w:hAnsi="Georgia"/>
          <w:sz w:val="24"/>
          <w:szCs w:val="24"/>
        </w:rPr>
        <w:t>.</w:t>
      </w:r>
    </w:p>
    <w:p w14:paraId="4830C24D" w14:textId="2391CC6A" w:rsidR="00C156CF" w:rsidRDefault="00C156CF" w:rsidP="00C156C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81B3E77" w14:textId="77777777" w:rsidR="004451B2" w:rsidRPr="006B3160" w:rsidRDefault="004451B2" w:rsidP="004451B2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6B3160">
        <w:rPr>
          <w:rFonts w:ascii="Georgia" w:hAnsi="Georgia"/>
          <w:b/>
          <w:bCs/>
          <w:sz w:val="24"/>
          <w:szCs w:val="24"/>
        </w:rPr>
        <w:t xml:space="preserve">Elliott Management Is Pushing For NextEra To Acquire </w:t>
      </w:r>
      <w:proofErr w:type="spellStart"/>
      <w:r w:rsidRPr="006B3160">
        <w:rPr>
          <w:rFonts w:ascii="Georgia" w:hAnsi="Georgia"/>
          <w:b/>
          <w:bCs/>
          <w:sz w:val="24"/>
          <w:szCs w:val="24"/>
        </w:rPr>
        <w:t>Evergy</w:t>
      </w:r>
      <w:proofErr w:type="spellEnd"/>
    </w:p>
    <w:p w14:paraId="2E41C07A" w14:textId="7397B7C3" w:rsidR="00DF469F" w:rsidRDefault="004451B2" w:rsidP="004451B2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On November 10, in response to news reports that were likely the result of leaks by Elliott Management, the hedge fund issued a statement urging </w:t>
      </w:r>
      <w:proofErr w:type="spellStart"/>
      <w:r>
        <w:rPr>
          <w:rFonts w:ascii="Georgia" w:hAnsi="Georgia"/>
          <w:sz w:val="24"/>
          <w:szCs w:val="24"/>
        </w:rPr>
        <w:t>Evergy</w:t>
      </w:r>
      <w:proofErr w:type="spellEnd"/>
      <w:r>
        <w:rPr>
          <w:rFonts w:ascii="Georgia" w:hAnsi="Georgia"/>
          <w:sz w:val="24"/>
          <w:szCs w:val="24"/>
        </w:rPr>
        <w:t xml:space="preserve"> to consent </w:t>
      </w:r>
      <w:r w:rsidR="00AF1E1E">
        <w:rPr>
          <w:rFonts w:ascii="Georgia" w:hAnsi="Georgia"/>
          <w:sz w:val="24"/>
          <w:szCs w:val="24"/>
        </w:rPr>
        <w:t>to an</w:t>
      </w:r>
      <w:r>
        <w:rPr>
          <w:rFonts w:ascii="Georgia" w:hAnsi="Georgia"/>
          <w:sz w:val="24"/>
          <w:szCs w:val="24"/>
        </w:rPr>
        <w:t xml:space="preserve"> acquisition by NextEra, noting that </w:t>
      </w:r>
      <w:r w:rsidR="00DF469F">
        <w:rPr>
          <w:rFonts w:ascii="Georgia" w:hAnsi="Georgia"/>
          <w:sz w:val="24"/>
          <w:szCs w:val="24"/>
        </w:rPr>
        <w:t>the hedge fund is</w:t>
      </w:r>
      <w:r>
        <w:rPr>
          <w:rFonts w:ascii="Georgia" w:hAnsi="Georgia"/>
          <w:sz w:val="24"/>
          <w:szCs w:val="24"/>
        </w:rPr>
        <w:t xml:space="preserve"> “one of </w:t>
      </w:r>
      <w:proofErr w:type="spellStart"/>
      <w:r w:rsidRPr="0056112F">
        <w:rPr>
          <w:rFonts w:ascii="Georgia" w:hAnsi="Georgia"/>
          <w:sz w:val="24"/>
          <w:szCs w:val="24"/>
        </w:rPr>
        <w:t>Evergy</w:t>
      </w:r>
      <w:r>
        <w:rPr>
          <w:rFonts w:ascii="Georgia" w:hAnsi="Georgia"/>
          <w:sz w:val="24"/>
          <w:szCs w:val="24"/>
        </w:rPr>
        <w:t>’</w:t>
      </w:r>
      <w:r w:rsidRPr="0056112F">
        <w:rPr>
          <w:rFonts w:ascii="Georgia" w:hAnsi="Georgia"/>
          <w:sz w:val="24"/>
          <w:szCs w:val="24"/>
        </w:rPr>
        <w:t>s</w:t>
      </w:r>
      <w:proofErr w:type="spellEnd"/>
      <w:r w:rsidRPr="0056112F">
        <w:rPr>
          <w:rFonts w:ascii="Georgia" w:hAnsi="Georgia"/>
          <w:sz w:val="24"/>
          <w:szCs w:val="24"/>
        </w:rPr>
        <w:t xml:space="preserve"> largest investors</w:t>
      </w:r>
      <w:r>
        <w:rPr>
          <w:rFonts w:ascii="Georgia" w:hAnsi="Georgia"/>
          <w:sz w:val="24"/>
          <w:szCs w:val="24"/>
        </w:rPr>
        <w:t>”.</w:t>
      </w:r>
      <w:r>
        <w:rPr>
          <w:rStyle w:val="FootnoteReference"/>
          <w:rFonts w:ascii="Georgia" w:hAnsi="Georgia"/>
          <w:sz w:val="24"/>
          <w:szCs w:val="24"/>
        </w:rPr>
        <w:footnoteReference w:id="1"/>
      </w:r>
      <w:r>
        <w:rPr>
          <w:rFonts w:ascii="Georgia" w:hAnsi="Georgia"/>
          <w:sz w:val="24"/>
          <w:szCs w:val="24"/>
        </w:rPr>
        <w:t xml:space="preserve"> </w:t>
      </w:r>
      <w:r w:rsidR="00DF469F">
        <w:rPr>
          <w:rFonts w:ascii="Georgia" w:hAnsi="Georgia"/>
          <w:sz w:val="24"/>
          <w:szCs w:val="24"/>
        </w:rPr>
        <w:t xml:space="preserve">Elliott Management </w:t>
      </w:r>
      <w:r w:rsidR="00EB701A">
        <w:rPr>
          <w:rFonts w:ascii="Georgia" w:hAnsi="Georgia"/>
          <w:sz w:val="24"/>
          <w:szCs w:val="24"/>
        </w:rPr>
        <w:t xml:space="preserve">explicitly uses its ownership of </w:t>
      </w:r>
      <w:proofErr w:type="spellStart"/>
      <w:r w:rsidR="00EB701A">
        <w:rPr>
          <w:rFonts w:ascii="Georgia" w:hAnsi="Georgia"/>
          <w:sz w:val="24"/>
          <w:szCs w:val="24"/>
        </w:rPr>
        <w:t>Evergy</w:t>
      </w:r>
      <w:proofErr w:type="spellEnd"/>
      <w:r w:rsidR="00EB701A">
        <w:rPr>
          <w:rFonts w:ascii="Georgia" w:hAnsi="Georgia"/>
          <w:sz w:val="24"/>
          <w:szCs w:val="24"/>
        </w:rPr>
        <w:t xml:space="preserve"> to publicly</w:t>
      </w:r>
      <w:r w:rsidR="00EA5407">
        <w:rPr>
          <w:rFonts w:ascii="Georgia" w:hAnsi="Georgia"/>
          <w:sz w:val="24"/>
          <w:szCs w:val="24"/>
        </w:rPr>
        <w:t xml:space="preserve"> and </w:t>
      </w:r>
      <w:r w:rsidR="00EA5407">
        <w:rPr>
          <w:rFonts w:ascii="Georgia" w:hAnsi="Georgia"/>
          <w:sz w:val="24"/>
          <w:szCs w:val="24"/>
        </w:rPr>
        <w:lastRenderedPageBreak/>
        <w:t>privately</w:t>
      </w:r>
      <w:r w:rsidR="00486313">
        <w:rPr>
          <w:rFonts w:ascii="Georgia" w:hAnsi="Georgia"/>
          <w:sz w:val="24"/>
          <w:szCs w:val="24"/>
        </w:rPr>
        <w:t xml:space="preserve"> </w:t>
      </w:r>
      <w:r w:rsidR="00AE27FE">
        <w:rPr>
          <w:rFonts w:ascii="Georgia" w:hAnsi="Georgia"/>
          <w:sz w:val="24"/>
          <w:szCs w:val="24"/>
        </w:rPr>
        <w:t xml:space="preserve">(through the terms of its non-public confidentiality agreement) </w:t>
      </w:r>
      <w:r w:rsidR="00486313">
        <w:rPr>
          <w:rFonts w:ascii="Georgia" w:hAnsi="Georgia"/>
          <w:sz w:val="24"/>
          <w:szCs w:val="24"/>
        </w:rPr>
        <w:t>advocate for significant management and personnel changes at the utility.</w:t>
      </w:r>
    </w:p>
    <w:p w14:paraId="2B5BB428" w14:textId="77777777" w:rsidR="004451B2" w:rsidRDefault="004451B2" w:rsidP="00C156C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F1970C3" w14:textId="77777777" w:rsidR="00C156CF" w:rsidRDefault="00C156CF" w:rsidP="00C156C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368C437F" w14:textId="58C35C2A" w:rsidR="00C156CF" w:rsidRPr="000B31DE" w:rsidRDefault="00C156CF" w:rsidP="00C156CF">
      <w:pPr>
        <w:jc w:val="center"/>
        <w:rPr>
          <w:rFonts w:ascii="Georgia" w:hAnsi="Georgia"/>
          <w:b/>
          <w:bCs/>
          <w:sz w:val="24"/>
          <w:szCs w:val="24"/>
        </w:rPr>
      </w:pPr>
      <w:r w:rsidRPr="000B31DE">
        <w:rPr>
          <w:rFonts w:ascii="Georgia" w:hAnsi="Georgia"/>
          <w:b/>
          <w:bCs/>
          <w:sz w:val="24"/>
          <w:szCs w:val="24"/>
        </w:rPr>
        <w:t xml:space="preserve">An Elliott Management </w:t>
      </w:r>
      <w:r>
        <w:rPr>
          <w:rFonts w:ascii="Georgia" w:hAnsi="Georgia"/>
          <w:b/>
          <w:bCs/>
          <w:sz w:val="24"/>
          <w:szCs w:val="24"/>
        </w:rPr>
        <w:t>a</w:t>
      </w:r>
      <w:r w:rsidRPr="000B31DE">
        <w:rPr>
          <w:rFonts w:ascii="Georgia" w:hAnsi="Georgia"/>
          <w:b/>
          <w:bCs/>
          <w:sz w:val="24"/>
          <w:szCs w:val="24"/>
        </w:rPr>
        <w:t xml:space="preserve">ffiliate </w:t>
      </w:r>
      <w:r>
        <w:rPr>
          <w:rFonts w:ascii="Georgia" w:hAnsi="Georgia"/>
          <w:b/>
          <w:bCs/>
          <w:sz w:val="24"/>
          <w:szCs w:val="24"/>
        </w:rPr>
        <w:t>h</w:t>
      </w:r>
      <w:r w:rsidRPr="000B31DE">
        <w:rPr>
          <w:rFonts w:ascii="Georgia" w:hAnsi="Georgia"/>
          <w:b/>
          <w:bCs/>
          <w:sz w:val="24"/>
          <w:szCs w:val="24"/>
        </w:rPr>
        <w:t xml:space="preserve">as </w:t>
      </w:r>
      <w:r>
        <w:rPr>
          <w:rFonts w:ascii="Georgia" w:hAnsi="Georgia"/>
          <w:b/>
          <w:bCs/>
          <w:sz w:val="24"/>
          <w:szCs w:val="24"/>
        </w:rPr>
        <w:t>f</w:t>
      </w:r>
      <w:r w:rsidRPr="000B31DE">
        <w:rPr>
          <w:rFonts w:ascii="Georgia" w:hAnsi="Georgia"/>
          <w:b/>
          <w:bCs/>
          <w:sz w:val="24"/>
          <w:szCs w:val="24"/>
        </w:rPr>
        <w:t>uel-</w:t>
      </w:r>
      <w:r>
        <w:rPr>
          <w:rFonts w:ascii="Georgia" w:hAnsi="Georgia"/>
          <w:b/>
          <w:bCs/>
          <w:sz w:val="24"/>
          <w:szCs w:val="24"/>
        </w:rPr>
        <w:t>s</w:t>
      </w:r>
      <w:r w:rsidRPr="000B31DE">
        <w:rPr>
          <w:rFonts w:ascii="Georgia" w:hAnsi="Georgia"/>
          <w:b/>
          <w:bCs/>
          <w:sz w:val="24"/>
          <w:szCs w:val="24"/>
        </w:rPr>
        <w:t xml:space="preserve">upply </w:t>
      </w:r>
      <w:r>
        <w:rPr>
          <w:rFonts w:ascii="Georgia" w:hAnsi="Georgia"/>
          <w:b/>
          <w:bCs/>
          <w:sz w:val="24"/>
          <w:szCs w:val="24"/>
        </w:rPr>
        <w:t>c</w:t>
      </w:r>
      <w:r w:rsidRPr="000B31DE">
        <w:rPr>
          <w:rFonts w:ascii="Georgia" w:hAnsi="Georgia"/>
          <w:b/>
          <w:bCs/>
          <w:sz w:val="24"/>
          <w:szCs w:val="24"/>
        </w:rPr>
        <w:t>ontract</w:t>
      </w:r>
      <w:r w:rsidR="00BE3F73">
        <w:rPr>
          <w:rFonts w:ascii="Georgia" w:hAnsi="Georgia"/>
          <w:b/>
          <w:bCs/>
          <w:sz w:val="24"/>
          <w:szCs w:val="24"/>
        </w:rPr>
        <w:t>s</w:t>
      </w:r>
      <w:r w:rsidRPr="000B31DE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w</w:t>
      </w:r>
      <w:r w:rsidRPr="000B31DE">
        <w:rPr>
          <w:rFonts w:ascii="Georgia" w:hAnsi="Georgia"/>
          <w:b/>
          <w:bCs/>
          <w:sz w:val="24"/>
          <w:szCs w:val="24"/>
        </w:rPr>
        <w:t xml:space="preserve">ith </w:t>
      </w:r>
      <w:proofErr w:type="spellStart"/>
      <w:r w:rsidR="00081B60">
        <w:rPr>
          <w:rFonts w:ascii="Georgia" w:hAnsi="Georgia"/>
          <w:b/>
          <w:bCs/>
          <w:sz w:val="24"/>
          <w:szCs w:val="24"/>
        </w:rPr>
        <w:t>Evergy</w:t>
      </w:r>
      <w:proofErr w:type="spellEnd"/>
    </w:p>
    <w:p w14:paraId="3E063CF3" w14:textId="77777777" w:rsidR="00C156CF" w:rsidRDefault="00C156CF" w:rsidP="00C156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05CF9A4" w14:textId="29533B85" w:rsidR="00C156CF" w:rsidRDefault="00C156CF" w:rsidP="00C156C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31ED5">
        <w:rPr>
          <w:rFonts w:ascii="Georgia" w:hAnsi="Georgia"/>
          <w:sz w:val="24"/>
          <w:szCs w:val="24"/>
        </w:rPr>
        <w:t>Elliott Management owns nearly 29 million shares, or 30%, of Peabody Energy.</w:t>
      </w:r>
      <w:r w:rsidRPr="00931ED5">
        <w:rPr>
          <w:rStyle w:val="FootnoteReference"/>
          <w:rFonts w:ascii="Georgia" w:hAnsi="Georgia"/>
          <w:sz w:val="24"/>
          <w:szCs w:val="24"/>
        </w:rPr>
        <w:footnoteReference w:id="2"/>
      </w:r>
      <w:r w:rsidRPr="00931ED5">
        <w:rPr>
          <w:rFonts w:ascii="Georgia" w:hAnsi="Georgia"/>
          <w:sz w:val="24"/>
          <w:szCs w:val="24"/>
        </w:rPr>
        <w:t xml:space="preserve"> </w:t>
      </w:r>
      <w:r w:rsidR="00AD4F4F" w:rsidRPr="00931ED5">
        <w:rPr>
          <w:rFonts w:ascii="Georgia" w:hAnsi="Georgia"/>
          <w:sz w:val="24"/>
          <w:szCs w:val="24"/>
        </w:rPr>
        <w:t xml:space="preserve">Three of </w:t>
      </w:r>
      <w:proofErr w:type="spellStart"/>
      <w:r w:rsidR="00AD4F4F" w:rsidRPr="00931ED5">
        <w:rPr>
          <w:rFonts w:ascii="Georgia" w:hAnsi="Georgia"/>
          <w:sz w:val="24"/>
          <w:szCs w:val="24"/>
        </w:rPr>
        <w:t>Evergy’s</w:t>
      </w:r>
      <w:proofErr w:type="spellEnd"/>
      <w:r w:rsidR="00AD4F4F" w:rsidRPr="00931ED5">
        <w:rPr>
          <w:rFonts w:ascii="Georgia" w:hAnsi="Georgia"/>
          <w:sz w:val="24"/>
          <w:szCs w:val="24"/>
        </w:rPr>
        <w:t xml:space="preserve"> coal-fired power plants</w:t>
      </w:r>
      <w:r w:rsidR="00FB316F" w:rsidRPr="00931ED5">
        <w:rPr>
          <w:rFonts w:ascii="Georgia" w:hAnsi="Georgia"/>
          <w:sz w:val="24"/>
          <w:szCs w:val="24"/>
        </w:rPr>
        <w:t>—</w:t>
      </w:r>
      <w:r w:rsidR="004035B0" w:rsidRPr="00931ED5">
        <w:rPr>
          <w:rFonts w:ascii="Georgia" w:hAnsi="Georgia"/>
        </w:rPr>
        <w:t xml:space="preserve"> </w:t>
      </w:r>
      <w:r w:rsidR="004035B0" w:rsidRPr="00931ED5">
        <w:rPr>
          <w:rFonts w:ascii="Georgia" w:hAnsi="Georgia"/>
          <w:sz w:val="24"/>
          <w:szCs w:val="24"/>
        </w:rPr>
        <w:t xml:space="preserve">the 1,300 MW </w:t>
      </w:r>
      <w:proofErr w:type="spellStart"/>
      <w:r w:rsidR="004035B0" w:rsidRPr="00931ED5">
        <w:rPr>
          <w:rFonts w:ascii="Georgia" w:hAnsi="Georgia"/>
          <w:sz w:val="24"/>
          <w:szCs w:val="24"/>
        </w:rPr>
        <w:t>Iatan</w:t>
      </w:r>
      <w:proofErr w:type="spellEnd"/>
      <w:r w:rsidR="004035B0" w:rsidRPr="00931ED5">
        <w:rPr>
          <w:rFonts w:ascii="Georgia" w:hAnsi="Georgia"/>
          <w:sz w:val="24"/>
          <w:szCs w:val="24"/>
        </w:rPr>
        <w:t xml:space="preserve"> facility in Missouri, the 1,400 MW La </w:t>
      </w:r>
      <w:proofErr w:type="spellStart"/>
      <w:r w:rsidR="004035B0" w:rsidRPr="00931ED5">
        <w:rPr>
          <w:rFonts w:ascii="Georgia" w:hAnsi="Georgia"/>
          <w:sz w:val="24"/>
          <w:szCs w:val="24"/>
        </w:rPr>
        <w:t>Cygne</w:t>
      </w:r>
      <w:proofErr w:type="spellEnd"/>
      <w:r w:rsidR="004035B0" w:rsidRPr="00931ED5">
        <w:rPr>
          <w:rFonts w:ascii="Georgia" w:hAnsi="Georgia"/>
          <w:sz w:val="24"/>
          <w:szCs w:val="24"/>
        </w:rPr>
        <w:t xml:space="preserve"> plant in Kansas and </w:t>
      </w:r>
      <w:r w:rsidR="00365681" w:rsidRPr="00931ED5">
        <w:rPr>
          <w:rFonts w:ascii="Georgia" w:hAnsi="Georgia"/>
          <w:sz w:val="24"/>
          <w:szCs w:val="24"/>
        </w:rPr>
        <w:t xml:space="preserve">the 486 MW </w:t>
      </w:r>
      <w:r w:rsidR="004035B0" w:rsidRPr="00931ED5">
        <w:rPr>
          <w:rFonts w:ascii="Georgia" w:hAnsi="Georgia"/>
          <w:sz w:val="24"/>
          <w:szCs w:val="24"/>
        </w:rPr>
        <w:t>Lawrence Energy Center</w:t>
      </w:r>
      <w:r w:rsidR="00365681" w:rsidRPr="00931ED5">
        <w:rPr>
          <w:rFonts w:ascii="Georgia" w:hAnsi="Georgia"/>
          <w:sz w:val="24"/>
          <w:szCs w:val="24"/>
        </w:rPr>
        <w:t xml:space="preserve"> in Kansas</w:t>
      </w:r>
      <w:r w:rsidR="00DE7FFA" w:rsidRPr="00931ED5">
        <w:rPr>
          <w:rFonts w:ascii="Georgia" w:hAnsi="Georgia"/>
          <w:sz w:val="24"/>
          <w:szCs w:val="24"/>
        </w:rPr>
        <w:t>—</w:t>
      </w:r>
      <w:r w:rsidR="00057FAF" w:rsidRPr="00931ED5">
        <w:rPr>
          <w:rFonts w:ascii="Georgia" w:hAnsi="Georgia"/>
          <w:sz w:val="24"/>
          <w:szCs w:val="24"/>
        </w:rPr>
        <w:t>have fuel supply contracts with Peabody Energy</w:t>
      </w:r>
      <w:r w:rsidRPr="00931ED5">
        <w:rPr>
          <w:rFonts w:ascii="Georgia" w:hAnsi="Georgia"/>
          <w:sz w:val="24"/>
          <w:szCs w:val="24"/>
        </w:rPr>
        <w:t>.</w:t>
      </w:r>
      <w:r w:rsidRPr="00931ED5">
        <w:rPr>
          <w:rStyle w:val="FootnoteReference"/>
          <w:rFonts w:ascii="Georgia" w:hAnsi="Georgia"/>
          <w:sz w:val="24"/>
          <w:szCs w:val="24"/>
        </w:rPr>
        <w:footnoteReference w:id="3"/>
      </w:r>
      <w:r w:rsidRPr="00931ED5">
        <w:rPr>
          <w:rFonts w:ascii="Georgia" w:hAnsi="Georgia"/>
          <w:sz w:val="24"/>
          <w:szCs w:val="24"/>
        </w:rPr>
        <w:t xml:space="preserve"> </w:t>
      </w:r>
      <w:r w:rsidR="00DA217A">
        <w:rPr>
          <w:rFonts w:ascii="Georgia" w:hAnsi="Georgia"/>
          <w:sz w:val="24"/>
          <w:szCs w:val="24"/>
        </w:rPr>
        <w:t xml:space="preserve">Nearly one-third </w:t>
      </w:r>
      <w:r w:rsidR="00E917CF" w:rsidRPr="00931ED5">
        <w:rPr>
          <w:rFonts w:ascii="Georgia" w:hAnsi="Georgia"/>
          <w:sz w:val="24"/>
          <w:szCs w:val="24"/>
        </w:rPr>
        <w:t xml:space="preserve">of all of the coal produced at Peabody’s </w:t>
      </w:r>
      <w:r w:rsidR="00B30E09" w:rsidRPr="00931ED5">
        <w:rPr>
          <w:rFonts w:ascii="Georgia" w:hAnsi="Georgia"/>
          <w:sz w:val="24"/>
          <w:szCs w:val="24"/>
        </w:rPr>
        <w:t>Caballo mine</w:t>
      </w:r>
      <w:r w:rsidR="00931ED5" w:rsidRPr="00931ED5">
        <w:rPr>
          <w:rFonts w:ascii="Georgia" w:hAnsi="Georgia"/>
          <w:sz w:val="24"/>
          <w:szCs w:val="24"/>
        </w:rPr>
        <w:t xml:space="preserve"> in Wyoming</w:t>
      </w:r>
      <w:r w:rsidR="00B30E09" w:rsidRPr="00931ED5">
        <w:rPr>
          <w:rFonts w:ascii="Georgia" w:hAnsi="Georgia"/>
          <w:sz w:val="24"/>
          <w:szCs w:val="24"/>
        </w:rPr>
        <w:t xml:space="preserve"> is </w:t>
      </w:r>
      <w:r w:rsidR="00DA217A">
        <w:rPr>
          <w:rFonts w:ascii="Georgia" w:hAnsi="Georgia"/>
          <w:sz w:val="24"/>
          <w:szCs w:val="24"/>
        </w:rPr>
        <w:t>sold</w:t>
      </w:r>
      <w:r w:rsidR="00B30E09" w:rsidRPr="00931ED5">
        <w:rPr>
          <w:rFonts w:ascii="Georgia" w:hAnsi="Georgia"/>
          <w:sz w:val="24"/>
          <w:szCs w:val="24"/>
        </w:rPr>
        <w:t xml:space="preserve"> to </w:t>
      </w:r>
      <w:proofErr w:type="spellStart"/>
      <w:r w:rsidR="00B30E09" w:rsidRPr="00931ED5">
        <w:rPr>
          <w:rFonts w:ascii="Georgia" w:hAnsi="Georgia"/>
          <w:sz w:val="24"/>
          <w:szCs w:val="24"/>
        </w:rPr>
        <w:t>Evergy’s</w:t>
      </w:r>
      <w:proofErr w:type="spellEnd"/>
      <w:r w:rsidR="00B30E09" w:rsidRPr="00931ED5">
        <w:rPr>
          <w:rFonts w:ascii="Georgia" w:hAnsi="Georgia"/>
          <w:sz w:val="24"/>
          <w:szCs w:val="24"/>
        </w:rPr>
        <w:t xml:space="preserve"> </w:t>
      </w:r>
      <w:proofErr w:type="spellStart"/>
      <w:r w:rsidR="00B30E09" w:rsidRPr="00931ED5">
        <w:rPr>
          <w:rFonts w:ascii="Georgia" w:hAnsi="Georgia"/>
          <w:sz w:val="24"/>
          <w:szCs w:val="24"/>
        </w:rPr>
        <w:t>Iatan</w:t>
      </w:r>
      <w:proofErr w:type="spellEnd"/>
      <w:r w:rsidR="00B30E09" w:rsidRPr="00931ED5">
        <w:rPr>
          <w:rFonts w:ascii="Georgia" w:hAnsi="Georgia"/>
          <w:sz w:val="24"/>
          <w:szCs w:val="24"/>
        </w:rPr>
        <w:t xml:space="preserve"> and La </w:t>
      </w:r>
      <w:proofErr w:type="spellStart"/>
      <w:r w:rsidR="00B30E09" w:rsidRPr="00931ED5">
        <w:rPr>
          <w:rFonts w:ascii="Georgia" w:hAnsi="Georgia"/>
          <w:sz w:val="24"/>
          <w:szCs w:val="24"/>
        </w:rPr>
        <w:t>Cygne</w:t>
      </w:r>
      <w:proofErr w:type="spellEnd"/>
      <w:r w:rsidR="00B30E09" w:rsidRPr="00931ED5">
        <w:rPr>
          <w:rFonts w:ascii="Georgia" w:hAnsi="Georgia"/>
          <w:sz w:val="24"/>
          <w:szCs w:val="24"/>
        </w:rPr>
        <w:t xml:space="preserve"> power plants. </w:t>
      </w:r>
      <w:r w:rsidRPr="00931ED5">
        <w:rPr>
          <w:rFonts w:ascii="Georgia" w:hAnsi="Georgia"/>
          <w:sz w:val="24"/>
          <w:szCs w:val="24"/>
        </w:rPr>
        <w:t xml:space="preserve">Determining affiliation is important for many reasons, including to ensure that </w:t>
      </w:r>
      <w:proofErr w:type="spellStart"/>
      <w:r w:rsidR="00B32993">
        <w:rPr>
          <w:rFonts w:ascii="Georgia" w:hAnsi="Georgia"/>
          <w:sz w:val="24"/>
          <w:szCs w:val="24"/>
        </w:rPr>
        <w:t>Evergy’s</w:t>
      </w:r>
      <w:proofErr w:type="spellEnd"/>
      <w:r w:rsidR="00B32993">
        <w:rPr>
          <w:rFonts w:ascii="Georgia" w:hAnsi="Georgia"/>
          <w:sz w:val="24"/>
          <w:szCs w:val="24"/>
        </w:rPr>
        <w:t xml:space="preserve"> </w:t>
      </w:r>
      <w:r w:rsidR="000F0009">
        <w:rPr>
          <w:rFonts w:ascii="Georgia" w:hAnsi="Georgia"/>
          <w:sz w:val="24"/>
          <w:szCs w:val="24"/>
        </w:rPr>
        <w:t xml:space="preserve">fuel supply </w:t>
      </w:r>
      <w:r w:rsidRPr="00931ED5">
        <w:rPr>
          <w:rFonts w:ascii="Georgia" w:hAnsi="Georgia"/>
          <w:sz w:val="24"/>
          <w:szCs w:val="24"/>
        </w:rPr>
        <w:t>transactions are conducted at arm’s length</w:t>
      </w:r>
      <w:r w:rsidR="000F0009">
        <w:rPr>
          <w:rFonts w:ascii="Georgia" w:hAnsi="Georgia"/>
          <w:sz w:val="24"/>
          <w:szCs w:val="24"/>
        </w:rPr>
        <w:t xml:space="preserve"> from Elliott Management</w:t>
      </w:r>
      <w:r w:rsidRPr="00931ED5">
        <w:rPr>
          <w:rFonts w:ascii="Georgia" w:hAnsi="Georgia"/>
          <w:sz w:val="24"/>
          <w:szCs w:val="24"/>
        </w:rPr>
        <w:t>.</w:t>
      </w:r>
    </w:p>
    <w:p w14:paraId="60157B35" w14:textId="3324809D" w:rsidR="008A6371" w:rsidRDefault="008A6371" w:rsidP="00C156CF">
      <w:pPr>
        <w:spacing w:line="360" w:lineRule="auto"/>
        <w:rPr>
          <w:rFonts w:ascii="Georgia" w:hAnsi="Georgia"/>
          <w:sz w:val="24"/>
          <w:szCs w:val="24"/>
        </w:rPr>
      </w:pPr>
    </w:p>
    <w:p w14:paraId="59E1C75E" w14:textId="77777777" w:rsidR="00C156CF" w:rsidRDefault="00C156CF" w:rsidP="00C156CF">
      <w:pPr>
        <w:rPr>
          <w:rFonts w:ascii="Georgia" w:hAnsi="Georgia"/>
          <w:sz w:val="24"/>
          <w:szCs w:val="24"/>
        </w:rPr>
      </w:pPr>
    </w:p>
    <w:p w14:paraId="45AA433B" w14:textId="26D55747" w:rsidR="00C156CF" w:rsidRPr="001B30C1" w:rsidRDefault="00931ED5" w:rsidP="00C156CF">
      <w:pPr>
        <w:jc w:val="center"/>
        <w:rPr>
          <w:rFonts w:ascii="Georgia" w:hAnsi="Georgia"/>
          <w:b/>
          <w:bCs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</w:rPr>
        <w:t>Evergy</w:t>
      </w:r>
      <w:proofErr w:type="spellEnd"/>
      <w:r w:rsidR="00C156CF" w:rsidRPr="001B30C1">
        <w:rPr>
          <w:rFonts w:ascii="Georgia" w:hAnsi="Georgia"/>
          <w:b/>
          <w:bCs/>
          <w:sz w:val="24"/>
          <w:szCs w:val="24"/>
        </w:rPr>
        <w:t xml:space="preserve"> is one of at least three FERC-jurisdictional utilities </w:t>
      </w:r>
      <w:r w:rsidR="00C156CF">
        <w:rPr>
          <w:rFonts w:ascii="Georgia" w:hAnsi="Georgia"/>
          <w:b/>
          <w:bCs/>
          <w:sz w:val="24"/>
          <w:szCs w:val="24"/>
        </w:rPr>
        <w:t xml:space="preserve">where Elliott </w:t>
      </w:r>
      <w:r w:rsidR="00C156CF" w:rsidRPr="001B30C1">
        <w:rPr>
          <w:rFonts w:ascii="Georgia" w:hAnsi="Georgia"/>
          <w:b/>
          <w:bCs/>
          <w:sz w:val="24"/>
          <w:szCs w:val="24"/>
        </w:rPr>
        <w:t>has sway over management</w:t>
      </w:r>
    </w:p>
    <w:p w14:paraId="2FE1FF5C" w14:textId="77777777" w:rsidR="00C156CF" w:rsidRDefault="00C156CF" w:rsidP="00C156CF">
      <w:pPr>
        <w:rPr>
          <w:rFonts w:ascii="Georgia" w:hAnsi="Georgia"/>
          <w:sz w:val="24"/>
          <w:szCs w:val="24"/>
        </w:rPr>
      </w:pPr>
    </w:p>
    <w:p w14:paraId="2C5A43F8" w14:textId="77777777" w:rsidR="00EA19B5" w:rsidRDefault="00C156CF" w:rsidP="00C156C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Elliott Management has quietly established itself as one of the most powerful </w:t>
      </w:r>
      <w:r w:rsidR="00010EDF">
        <w:rPr>
          <w:rFonts w:ascii="Georgia" w:hAnsi="Georgia"/>
          <w:sz w:val="24"/>
          <w:szCs w:val="24"/>
        </w:rPr>
        <w:t xml:space="preserve">activist </w:t>
      </w:r>
      <w:r>
        <w:rPr>
          <w:rFonts w:ascii="Georgia" w:hAnsi="Georgia"/>
          <w:sz w:val="24"/>
          <w:szCs w:val="24"/>
        </w:rPr>
        <w:t>investors in the U.S. utility industry, as the hedge fund leverage</w:t>
      </w:r>
      <w:r w:rsidR="0030362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its capital to successfully push for management and investment changes at least three utilities. </w:t>
      </w:r>
    </w:p>
    <w:p w14:paraId="67B23A9C" w14:textId="77777777" w:rsidR="00D51FC0" w:rsidRDefault="00C156CF" w:rsidP="00EA19B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Public Citizen chronicled in a </w:t>
      </w:r>
      <w:r w:rsidR="007647F6">
        <w:rPr>
          <w:rFonts w:ascii="Georgia" w:hAnsi="Georgia"/>
          <w:sz w:val="24"/>
          <w:szCs w:val="24"/>
        </w:rPr>
        <w:t>complaint</w:t>
      </w:r>
      <w:r>
        <w:rPr>
          <w:rFonts w:ascii="Georgia" w:hAnsi="Georgia"/>
          <w:sz w:val="24"/>
          <w:szCs w:val="24"/>
        </w:rPr>
        <w:t xml:space="preserve"> last month that Elliott Management had appeared to obtain control over the public utility </w:t>
      </w:r>
      <w:r w:rsidR="007647F6">
        <w:rPr>
          <w:rFonts w:ascii="Georgia" w:hAnsi="Georgia"/>
          <w:sz w:val="24"/>
          <w:szCs w:val="24"/>
        </w:rPr>
        <w:t>CenterPoint Energy</w:t>
      </w:r>
      <w:r w:rsidR="00BF17E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in a manner very similar to its approach with </w:t>
      </w:r>
      <w:proofErr w:type="spellStart"/>
      <w:r w:rsidR="00BF17E1">
        <w:rPr>
          <w:rFonts w:ascii="Georgia" w:hAnsi="Georgia"/>
          <w:sz w:val="24"/>
          <w:szCs w:val="24"/>
        </w:rPr>
        <w:t>Evergy</w:t>
      </w:r>
      <w:proofErr w:type="spellEnd"/>
      <w:r>
        <w:rPr>
          <w:rFonts w:ascii="Georgia" w:hAnsi="Georgia"/>
          <w:sz w:val="24"/>
          <w:szCs w:val="24"/>
        </w:rPr>
        <w:t>, including the use of a non-public confidentiality agreement that conveys certain rights and privileges for Elliott that are unavailable to any other similarly-situated investor.</w:t>
      </w:r>
      <w:r w:rsidR="00F52C3B">
        <w:rPr>
          <w:rStyle w:val="FootnoteReference"/>
          <w:rFonts w:ascii="Georgia" w:hAnsi="Georgia"/>
          <w:sz w:val="24"/>
          <w:szCs w:val="24"/>
        </w:rPr>
        <w:footnoteReference w:id="4"/>
      </w:r>
      <w:r>
        <w:rPr>
          <w:rFonts w:ascii="Georgia" w:hAnsi="Georgia"/>
          <w:sz w:val="24"/>
          <w:szCs w:val="24"/>
        </w:rPr>
        <w:t xml:space="preserve"> </w:t>
      </w:r>
    </w:p>
    <w:p w14:paraId="15E780D9" w14:textId="0ED47EA1" w:rsidR="00C156CF" w:rsidRDefault="00C156CF" w:rsidP="00EA19B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DTE Energy made a </w:t>
      </w:r>
      <w:r w:rsidR="00D51FC0">
        <w:rPr>
          <w:rFonts w:ascii="Georgia" w:hAnsi="Georgia"/>
          <w:sz w:val="24"/>
          <w:szCs w:val="24"/>
        </w:rPr>
        <w:t xml:space="preserve">recent, </w:t>
      </w:r>
      <w:r>
        <w:rPr>
          <w:rFonts w:ascii="Georgia" w:hAnsi="Georgia"/>
          <w:sz w:val="24"/>
          <w:szCs w:val="24"/>
        </w:rPr>
        <w:t xml:space="preserve">surprise announcement to divest its midstream gas assets. Coinciding with the announcement, Elliott Management endorsed the move, disclosing for the first time that the hedge fund had a significant financial position </w:t>
      </w:r>
      <w:r>
        <w:rPr>
          <w:rFonts w:ascii="Georgia" w:hAnsi="Georgia"/>
          <w:sz w:val="24"/>
          <w:szCs w:val="24"/>
        </w:rPr>
        <w:lastRenderedPageBreak/>
        <w:t>within DTE Energy</w:t>
      </w:r>
      <w:r w:rsidR="00BF09D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had been engaged in non-public negotiations with the utility about the divestment for “several months”.</w:t>
      </w:r>
      <w:r>
        <w:rPr>
          <w:rStyle w:val="FootnoteReference"/>
          <w:rFonts w:ascii="Georgia" w:hAnsi="Georgia"/>
          <w:sz w:val="24"/>
          <w:szCs w:val="24"/>
        </w:rPr>
        <w:footnoteReference w:id="5"/>
      </w:r>
      <w:r w:rsidR="00BF09D1">
        <w:rPr>
          <w:rFonts w:ascii="Georgia" w:hAnsi="Georgia"/>
          <w:sz w:val="24"/>
          <w:szCs w:val="24"/>
        </w:rPr>
        <w:t xml:space="preserve"> </w:t>
      </w:r>
    </w:p>
    <w:p w14:paraId="6D46CCD6" w14:textId="2EA35FD7" w:rsidR="00C156CF" w:rsidRDefault="00C156CF" w:rsidP="00C156C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Elliott Management’s </w:t>
      </w:r>
      <w:r w:rsidRPr="00722748">
        <w:rPr>
          <w:rFonts w:ascii="Georgia" w:hAnsi="Georgia"/>
          <w:i/>
          <w:iCs/>
          <w:sz w:val="24"/>
          <w:szCs w:val="24"/>
        </w:rPr>
        <w:t>modus operandi</w:t>
      </w:r>
      <w:r>
        <w:rPr>
          <w:rFonts w:ascii="Georgia" w:hAnsi="Georgia"/>
          <w:sz w:val="24"/>
          <w:szCs w:val="24"/>
        </w:rPr>
        <w:t xml:space="preserve"> of obtaining control of public utilities, involving lengthy non-public negotiations and agreements</w:t>
      </w:r>
      <w:r w:rsidR="0015248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has established the hedge fund as one of the most influential investors shaping U.S. utility management decisions, accomplishing this feat through the use of a deliberate strategy designed to evade regulatory oversight under the Federal Power Act.</w:t>
      </w:r>
    </w:p>
    <w:p w14:paraId="3E3672F4" w14:textId="04800078" w:rsidR="009F2458" w:rsidRDefault="009F2458" w:rsidP="00C156CF">
      <w:pPr>
        <w:spacing w:line="360" w:lineRule="auto"/>
        <w:rPr>
          <w:rFonts w:ascii="Georgia" w:hAnsi="Georgia"/>
          <w:sz w:val="24"/>
          <w:szCs w:val="24"/>
        </w:rPr>
      </w:pPr>
    </w:p>
    <w:p w14:paraId="3D9EACD3" w14:textId="7ED23105" w:rsidR="0015248A" w:rsidRPr="00610760" w:rsidRDefault="00195E16" w:rsidP="00000C90">
      <w:pPr>
        <w:jc w:val="center"/>
        <w:rPr>
          <w:rFonts w:ascii="Georgia" w:hAnsi="Georgia"/>
          <w:b/>
          <w:bCs/>
          <w:sz w:val="24"/>
          <w:szCs w:val="24"/>
        </w:rPr>
      </w:pPr>
      <w:r w:rsidRPr="00610760">
        <w:rPr>
          <w:rFonts w:ascii="Georgia" w:hAnsi="Georgia"/>
          <w:b/>
          <w:bCs/>
          <w:sz w:val="24"/>
          <w:szCs w:val="24"/>
        </w:rPr>
        <w:t xml:space="preserve">Elliott Management </w:t>
      </w:r>
      <w:r w:rsidR="00AD64C5" w:rsidRPr="00610760">
        <w:rPr>
          <w:rFonts w:ascii="Georgia" w:hAnsi="Georgia"/>
          <w:b/>
          <w:bCs/>
          <w:sz w:val="24"/>
          <w:szCs w:val="24"/>
        </w:rPr>
        <w:t xml:space="preserve">has not appeared in this proceeding or addressed affiliation or control under </w:t>
      </w:r>
      <w:r w:rsidR="00610760" w:rsidRPr="00610760">
        <w:rPr>
          <w:rFonts w:ascii="Georgia" w:hAnsi="Georgia"/>
          <w:b/>
          <w:bCs/>
          <w:sz w:val="24"/>
          <w:szCs w:val="24"/>
        </w:rPr>
        <w:t>FERC’s rules and regulations</w:t>
      </w:r>
    </w:p>
    <w:p w14:paraId="7A9869A8" w14:textId="441A38FC" w:rsidR="00AD64C5" w:rsidRDefault="00AD64C5" w:rsidP="00C156CF">
      <w:pPr>
        <w:spacing w:line="360" w:lineRule="auto"/>
        <w:rPr>
          <w:rFonts w:ascii="Georgia" w:hAnsi="Georgia"/>
          <w:sz w:val="24"/>
          <w:szCs w:val="24"/>
        </w:rPr>
      </w:pPr>
    </w:p>
    <w:p w14:paraId="3D08E534" w14:textId="2DAEDFF7" w:rsidR="00AD64C5" w:rsidRDefault="00AD64C5" w:rsidP="00C156C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spellStart"/>
      <w:r w:rsidR="002D7292" w:rsidRPr="002D7292">
        <w:rPr>
          <w:rFonts w:ascii="Georgia" w:hAnsi="Georgia"/>
          <w:sz w:val="24"/>
          <w:szCs w:val="24"/>
        </w:rPr>
        <w:t>Evergy's</w:t>
      </w:r>
      <w:proofErr w:type="spellEnd"/>
      <w:r w:rsidR="002D7292" w:rsidRPr="002D7292">
        <w:rPr>
          <w:rFonts w:ascii="Georgia" w:hAnsi="Georgia"/>
          <w:sz w:val="24"/>
          <w:szCs w:val="24"/>
        </w:rPr>
        <w:t xml:space="preserve"> October 29 Answer states that </w:t>
      </w:r>
      <w:r w:rsidR="002D7292">
        <w:rPr>
          <w:rFonts w:ascii="Georgia" w:hAnsi="Georgia"/>
          <w:sz w:val="24"/>
          <w:szCs w:val="24"/>
        </w:rPr>
        <w:t>“</w:t>
      </w:r>
      <w:r w:rsidR="002D7292" w:rsidRPr="002D7292">
        <w:rPr>
          <w:rFonts w:ascii="Georgia" w:hAnsi="Georgia"/>
          <w:sz w:val="24"/>
          <w:szCs w:val="24"/>
        </w:rPr>
        <w:t xml:space="preserve">counsel for Elliott Management swore under oath that </w:t>
      </w:r>
      <w:r w:rsidR="00657055">
        <w:rPr>
          <w:rFonts w:ascii="Georgia" w:hAnsi="Georgia"/>
          <w:sz w:val="24"/>
          <w:szCs w:val="24"/>
        </w:rPr>
        <w:t>‘</w:t>
      </w:r>
      <w:r w:rsidR="002D7292" w:rsidRPr="002D7292">
        <w:rPr>
          <w:rFonts w:ascii="Georgia" w:hAnsi="Georgia"/>
          <w:sz w:val="24"/>
          <w:szCs w:val="24"/>
        </w:rPr>
        <w:t xml:space="preserve">Elliott has no control or substantial influence over the policies and actions of </w:t>
      </w:r>
      <w:proofErr w:type="spellStart"/>
      <w:r w:rsidR="002D7292" w:rsidRPr="002D7292">
        <w:rPr>
          <w:rFonts w:ascii="Georgia" w:hAnsi="Georgia"/>
          <w:sz w:val="24"/>
          <w:szCs w:val="24"/>
        </w:rPr>
        <w:t>Evergy</w:t>
      </w:r>
      <w:proofErr w:type="spellEnd"/>
      <w:r w:rsidR="002D7292" w:rsidRPr="002D7292">
        <w:rPr>
          <w:rFonts w:ascii="Georgia" w:hAnsi="Georgia"/>
          <w:sz w:val="24"/>
          <w:szCs w:val="24"/>
        </w:rPr>
        <w:t>.</w:t>
      </w:r>
      <w:r w:rsidR="00C6312C">
        <w:rPr>
          <w:rFonts w:ascii="Georgia" w:hAnsi="Georgia"/>
          <w:sz w:val="24"/>
          <w:szCs w:val="24"/>
        </w:rPr>
        <w:t>’</w:t>
      </w:r>
      <w:r w:rsidR="002D7292" w:rsidRPr="002D7292">
        <w:rPr>
          <w:rFonts w:ascii="Georgia" w:hAnsi="Georgia"/>
          <w:sz w:val="24"/>
          <w:szCs w:val="24"/>
        </w:rPr>
        <w:t xml:space="preserve"> Elliott Management addressed the same Cooperation Agreement referenced by the [Public Citizen] Protest in this sworn [Kansas Corporation Commission] pleading, stating that </w:t>
      </w:r>
      <w:r w:rsidR="00C6312C">
        <w:rPr>
          <w:rFonts w:ascii="Georgia" w:hAnsi="Georgia"/>
          <w:sz w:val="24"/>
          <w:szCs w:val="24"/>
        </w:rPr>
        <w:t>‘</w:t>
      </w:r>
      <w:r w:rsidR="002D7292" w:rsidRPr="002D7292">
        <w:rPr>
          <w:rFonts w:ascii="Georgia" w:hAnsi="Georgia"/>
          <w:sz w:val="24"/>
          <w:szCs w:val="24"/>
        </w:rPr>
        <w:t xml:space="preserve">[t]he Agreement does not confer upon Elliott any rights of control over </w:t>
      </w:r>
      <w:proofErr w:type="spellStart"/>
      <w:r w:rsidR="002D7292" w:rsidRPr="002D7292">
        <w:rPr>
          <w:rFonts w:ascii="Georgia" w:hAnsi="Georgia"/>
          <w:sz w:val="24"/>
          <w:szCs w:val="24"/>
        </w:rPr>
        <w:t>Evergy</w:t>
      </w:r>
      <w:proofErr w:type="spellEnd"/>
      <w:r w:rsidR="002D7292" w:rsidRPr="002D7292">
        <w:rPr>
          <w:rFonts w:ascii="Georgia" w:hAnsi="Georgia"/>
          <w:sz w:val="24"/>
          <w:szCs w:val="24"/>
        </w:rPr>
        <w:t>.</w:t>
      </w:r>
      <w:r w:rsidR="00C6312C">
        <w:rPr>
          <w:rFonts w:ascii="Georgia" w:hAnsi="Georgia"/>
          <w:sz w:val="24"/>
          <w:szCs w:val="24"/>
        </w:rPr>
        <w:t>’”</w:t>
      </w:r>
      <w:r w:rsidR="00C32409">
        <w:rPr>
          <w:rStyle w:val="FootnoteReference"/>
          <w:rFonts w:ascii="Georgia" w:hAnsi="Georgia"/>
          <w:sz w:val="24"/>
          <w:szCs w:val="24"/>
        </w:rPr>
        <w:footnoteReference w:id="6"/>
      </w:r>
    </w:p>
    <w:p w14:paraId="21089E5F" w14:textId="29AC2D43" w:rsidR="00BF17E1" w:rsidRDefault="008C5D5B" w:rsidP="00C156CF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But these assertions </w:t>
      </w:r>
      <w:r w:rsidR="00C6312C">
        <w:rPr>
          <w:rFonts w:ascii="Georgia" w:hAnsi="Georgia"/>
          <w:sz w:val="24"/>
          <w:szCs w:val="24"/>
        </w:rPr>
        <w:t>were</w:t>
      </w:r>
      <w:r>
        <w:rPr>
          <w:rFonts w:ascii="Georgia" w:hAnsi="Georgia"/>
          <w:sz w:val="24"/>
          <w:szCs w:val="24"/>
        </w:rPr>
        <w:t xml:space="preserve"> made</w:t>
      </w:r>
      <w:r w:rsidR="005311DC">
        <w:rPr>
          <w:rFonts w:ascii="Georgia" w:hAnsi="Georgia"/>
          <w:sz w:val="24"/>
          <w:szCs w:val="24"/>
        </w:rPr>
        <w:t xml:space="preserve"> </w:t>
      </w:r>
      <w:r w:rsidR="0085515B">
        <w:rPr>
          <w:rFonts w:ascii="Georgia" w:hAnsi="Georgia"/>
          <w:sz w:val="24"/>
          <w:szCs w:val="24"/>
        </w:rPr>
        <w:t>in a Kansas regulatory proceeding, relating narrowly only</w:t>
      </w:r>
      <w:r w:rsidR="005311DC">
        <w:rPr>
          <w:rFonts w:ascii="Georgia" w:hAnsi="Georgia"/>
          <w:sz w:val="24"/>
          <w:szCs w:val="24"/>
        </w:rPr>
        <w:t xml:space="preserve"> to Kansas law and Kansas definitions of affiliation and control, which are </w:t>
      </w:r>
      <w:r w:rsidR="00F158CA">
        <w:rPr>
          <w:rFonts w:ascii="Georgia" w:hAnsi="Georgia"/>
          <w:sz w:val="24"/>
          <w:szCs w:val="24"/>
        </w:rPr>
        <w:t>not the same u</w:t>
      </w:r>
      <w:r w:rsidR="00E35D73">
        <w:rPr>
          <w:rFonts w:ascii="Georgia" w:hAnsi="Georgia"/>
          <w:sz w:val="24"/>
          <w:szCs w:val="24"/>
        </w:rPr>
        <w:t>nder</w:t>
      </w:r>
      <w:r w:rsidR="00F158CA">
        <w:rPr>
          <w:rFonts w:ascii="Georgia" w:hAnsi="Georgia"/>
          <w:sz w:val="24"/>
          <w:szCs w:val="24"/>
        </w:rPr>
        <w:t xml:space="preserve"> the Federal Power</w:t>
      </w:r>
      <w:r w:rsidR="00E35D73">
        <w:rPr>
          <w:rFonts w:ascii="Georgia" w:hAnsi="Georgia"/>
          <w:sz w:val="24"/>
          <w:szCs w:val="24"/>
        </w:rPr>
        <w:t xml:space="preserve"> Act or FERC rules and regulations. </w:t>
      </w:r>
      <w:r w:rsidR="001E7EBC">
        <w:rPr>
          <w:rFonts w:ascii="Georgia" w:hAnsi="Georgia"/>
          <w:sz w:val="24"/>
          <w:szCs w:val="24"/>
        </w:rPr>
        <w:t xml:space="preserve">No executive or counsel for Elliott Management has made an </w:t>
      </w:r>
      <w:r w:rsidR="0060337C">
        <w:rPr>
          <w:rFonts w:ascii="Georgia" w:hAnsi="Georgia"/>
          <w:sz w:val="24"/>
          <w:szCs w:val="24"/>
        </w:rPr>
        <w:t xml:space="preserve">appearance in this FERC docket, and no one from Elliott Management has ever addressed affiliation with </w:t>
      </w:r>
      <w:proofErr w:type="spellStart"/>
      <w:r w:rsidR="0060337C">
        <w:rPr>
          <w:rFonts w:ascii="Georgia" w:hAnsi="Georgia"/>
          <w:sz w:val="24"/>
          <w:szCs w:val="24"/>
        </w:rPr>
        <w:t>Evergy</w:t>
      </w:r>
      <w:proofErr w:type="spellEnd"/>
      <w:r w:rsidR="0060337C">
        <w:rPr>
          <w:rFonts w:ascii="Georgia" w:hAnsi="Georgia"/>
          <w:sz w:val="24"/>
          <w:szCs w:val="24"/>
        </w:rPr>
        <w:t xml:space="preserve"> </w:t>
      </w:r>
      <w:r w:rsidR="00374481">
        <w:rPr>
          <w:rFonts w:ascii="Georgia" w:hAnsi="Georgia"/>
          <w:sz w:val="24"/>
          <w:szCs w:val="24"/>
        </w:rPr>
        <w:t>as defined by FERC rules and regulations.</w:t>
      </w:r>
      <w:r w:rsidR="00F158CA">
        <w:rPr>
          <w:rFonts w:ascii="Georgia" w:hAnsi="Georgia"/>
          <w:sz w:val="24"/>
          <w:szCs w:val="24"/>
        </w:rPr>
        <w:t xml:space="preserve"> </w:t>
      </w:r>
      <w:r w:rsidR="00374481">
        <w:rPr>
          <w:rFonts w:ascii="Georgia" w:hAnsi="Georgia"/>
          <w:sz w:val="24"/>
          <w:szCs w:val="24"/>
        </w:rPr>
        <w:t xml:space="preserve">And </w:t>
      </w:r>
      <w:proofErr w:type="spellStart"/>
      <w:r w:rsidR="00374481">
        <w:rPr>
          <w:rFonts w:ascii="Georgia" w:hAnsi="Georgia"/>
          <w:sz w:val="24"/>
          <w:szCs w:val="24"/>
        </w:rPr>
        <w:t>Evergy</w:t>
      </w:r>
      <w:proofErr w:type="spellEnd"/>
      <w:r w:rsidR="00E65EB8">
        <w:rPr>
          <w:rFonts w:ascii="Georgia" w:hAnsi="Georgia"/>
          <w:sz w:val="24"/>
          <w:szCs w:val="24"/>
        </w:rPr>
        <w:t xml:space="preserve"> has not shared with FERC the non-public confidentiality agreement</w:t>
      </w:r>
      <w:r w:rsidR="00610760">
        <w:rPr>
          <w:rFonts w:ascii="Georgia" w:hAnsi="Georgia"/>
          <w:sz w:val="24"/>
          <w:szCs w:val="24"/>
        </w:rPr>
        <w:t>.</w:t>
      </w:r>
    </w:p>
    <w:p w14:paraId="26380A89" w14:textId="1DFF5F32" w:rsidR="00BF17E1" w:rsidRDefault="00626B67" w:rsidP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5E2C52A0" w14:textId="0C63B727" w:rsidR="00747775" w:rsidRDefault="00747775" w:rsidP="00747775">
      <w:pPr>
        <w:rPr>
          <w:rFonts w:ascii="Georgia" w:hAnsi="Georgia"/>
          <w:sz w:val="24"/>
          <w:szCs w:val="24"/>
        </w:rPr>
      </w:pPr>
    </w:p>
    <w:p w14:paraId="6875FF73" w14:textId="514F2EAA" w:rsidR="00747775" w:rsidRDefault="00747775" w:rsidP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65BE09AB" w14:textId="3D8620C0" w:rsidR="00747775" w:rsidRDefault="00747775" w:rsidP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5DA32FED" w14:textId="0E593E53" w:rsidR="00747775" w:rsidRDefault="00747775" w:rsidP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10B8C0A2" w14:textId="511A43A9" w:rsidR="00747775" w:rsidRDefault="00747775" w:rsidP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77A28188" w14:textId="00FB4097" w:rsidR="00747775" w:rsidRDefault="00747775" w:rsidP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68822E66" w14:textId="285AA2D9" w:rsidR="00C156CF" w:rsidRPr="00747775" w:rsidRDefault="007477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tslocum@citizen.org</w:t>
      </w:r>
    </w:p>
    <w:sectPr w:rsidR="00C156CF" w:rsidRPr="0074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CCA0" w14:textId="77777777" w:rsidR="00017001" w:rsidRDefault="00017001" w:rsidP="00C156CF">
      <w:r>
        <w:separator/>
      </w:r>
    </w:p>
  </w:endnote>
  <w:endnote w:type="continuationSeparator" w:id="0">
    <w:p w14:paraId="442160CA" w14:textId="77777777" w:rsidR="00017001" w:rsidRDefault="00017001" w:rsidP="00C1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F710" w14:textId="77777777" w:rsidR="00017001" w:rsidRDefault="00017001" w:rsidP="00C156CF">
      <w:r>
        <w:separator/>
      </w:r>
    </w:p>
  </w:footnote>
  <w:footnote w:type="continuationSeparator" w:id="0">
    <w:p w14:paraId="4DEEDAF7" w14:textId="77777777" w:rsidR="00017001" w:rsidRDefault="00017001" w:rsidP="00C156CF">
      <w:r>
        <w:continuationSeparator/>
      </w:r>
    </w:p>
  </w:footnote>
  <w:footnote w:id="1">
    <w:p w14:paraId="345DAB8E" w14:textId="77777777" w:rsidR="004451B2" w:rsidRDefault="004451B2" w:rsidP="004451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4808">
        <w:rPr>
          <w:rFonts w:ascii="Georgia" w:hAnsi="Georgia"/>
        </w:rPr>
        <w:t>https://news.yahoo.com/elliott-management-statement-regarding-evergy-133000982.html</w:t>
      </w:r>
    </w:p>
  </w:footnote>
  <w:footnote w:id="2">
    <w:p w14:paraId="502D1CEF" w14:textId="77777777" w:rsidR="00C156CF" w:rsidRDefault="00C156CF" w:rsidP="00C15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6ADF">
        <w:rPr>
          <w:rFonts w:ascii="Georgia" w:hAnsi="Georgia"/>
        </w:rPr>
        <w:t>https://finance.yahoo.com/quote/BTU/holders?p=BTU</w:t>
      </w:r>
    </w:p>
  </w:footnote>
  <w:footnote w:id="3">
    <w:p w14:paraId="6DBBEBF1" w14:textId="77777777" w:rsidR="00C156CF" w:rsidRDefault="00C156CF" w:rsidP="00C15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5E5E">
        <w:rPr>
          <w:rFonts w:ascii="Georgia" w:hAnsi="Georgia"/>
        </w:rPr>
        <w:t>www.eia.gov/electricity/data/eia923/</w:t>
      </w:r>
    </w:p>
  </w:footnote>
  <w:footnote w:id="4">
    <w:p w14:paraId="54D1EDC5" w14:textId="77777777" w:rsidR="00F52C3B" w:rsidRDefault="00F52C3B" w:rsidP="00F52C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3A02">
        <w:rPr>
          <w:rFonts w:ascii="Georgia" w:hAnsi="Georgia"/>
        </w:rPr>
        <w:t>FERC Docket No. EL21-2.</w:t>
      </w:r>
    </w:p>
  </w:footnote>
  <w:footnote w:id="5">
    <w:p w14:paraId="4959F63F" w14:textId="77777777" w:rsidR="00C156CF" w:rsidRDefault="00C156CF" w:rsidP="00C15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062D">
        <w:rPr>
          <w:rFonts w:ascii="Georgia" w:hAnsi="Georgia"/>
        </w:rPr>
        <w:t xml:space="preserve">David French, </w:t>
      </w:r>
      <w:r>
        <w:rPr>
          <w:rFonts w:ascii="Georgia" w:hAnsi="Georgia"/>
        </w:rPr>
        <w:t>“</w:t>
      </w:r>
      <w:r w:rsidRPr="00D2062D">
        <w:rPr>
          <w:rFonts w:ascii="Georgia" w:hAnsi="Georgia"/>
        </w:rPr>
        <w:t>U.S. utility DTE Energy to spin off gas pipeline business,</w:t>
      </w:r>
      <w:r>
        <w:rPr>
          <w:rFonts w:ascii="Georgia" w:hAnsi="Georgia"/>
        </w:rPr>
        <w:t>”</w:t>
      </w:r>
      <w:r w:rsidRPr="00D2062D">
        <w:rPr>
          <w:rFonts w:ascii="Georgia" w:hAnsi="Georgia"/>
        </w:rPr>
        <w:t xml:space="preserve"> </w:t>
      </w:r>
      <w:r w:rsidRPr="00D2062D">
        <w:rPr>
          <w:rFonts w:ascii="Georgia" w:hAnsi="Georgia"/>
          <w:i/>
          <w:iCs/>
        </w:rPr>
        <w:t>Reuters</w:t>
      </w:r>
      <w:r w:rsidRPr="00D2062D">
        <w:rPr>
          <w:rFonts w:ascii="Georgia" w:hAnsi="Georgia"/>
        </w:rPr>
        <w:t>, October 27, 2020, https://in.reuters.com/article/us-dte-energy-divestiture-idINKBN27C2KW</w:t>
      </w:r>
    </w:p>
  </w:footnote>
  <w:footnote w:id="6">
    <w:p w14:paraId="5AD18911" w14:textId="533ADDDF" w:rsidR="00C32409" w:rsidRDefault="00C324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053E" w:rsidRPr="0053053E">
        <w:rPr>
          <w:rFonts w:ascii="Georgia" w:hAnsi="Georgia"/>
        </w:rPr>
        <w:t>At page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CF"/>
    <w:rsid w:val="00000C90"/>
    <w:rsid w:val="00010EDF"/>
    <w:rsid w:val="00017001"/>
    <w:rsid w:val="00057FAF"/>
    <w:rsid w:val="00081B60"/>
    <w:rsid w:val="000E15EC"/>
    <w:rsid w:val="000F0009"/>
    <w:rsid w:val="0012219D"/>
    <w:rsid w:val="0015248A"/>
    <w:rsid w:val="00195E16"/>
    <w:rsid w:val="001E68F3"/>
    <w:rsid w:val="001E7EBC"/>
    <w:rsid w:val="001F507E"/>
    <w:rsid w:val="00223BD2"/>
    <w:rsid w:val="00254212"/>
    <w:rsid w:val="002B0FCA"/>
    <w:rsid w:val="002D7292"/>
    <w:rsid w:val="0030362E"/>
    <w:rsid w:val="00307F45"/>
    <w:rsid w:val="00336119"/>
    <w:rsid w:val="00337758"/>
    <w:rsid w:val="00365681"/>
    <w:rsid w:val="00367624"/>
    <w:rsid w:val="00374481"/>
    <w:rsid w:val="0039134B"/>
    <w:rsid w:val="003D62B4"/>
    <w:rsid w:val="003F0982"/>
    <w:rsid w:val="004035B0"/>
    <w:rsid w:val="004451B2"/>
    <w:rsid w:val="00486313"/>
    <w:rsid w:val="004A0350"/>
    <w:rsid w:val="004C752D"/>
    <w:rsid w:val="004D06DE"/>
    <w:rsid w:val="00521E7D"/>
    <w:rsid w:val="0053053E"/>
    <w:rsid w:val="005311DC"/>
    <w:rsid w:val="0056112F"/>
    <w:rsid w:val="0059650E"/>
    <w:rsid w:val="00596FF4"/>
    <w:rsid w:val="005B7D26"/>
    <w:rsid w:val="0060337C"/>
    <w:rsid w:val="00610760"/>
    <w:rsid w:val="00626B67"/>
    <w:rsid w:val="00657055"/>
    <w:rsid w:val="00662EDA"/>
    <w:rsid w:val="006832CF"/>
    <w:rsid w:val="006B3160"/>
    <w:rsid w:val="006C42FD"/>
    <w:rsid w:val="006D2C2B"/>
    <w:rsid w:val="00717822"/>
    <w:rsid w:val="00733977"/>
    <w:rsid w:val="00743147"/>
    <w:rsid w:val="00747775"/>
    <w:rsid w:val="007647F6"/>
    <w:rsid w:val="00785599"/>
    <w:rsid w:val="007D5ABD"/>
    <w:rsid w:val="007F5501"/>
    <w:rsid w:val="008104D1"/>
    <w:rsid w:val="0082144A"/>
    <w:rsid w:val="0085515B"/>
    <w:rsid w:val="008732EA"/>
    <w:rsid w:val="008A6371"/>
    <w:rsid w:val="008A7D47"/>
    <w:rsid w:val="008C5D5B"/>
    <w:rsid w:val="008D0AD9"/>
    <w:rsid w:val="009209FC"/>
    <w:rsid w:val="00931ED5"/>
    <w:rsid w:val="00985EB1"/>
    <w:rsid w:val="009E3FC0"/>
    <w:rsid w:val="009F2458"/>
    <w:rsid w:val="00A84734"/>
    <w:rsid w:val="00A85B76"/>
    <w:rsid w:val="00AB7327"/>
    <w:rsid w:val="00AC0ACE"/>
    <w:rsid w:val="00AD1A2D"/>
    <w:rsid w:val="00AD4F4F"/>
    <w:rsid w:val="00AD64C5"/>
    <w:rsid w:val="00AE27FE"/>
    <w:rsid w:val="00AF1E1E"/>
    <w:rsid w:val="00B20D9C"/>
    <w:rsid w:val="00B30E09"/>
    <w:rsid w:val="00B32993"/>
    <w:rsid w:val="00B43A02"/>
    <w:rsid w:val="00B97215"/>
    <w:rsid w:val="00BE3F73"/>
    <w:rsid w:val="00BF09D1"/>
    <w:rsid w:val="00BF17E1"/>
    <w:rsid w:val="00BF2AF0"/>
    <w:rsid w:val="00C156CF"/>
    <w:rsid w:val="00C32409"/>
    <w:rsid w:val="00C3737B"/>
    <w:rsid w:val="00C6312C"/>
    <w:rsid w:val="00CA06FA"/>
    <w:rsid w:val="00CB011D"/>
    <w:rsid w:val="00CC55DD"/>
    <w:rsid w:val="00CD6CB6"/>
    <w:rsid w:val="00D51FC0"/>
    <w:rsid w:val="00D5346A"/>
    <w:rsid w:val="00D6763D"/>
    <w:rsid w:val="00D820CF"/>
    <w:rsid w:val="00D970E5"/>
    <w:rsid w:val="00DA217A"/>
    <w:rsid w:val="00DD6194"/>
    <w:rsid w:val="00DD73B6"/>
    <w:rsid w:val="00DE7FFA"/>
    <w:rsid w:val="00DF469F"/>
    <w:rsid w:val="00E0004A"/>
    <w:rsid w:val="00E340F2"/>
    <w:rsid w:val="00E35D73"/>
    <w:rsid w:val="00E4700B"/>
    <w:rsid w:val="00E63E7D"/>
    <w:rsid w:val="00E65EB8"/>
    <w:rsid w:val="00E917CF"/>
    <w:rsid w:val="00EA19B5"/>
    <w:rsid w:val="00EA5407"/>
    <w:rsid w:val="00EB701A"/>
    <w:rsid w:val="00EF363E"/>
    <w:rsid w:val="00F048B8"/>
    <w:rsid w:val="00F158CA"/>
    <w:rsid w:val="00F52C3B"/>
    <w:rsid w:val="00F66EA3"/>
    <w:rsid w:val="00FB316F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C5BA"/>
  <w15:chartTrackingRefBased/>
  <w15:docId w15:val="{AF5A17AA-7A00-4562-BADF-4F22B4E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C15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CE2F-6F58-47D8-B50E-0655F5B9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114</cp:revision>
  <dcterms:created xsi:type="dcterms:W3CDTF">2020-11-23T20:23:00Z</dcterms:created>
  <dcterms:modified xsi:type="dcterms:W3CDTF">2020-11-27T13:17:00Z</dcterms:modified>
</cp:coreProperties>
</file>