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DCF7" w14:textId="4017BBC4" w:rsidR="006443BB" w:rsidRDefault="00AE450C" w:rsidP="00AE450C">
      <w:pPr>
        <w:jc w:val="center"/>
        <w:rPr>
          <w:rFonts w:ascii="Georgia" w:hAnsi="Georgia"/>
          <w:sz w:val="24"/>
          <w:szCs w:val="24"/>
        </w:rPr>
      </w:pPr>
      <w:r>
        <w:rPr>
          <w:rFonts w:ascii="Georgia" w:hAnsi="Georgia"/>
          <w:sz w:val="24"/>
          <w:szCs w:val="24"/>
        </w:rPr>
        <w:t>UNITED STATES OF AMERICA</w:t>
      </w:r>
    </w:p>
    <w:p w14:paraId="698B15AF" w14:textId="50D53290" w:rsidR="00AE450C" w:rsidRDefault="00AE450C" w:rsidP="00AE450C">
      <w:pPr>
        <w:jc w:val="center"/>
        <w:rPr>
          <w:rFonts w:ascii="Georgia" w:hAnsi="Georgia"/>
          <w:sz w:val="24"/>
          <w:szCs w:val="24"/>
        </w:rPr>
      </w:pPr>
      <w:r>
        <w:rPr>
          <w:rFonts w:ascii="Georgia" w:hAnsi="Georgia"/>
          <w:sz w:val="24"/>
          <w:szCs w:val="24"/>
        </w:rPr>
        <w:t>BEFORE THE</w:t>
      </w:r>
    </w:p>
    <w:p w14:paraId="1E019AC7" w14:textId="509A3874" w:rsidR="00AE450C" w:rsidRDefault="00AE450C" w:rsidP="00AE450C">
      <w:pPr>
        <w:jc w:val="center"/>
        <w:rPr>
          <w:rFonts w:ascii="Georgia" w:hAnsi="Georgia"/>
          <w:sz w:val="24"/>
          <w:szCs w:val="24"/>
        </w:rPr>
      </w:pPr>
      <w:r>
        <w:rPr>
          <w:rFonts w:ascii="Georgia" w:hAnsi="Georgia"/>
          <w:sz w:val="24"/>
          <w:szCs w:val="24"/>
        </w:rPr>
        <w:t>FEDERAL ENERGY REGULATORY COMMISSION</w:t>
      </w:r>
    </w:p>
    <w:p w14:paraId="4774AB0F" w14:textId="61D32E05" w:rsidR="00AE450C" w:rsidRDefault="00AE450C">
      <w:pPr>
        <w:rPr>
          <w:rFonts w:ascii="Georgia" w:hAnsi="Georgia"/>
          <w:sz w:val="24"/>
          <w:szCs w:val="24"/>
        </w:rPr>
      </w:pPr>
    </w:p>
    <w:p w14:paraId="7D997245" w14:textId="2A6F2B1B" w:rsidR="00AE450C" w:rsidRDefault="00AE450C">
      <w:pPr>
        <w:rPr>
          <w:rFonts w:ascii="Georgia" w:hAnsi="Georgia"/>
          <w:sz w:val="24"/>
          <w:szCs w:val="24"/>
        </w:rPr>
      </w:pPr>
      <w:r w:rsidRPr="00AE450C">
        <w:rPr>
          <w:rFonts w:ascii="Georgia" w:hAnsi="Georgia"/>
          <w:sz w:val="24"/>
          <w:szCs w:val="24"/>
        </w:rPr>
        <w:t>Modernizing Electricity Market Design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Docket No. </w:t>
      </w:r>
      <w:r w:rsidRPr="00AE450C">
        <w:rPr>
          <w:rFonts w:ascii="Georgia" w:hAnsi="Georgia"/>
          <w:sz w:val="24"/>
          <w:szCs w:val="24"/>
        </w:rPr>
        <w:t>AD21-10</w:t>
      </w:r>
    </w:p>
    <w:p w14:paraId="05D576F1" w14:textId="69409DA4" w:rsidR="00AE450C" w:rsidRDefault="00AE450C">
      <w:pPr>
        <w:rPr>
          <w:rFonts w:ascii="Georgia" w:hAnsi="Georgia"/>
          <w:sz w:val="24"/>
          <w:szCs w:val="24"/>
        </w:rPr>
      </w:pPr>
    </w:p>
    <w:p w14:paraId="6EEC8F37" w14:textId="043F2DBD" w:rsidR="00AE450C" w:rsidRDefault="00AE450C">
      <w:pPr>
        <w:rPr>
          <w:rFonts w:ascii="Georgia" w:hAnsi="Georgia"/>
          <w:sz w:val="24"/>
          <w:szCs w:val="24"/>
        </w:rPr>
      </w:pPr>
    </w:p>
    <w:p w14:paraId="06CA6FC6" w14:textId="32335B90" w:rsidR="00AE450C" w:rsidRPr="00945FE4" w:rsidRDefault="00AE450C" w:rsidP="00945FE4">
      <w:pPr>
        <w:jc w:val="center"/>
        <w:rPr>
          <w:rFonts w:ascii="Georgia" w:hAnsi="Georgia"/>
          <w:b/>
          <w:bCs/>
          <w:sz w:val="24"/>
          <w:szCs w:val="24"/>
        </w:rPr>
      </w:pPr>
      <w:r w:rsidRPr="00945FE4">
        <w:rPr>
          <w:rFonts w:ascii="Georgia" w:hAnsi="Georgia"/>
          <w:b/>
          <w:bCs/>
          <w:sz w:val="24"/>
          <w:szCs w:val="24"/>
        </w:rPr>
        <w:t>Comments of Public Citizen, Inc.</w:t>
      </w:r>
    </w:p>
    <w:p w14:paraId="10559AF9" w14:textId="77777777" w:rsidR="00E96A5D" w:rsidRDefault="00E96A5D">
      <w:pPr>
        <w:rPr>
          <w:rFonts w:ascii="Georgia" w:hAnsi="Georgia"/>
          <w:sz w:val="24"/>
          <w:szCs w:val="24"/>
        </w:rPr>
      </w:pPr>
    </w:p>
    <w:p w14:paraId="5778C3AE" w14:textId="671109FC" w:rsidR="00E96A5D" w:rsidRDefault="00E96A5D" w:rsidP="00DA4419">
      <w:pPr>
        <w:spacing w:line="360" w:lineRule="auto"/>
        <w:ind w:firstLine="720"/>
        <w:rPr>
          <w:rFonts w:ascii="Georgia" w:hAnsi="Georgia"/>
          <w:sz w:val="24"/>
          <w:szCs w:val="24"/>
        </w:rPr>
      </w:pPr>
      <w:r w:rsidRPr="00E96A5D">
        <w:rPr>
          <w:rFonts w:ascii="Georgia" w:hAnsi="Georgia"/>
          <w:sz w:val="24"/>
          <w:szCs w:val="24"/>
        </w:rPr>
        <w:t>Established in 1971, Public Citizen is a national, not-for-profit, non-partisan, research and advocacy organization representing the interests of household consumers. Public Citizen is active before FERC promoting just and reasonable rates, and supporting efforts for utilities to be accountable to the public interest.</w:t>
      </w:r>
      <w:r w:rsidR="00DE00F4">
        <w:rPr>
          <w:rFonts w:ascii="Georgia" w:hAnsi="Georgia"/>
          <w:sz w:val="24"/>
          <w:szCs w:val="24"/>
        </w:rPr>
        <w:t xml:space="preserve"> Financial details about our funding and operations are available at our website.</w:t>
      </w:r>
      <w:r w:rsidR="009A63A2">
        <w:rPr>
          <w:rStyle w:val="FootnoteReference"/>
          <w:rFonts w:ascii="Georgia" w:hAnsi="Georgia"/>
          <w:sz w:val="24"/>
          <w:szCs w:val="24"/>
        </w:rPr>
        <w:footnoteReference w:id="1"/>
      </w:r>
    </w:p>
    <w:p w14:paraId="57C767F2" w14:textId="6D05284A" w:rsidR="00A400ED" w:rsidRDefault="00B9231B">
      <w:pPr>
        <w:rPr>
          <w:rFonts w:ascii="Georgia" w:hAnsi="Georgia"/>
          <w:sz w:val="24"/>
          <w:szCs w:val="24"/>
        </w:rPr>
      </w:pPr>
      <w:r>
        <w:rPr>
          <w:rFonts w:ascii="Georgia" w:hAnsi="Georgia"/>
          <w:sz w:val="24"/>
          <w:szCs w:val="24"/>
        </w:rPr>
        <w:tab/>
      </w:r>
    </w:p>
    <w:p w14:paraId="31A747B2" w14:textId="77777777" w:rsidR="00D01591" w:rsidRDefault="00B9231B" w:rsidP="00625F8D">
      <w:pPr>
        <w:spacing w:line="360" w:lineRule="auto"/>
        <w:rPr>
          <w:rFonts w:ascii="Georgia" w:hAnsi="Georgia"/>
          <w:sz w:val="24"/>
          <w:szCs w:val="24"/>
        </w:rPr>
      </w:pPr>
      <w:r>
        <w:rPr>
          <w:rFonts w:ascii="Georgia" w:hAnsi="Georgia"/>
          <w:sz w:val="24"/>
          <w:szCs w:val="24"/>
        </w:rPr>
        <w:tab/>
        <w:t>U.S. power markets are in the midst of disruptive change</w:t>
      </w:r>
      <w:r w:rsidR="00F51465">
        <w:rPr>
          <w:rFonts w:ascii="Georgia" w:hAnsi="Georgia"/>
          <w:sz w:val="24"/>
          <w:szCs w:val="24"/>
        </w:rPr>
        <w:t xml:space="preserve"> triggered </w:t>
      </w:r>
      <w:r w:rsidR="003A3AF3">
        <w:rPr>
          <w:rFonts w:ascii="Georgia" w:hAnsi="Georgia"/>
          <w:sz w:val="24"/>
          <w:szCs w:val="24"/>
        </w:rPr>
        <w:t>by technological</w:t>
      </w:r>
      <w:r w:rsidR="00654D54">
        <w:rPr>
          <w:rFonts w:ascii="Georgia" w:hAnsi="Georgia"/>
          <w:sz w:val="24"/>
          <w:szCs w:val="24"/>
        </w:rPr>
        <w:t xml:space="preserve"> revolutions. Large-scale wind and solar </w:t>
      </w:r>
      <w:r w:rsidR="00F13DE6">
        <w:rPr>
          <w:rFonts w:ascii="Georgia" w:hAnsi="Georgia"/>
          <w:sz w:val="24"/>
          <w:szCs w:val="24"/>
        </w:rPr>
        <w:t xml:space="preserve">are </w:t>
      </w:r>
      <w:r w:rsidR="004D3A07">
        <w:rPr>
          <w:rFonts w:ascii="Georgia" w:hAnsi="Georgia"/>
          <w:sz w:val="24"/>
          <w:szCs w:val="24"/>
        </w:rPr>
        <w:t xml:space="preserve">now </w:t>
      </w:r>
      <w:r w:rsidR="00F13DE6">
        <w:rPr>
          <w:rFonts w:ascii="Georgia" w:hAnsi="Georgia"/>
          <w:sz w:val="24"/>
          <w:szCs w:val="24"/>
        </w:rPr>
        <w:t>often the least-cost power option in our markets, and</w:t>
      </w:r>
      <w:r w:rsidR="00D74FAB">
        <w:rPr>
          <w:rFonts w:ascii="Georgia" w:hAnsi="Georgia"/>
          <w:sz w:val="24"/>
          <w:szCs w:val="24"/>
        </w:rPr>
        <w:t xml:space="preserve"> advancements in energy storage can successfully balance renewables’ variability.</w:t>
      </w:r>
      <w:r w:rsidR="00912121">
        <w:rPr>
          <w:rFonts w:ascii="Georgia" w:hAnsi="Georgia"/>
          <w:sz w:val="24"/>
          <w:szCs w:val="24"/>
        </w:rPr>
        <w:t xml:space="preserve"> </w:t>
      </w:r>
      <w:r w:rsidR="004F1B67">
        <w:rPr>
          <w:rFonts w:ascii="Georgia" w:hAnsi="Georgia"/>
          <w:sz w:val="24"/>
          <w:szCs w:val="24"/>
        </w:rPr>
        <w:t xml:space="preserve">These innovations </w:t>
      </w:r>
      <w:r w:rsidR="002A437E">
        <w:rPr>
          <w:rFonts w:ascii="Georgia" w:hAnsi="Georgia"/>
          <w:sz w:val="24"/>
          <w:szCs w:val="24"/>
        </w:rPr>
        <w:t>are</w:t>
      </w:r>
      <w:r w:rsidR="004F1B67" w:rsidRPr="004F1B67">
        <w:rPr>
          <w:rFonts w:ascii="Georgia" w:hAnsi="Georgia"/>
          <w:sz w:val="24"/>
          <w:szCs w:val="24"/>
        </w:rPr>
        <w:t xml:space="preserve"> the result of factors far outside the </w:t>
      </w:r>
      <w:r w:rsidR="00144117">
        <w:rPr>
          <w:rFonts w:ascii="Georgia" w:hAnsi="Georgia"/>
          <w:sz w:val="24"/>
          <w:szCs w:val="24"/>
        </w:rPr>
        <w:t>overly-</w:t>
      </w:r>
      <w:r w:rsidR="004F1B67" w:rsidRPr="004F1B67">
        <w:rPr>
          <w:rFonts w:ascii="Georgia" w:hAnsi="Georgia"/>
          <w:sz w:val="24"/>
          <w:szCs w:val="24"/>
        </w:rPr>
        <w:t>complex and ever</w:t>
      </w:r>
      <w:r w:rsidR="003709B5">
        <w:rPr>
          <w:rFonts w:ascii="Georgia" w:hAnsi="Georgia"/>
          <w:sz w:val="24"/>
          <w:szCs w:val="24"/>
        </w:rPr>
        <w:t>-</w:t>
      </w:r>
      <w:r w:rsidR="004F1B67" w:rsidRPr="004F1B67">
        <w:rPr>
          <w:rFonts w:ascii="Georgia" w:hAnsi="Georgia"/>
          <w:sz w:val="24"/>
          <w:szCs w:val="24"/>
        </w:rPr>
        <w:t>changing rules implemented by th</w:t>
      </w:r>
      <w:r w:rsidR="001454CF">
        <w:rPr>
          <w:rFonts w:ascii="Georgia" w:hAnsi="Georgia"/>
          <w:sz w:val="24"/>
          <w:szCs w:val="24"/>
        </w:rPr>
        <w:t>e</w:t>
      </w:r>
      <w:r w:rsidR="004F1B67" w:rsidRPr="004F1B67">
        <w:rPr>
          <w:rFonts w:ascii="Georgia" w:hAnsi="Georgia"/>
          <w:sz w:val="24"/>
          <w:szCs w:val="24"/>
        </w:rPr>
        <w:t xml:space="preserve"> Commission and the various</w:t>
      </w:r>
      <w:r w:rsidR="001F2305">
        <w:rPr>
          <w:rFonts w:ascii="Georgia" w:hAnsi="Georgia"/>
          <w:sz w:val="24"/>
          <w:szCs w:val="24"/>
        </w:rPr>
        <w:t xml:space="preserve"> </w:t>
      </w:r>
      <w:r w:rsidR="004F1B67" w:rsidRPr="004F1B67">
        <w:rPr>
          <w:rFonts w:ascii="Georgia" w:hAnsi="Georgia"/>
          <w:sz w:val="24"/>
          <w:szCs w:val="24"/>
        </w:rPr>
        <w:t>private Regional Transmission Organizations</w:t>
      </w:r>
      <w:r w:rsidR="001454CF">
        <w:rPr>
          <w:rFonts w:ascii="Georgia" w:hAnsi="Georgia"/>
          <w:sz w:val="24"/>
          <w:szCs w:val="24"/>
        </w:rPr>
        <w:t xml:space="preserve"> (RTOs)</w:t>
      </w:r>
      <w:r w:rsidR="001F2305">
        <w:rPr>
          <w:rFonts w:ascii="Georgia" w:hAnsi="Georgia"/>
          <w:sz w:val="24"/>
          <w:szCs w:val="24"/>
        </w:rPr>
        <w:t>: while market design can capture</w:t>
      </w:r>
      <w:r w:rsidR="00F4139B">
        <w:rPr>
          <w:rFonts w:ascii="Georgia" w:hAnsi="Georgia"/>
          <w:sz w:val="24"/>
          <w:szCs w:val="24"/>
        </w:rPr>
        <w:t xml:space="preserve"> the savings offered by clean technologies, the RTOs have played no role in creating or shaping these</w:t>
      </w:r>
      <w:r w:rsidR="00420CBD">
        <w:rPr>
          <w:rFonts w:ascii="Georgia" w:hAnsi="Georgia"/>
          <w:sz w:val="24"/>
          <w:szCs w:val="24"/>
        </w:rPr>
        <w:t xml:space="preserve"> efficiencies in renewable fuel generation.</w:t>
      </w:r>
      <w:r w:rsidR="004F1B67" w:rsidRPr="004F1B67">
        <w:rPr>
          <w:rFonts w:ascii="Georgia" w:hAnsi="Georgia"/>
          <w:sz w:val="24"/>
          <w:szCs w:val="24"/>
        </w:rPr>
        <w:t xml:space="preserve"> </w:t>
      </w:r>
      <w:r w:rsidR="00D01591">
        <w:rPr>
          <w:rFonts w:ascii="Georgia" w:hAnsi="Georgia"/>
          <w:sz w:val="24"/>
          <w:szCs w:val="24"/>
        </w:rPr>
        <w:t>G</w:t>
      </w:r>
      <w:r w:rsidR="00D01591" w:rsidRPr="004F1B67">
        <w:rPr>
          <w:rFonts w:ascii="Georgia" w:hAnsi="Georgia"/>
          <w:sz w:val="24"/>
          <w:szCs w:val="24"/>
        </w:rPr>
        <w:t xml:space="preserve">rowth of renewables </w:t>
      </w:r>
      <w:r w:rsidR="00D01591">
        <w:rPr>
          <w:rFonts w:ascii="Georgia" w:hAnsi="Georgia"/>
          <w:sz w:val="24"/>
          <w:szCs w:val="24"/>
        </w:rPr>
        <w:t xml:space="preserve">is attributable to: </w:t>
      </w:r>
      <w:r w:rsidR="00D01591" w:rsidRPr="004F1B67">
        <w:rPr>
          <w:rFonts w:ascii="Georgia" w:hAnsi="Georgia"/>
          <w:sz w:val="24"/>
          <w:szCs w:val="24"/>
        </w:rPr>
        <w:t>twenty years of state</w:t>
      </w:r>
      <w:r w:rsidR="00D01591">
        <w:rPr>
          <w:rFonts w:ascii="Georgia" w:hAnsi="Georgia"/>
          <w:sz w:val="24"/>
          <w:szCs w:val="24"/>
        </w:rPr>
        <w:t xml:space="preserve"> </w:t>
      </w:r>
      <w:r w:rsidR="00D01591" w:rsidRPr="004F1B67">
        <w:rPr>
          <w:rFonts w:ascii="Georgia" w:hAnsi="Georgia"/>
          <w:sz w:val="24"/>
          <w:szCs w:val="24"/>
        </w:rPr>
        <w:t>renewable mandates;</w:t>
      </w:r>
      <w:r w:rsidR="00D01591">
        <w:rPr>
          <w:rStyle w:val="FootnoteReference"/>
          <w:rFonts w:ascii="Georgia" w:hAnsi="Georgia"/>
          <w:sz w:val="24"/>
          <w:szCs w:val="24"/>
        </w:rPr>
        <w:footnoteReference w:id="2"/>
      </w:r>
      <w:r w:rsidR="00D01591" w:rsidRPr="004F1B67">
        <w:rPr>
          <w:rFonts w:ascii="Georgia" w:hAnsi="Georgia"/>
          <w:sz w:val="24"/>
          <w:szCs w:val="24"/>
        </w:rPr>
        <w:t xml:space="preserve"> corporate procurement</w:t>
      </w:r>
      <w:r w:rsidR="00D01591">
        <w:rPr>
          <w:rFonts w:ascii="Georgia" w:hAnsi="Georgia"/>
          <w:sz w:val="24"/>
          <w:szCs w:val="24"/>
        </w:rPr>
        <w:t>;</w:t>
      </w:r>
      <w:r w:rsidR="00D01591">
        <w:rPr>
          <w:rStyle w:val="FootnoteReference"/>
          <w:rFonts w:ascii="Georgia" w:hAnsi="Georgia"/>
          <w:sz w:val="24"/>
          <w:szCs w:val="24"/>
        </w:rPr>
        <w:footnoteReference w:id="3"/>
      </w:r>
      <w:r w:rsidR="00D01591">
        <w:rPr>
          <w:rFonts w:ascii="Georgia" w:hAnsi="Georgia"/>
          <w:sz w:val="24"/>
          <w:szCs w:val="24"/>
        </w:rPr>
        <w:t xml:space="preserve"> </w:t>
      </w:r>
      <w:r w:rsidR="00D01591" w:rsidRPr="004F1B67">
        <w:rPr>
          <w:rFonts w:ascii="Georgia" w:hAnsi="Georgia"/>
          <w:sz w:val="24"/>
          <w:szCs w:val="24"/>
        </w:rPr>
        <w:t>retail-level distributed generation incentives</w:t>
      </w:r>
      <w:r w:rsidR="00D01591">
        <w:rPr>
          <w:rFonts w:ascii="Georgia" w:hAnsi="Georgia"/>
          <w:sz w:val="24"/>
          <w:szCs w:val="24"/>
        </w:rPr>
        <w:t>; and federal tax policy</w:t>
      </w:r>
      <w:r w:rsidR="00D01591" w:rsidRPr="004F1B67">
        <w:rPr>
          <w:rFonts w:ascii="Georgia" w:hAnsi="Georgia"/>
          <w:sz w:val="24"/>
          <w:szCs w:val="24"/>
        </w:rPr>
        <w:t xml:space="preserve">. These </w:t>
      </w:r>
      <w:r w:rsidR="00D01591">
        <w:rPr>
          <w:rFonts w:ascii="Georgia" w:hAnsi="Georgia"/>
          <w:sz w:val="24"/>
          <w:szCs w:val="24"/>
        </w:rPr>
        <w:t>four</w:t>
      </w:r>
      <w:r w:rsidR="00D01591" w:rsidRPr="004F1B67">
        <w:rPr>
          <w:rFonts w:ascii="Georgia" w:hAnsi="Georgia"/>
          <w:sz w:val="24"/>
          <w:szCs w:val="24"/>
        </w:rPr>
        <w:t xml:space="preserve"> influences provided the</w:t>
      </w:r>
      <w:r w:rsidR="00D01591">
        <w:rPr>
          <w:rFonts w:ascii="Georgia" w:hAnsi="Georgia"/>
          <w:sz w:val="24"/>
          <w:szCs w:val="24"/>
        </w:rPr>
        <w:t xml:space="preserve"> </w:t>
      </w:r>
      <w:r w:rsidR="00D01591" w:rsidRPr="004F1B67">
        <w:rPr>
          <w:rFonts w:ascii="Georgia" w:hAnsi="Georgia"/>
          <w:sz w:val="24"/>
          <w:szCs w:val="24"/>
        </w:rPr>
        <w:t>platform for renewable energy gaining a market foothold</w:t>
      </w:r>
      <w:r w:rsidR="00D01591">
        <w:rPr>
          <w:rFonts w:ascii="Georgia" w:hAnsi="Georgia"/>
          <w:sz w:val="24"/>
          <w:szCs w:val="24"/>
        </w:rPr>
        <w:t>.</w:t>
      </w:r>
    </w:p>
    <w:p w14:paraId="05C92141" w14:textId="75E72C52" w:rsidR="007B3978" w:rsidRDefault="003709B5" w:rsidP="00966B96">
      <w:pPr>
        <w:spacing w:line="360" w:lineRule="auto"/>
        <w:ind w:firstLine="720"/>
        <w:rPr>
          <w:rFonts w:ascii="Georgia" w:hAnsi="Georgia"/>
          <w:sz w:val="24"/>
          <w:szCs w:val="24"/>
        </w:rPr>
      </w:pPr>
      <w:r>
        <w:rPr>
          <w:rFonts w:ascii="Georgia" w:hAnsi="Georgia"/>
          <w:sz w:val="24"/>
          <w:szCs w:val="24"/>
        </w:rPr>
        <w:t>Just as RTO</w:t>
      </w:r>
      <w:r w:rsidR="00071C99">
        <w:rPr>
          <w:rFonts w:ascii="Georgia" w:hAnsi="Georgia"/>
          <w:sz w:val="24"/>
          <w:szCs w:val="24"/>
        </w:rPr>
        <w:t xml:space="preserve"> market design </w:t>
      </w:r>
      <w:r w:rsidR="00AC1530">
        <w:rPr>
          <w:rFonts w:ascii="Georgia" w:hAnsi="Georgia"/>
          <w:sz w:val="24"/>
          <w:szCs w:val="24"/>
        </w:rPr>
        <w:t>strained to offer efficient pricing prior to the post-2007 natural gas fracking boom</w:t>
      </w:r>
      <w:r w:rsidR="0087146A">
        <w:rPr>
          <w:rFonts w:ascii="Georgia" w:hAnsi="Georgia"/>
          <w:sz w:val="24"/>
          <w:szCs w:val="24"/>
        </w:rPr>
        <w:t xml:space="preserve"> (expensive gas set punishing high marginal prices</w:t>
      </w:r>
      <w:r w:rsidR="00E534A1">
        <w:rPr>
          <w:rFonts w:ascii="Georgia" w:hAnsi="Georgia"/>
          <w:sz w:val="24"/>
          <w:szCs w:val="24"/>
        </w:rPr>
        <w:t>, crippling consumers</w:t>
      </w:r>
      <w:r w:rsidR="0087146A">
        <w:rPr>
          <w:rFonts w:ascii="Georgia" w:hAnsi="Georgia"/>
          <w:sz w:val="24"/>
          <w:szCs w:val="24"/>
        </w:rPr>
        <w:t>)</w:t>
      </w:r>
      <w:r w:rsidR="0022350D">
        <w:rPr>
          <w:rFonts w:ascii="Georgia" w:hAnsi="Georgia"/>
          <w:sz w:val="24"/>
          <w:szCs w:val="24"/>
        </w:rPr>
        <w:t xml:space="preserve">, the incumbent-industry-dominated RTO stakeholder process has </w:t>
      </w:r>
      <w:r w:rsidR="0022350D">
        <w:rPr>
          <w:rFonts w:ascii="Georgia" w:hAnsi="Georgia"/>
          <w:sz w:val="24"/>
          <w:szCs w:val="24"/>
        </w:rPr>
        <w:lastRenderedPageBreak/>
        <w:t xml:space="preserve">increasingly </w:t>
      </w:r>
      <w:r w:rsidR="00157F8E">
        <w:rPr>
          <w:rFonts w:ascii="Georgia" w:hAnsi="Georgia"/>
          <w:sz w:val="24"/>
          <w:szCs w:val="24"/>
        </w:rPr>
        <w:t>promoted changes</w:t>
      </w:r>
      <w:r w:rsidR="00B02BAE">
        <w:rPr>
          <w:rFonts w:ascii="Georgia" w:hAnsi="Georgia"/>
          <w:sz w:val="24"/>
          <w:szCs w:val="24"/>
        </w:rPr>
        <w:t xml:space="preserve"> </w:t>
      </w:r>
      <w:r w:rsidR="00B02BAE">
        <w:rPr>
          <w:rFonts w:ascii="Georgia" w:hAnsi="Georgia"/>
          <w:sz w:val="24"/>
          <w:szCs w:val="24"/>
        </w:rPr>
        <w:t>(through MOPR, CASPR, etc)</w:t>
      </w:r>
      <w:r w:rsidR="0022350D">
        <w:rPr>
          <w:rFonts w:ascii="Georgia" w:hAnsi="Georgia"/>
          <w:sz w:val="24"/>
          <w:szCs w:val="24"/>
        </w:rPr>
        <w:t xml:space="preserve"> to impede</w:t>
      </w:r>
      <w:r w:rsidR="00E534A1">
        <w:rPr>
          <w:rFonts w:ascii="Georgia" w:hAnsi="Georgia"/>
          <w:sz w:val="24"/>
          <w:szCs w:val="24"/>
        </w:rPr>
        <w:t>, rather than facilitate, renewable energy integration.</w:t>
      </w:r>
      <w:r w:rsidR="00B02BAE">
        <w:rPr>
          <w:rFonts w:ascii="Georgia" w:hAnsi="Georgia"/>
          <w:sz w:val="24"/>
          <w:szCs w:val="24"/>
        </w:rPr>
        <w:t xml:space="preserve"> </w:t>
      </w:r>
    </w:p>
    <w:p w14:paraId="4613DDA3" w14:textId="194D09D9" w:rsidR="00B9231B" w:rsidRDefault="004F1B67" w:rsidP="00966B96">
      <w:pPr>
        <w:spacing w:line="360" w:lineRule="auto"/>
        <w:ind w:firstLine="720"/>
        <w:rPr>
          <w:rFonts w:ascii="Georgia" w:hAnsi="Georgia"/>
          <w:sz w:val="24"/>
          <w:szCs w:val="24"/>
        </w:rPr>
      </w:pPr>
      <w:r w:rsidRPr="00413F3D">
        <w:rPr>
          <w:rFonts w:ascii="Georgia" w:hAnsi="Georgia"/>
          <w:sz w:val="24"/>
          <w:szCs w:val="24"/>
          <w:u w:val="single"/>
        </w:rPr>
        <w:t>To be clear: consumers benefit from a transition to renewable</w:t>
      </w:r>
      <w:r w:rsidR="00186807" w:rsidRPr="00413F3D">
        <w:rPr>
          <w:rFonts w:ascii="Georgia" w:hAnsi="Georgia"/>
          <w:sz w:val="24"/>
          <w:szCs w:val="24"/>
          <w:u w:val="single"/>
        </w:rPr>
        <w:t xml:space="preserve"> </w:t>
      </w:r>
      <w:r w:rsidRPr="00413F3D">
        <w:rPr>
          <w:rFonts w:ascii="Georgia" w:hAnsi="Georgia"/>
          <w:sz w:val="24"/>
          <w:szCs w:val="24"/>
          <w:u w:val="single"/>
        </w:rPr>
        <w:t>generation when that resource is low-cost and when those low costs are reflected in retail</w:t>
      </w:r>
      <w:r w:rsidR="00186807" w:rsidRPr="00413F3D">
        <w:rPr>
          <w:rFonts w:ascii="Georgia" w:hAnsi="Georgia"/>
          <w:sz w:val="24"/>
          <w:szCs w:val="24"/>
          <w:u w:val="single"/>
        </w:rPr>
        <w:t xml:space="preserve"> </w:t>
      </w:r>
      <w:r w:rsidRPr="00413F3D">
        <w:rPr>
          <w:rFonts w:ascii="Georgia" w:hAnsi="Georgia"/>
          <w:sz w:val="24"/>
          <w:szCs w:val="24"/>
          <w:u w:val="single"/>
        </w:rPr>
        <w:t>rates</w:t>
      </w:r>
      <w:r w:rsidRPr="004F1B67">
        <w:rPr>
          <w:rFonts w:ascii="Georgia" w:hAnsi="Georgia"/>
          <w:sz w:val="24"/>
          <w:szCs w:val="24"/>
        </w:rPr>
        <w:t>.</w:t>
      </w:r>
      <w:r w:rsidR="007B3978">
        <w:rPr>
          <w:rFonts w:ascii="Georgia" w:hAnsi="Georgia"/>
          <w:sz w:val="24"/>
          <w:szCs w:val="24"/>
        </w:rPr>
        <w:t xml:space="preserve"> </w:t>
      </w:r>
      <w:r w:rsidR="00697FEB">
        <w:rPr>
          <w:rFonts w:ascii="Georgia" w:hAnsi="Georgia"/>
          <w:sz w:val="24"/>
          <w:szCs w:val="24"/>
        </w:rPr>
        <w:t>T</w:t>
      </w:r>
      <w:r w:rsidR="007B3978">
        <w:rPr>
          <w:rFonts w:ascii="Georgia" w:hAnsi="Georgia"/>
          <w:sz w:val="24"/>
          <w:szCs w:val="24"/>
        </w:rPr>
        <w:t>hese disruptive changes</w:t>
      </w:r>
      <w:r w:rsidR="009B6BBE">
        <w:rPr>
          <w:rFonts w:ascii="Georgia" w:hAnsi="Georgia"/>
          <w:sz w:val="24"/>
          <w:szCs w:val="24"/>
        </w:rPr>
        <w:t xml:space="preserve"> introduce challenges that </w:t>
      </w:r>
      <w:r w:rsidR="0073630E">
        <w:rPr>
          <w:rFonts w:ascii="Georgia" w:hAnsi="Georgia"/>
          <w:sz w:val="24"/>
          <w:szCs w:val="24"/>
        </w:rPr>
        <w:t>can</w:t>
      </w:r>
      <w:r w:rsidR="009B6BBE">
        <w:rPr>
          <w:rFonts w:ascii="Georgia" w:hAnsi="Georgia"/>
          <w:sz w:val="24"/>
          <w:szCs w:val="24"/>
        </w:rPr>
        <w:t xml:space="preserve"> be</w:t>
      </w:r>
      <w:r w:rsidR="002E0BB0">
        <w:rPr>
          <w:rFonts w:ascii="Georgia" w:hAnsi="Georgia"/>
          <w:sz w:val="24"/>
          <w:szCs w:val="24"/>
        </w:rPr>
        <w:t xml:space="preserve"> </w:t>
      </w:r>
      <w:r w:rsidR="0073630E">
        <w:rPr>
          <w:rFonts w:ascii="Georgia" w:hAnsi="Georgia"/>
          <w:sz w:val="24"/>
          <w:szCs w:val="24"/>
        </w:rPr>
        <w:t xml:space="preserve">successfully </w:t>
      </w:r>
      <w:r w:rsidR="002E0BB0">
        <w:rPr>
          <w:rFonts w:ascii="Georgia" w:hAnsi="Georgia"/>
          <w:sz w:val="24"/>
          <w:szCs w:val="24"/>
        </w:rPr>
        <w:t>mitigated with Commission action.</w:t>
      </w:r>
      <w:r w:rsidR="00372A0E">
        <w:rPr>
          <w:rFonts w:ascii="Georgia" w:hAnsi="Georgia"/>
          <w:sz w:val="24"/>
          <w:szCs w:val="24"/>
        </w:rPr>
        <w:t xml:space="preserve"> </w:t>
      </w:r>
    </w:p>
    <w:p w14:paraId="4619C0A9" w14:textId="77777777" w:rsidR="002E0BB0" w:rsidRDefault="002E0BB0" w:rsidP="002E0BB0">
      <w:pPr>
        <w:rPr>
          <w:rFonts w:ascii="Georgia" w:hAnsi="Georgia"/>
          <w:sz w:val="24"/>
          <w:szCs w:val="24"/>
        </w:rPr>
      </w:pPr>
    </w:p>
    <w:p w14:paraId="39A50351" w14:textId="5D115D46" w:rsidR="002E0BB0" w:rsidRPr="00AD70C0" w:rsidRDefault="003D71EA" w:rsidP="00633CBA">
      <w:pPr>
        <w:jc w:val="center"/>
        <w:rPr>
          <w:rFonts w:ascii="Georgia" w:hAnsi="Georgia"/>
          <w:b/>
          <w:bCs/>
          <w:sz w:val="24"/>
          <w:szCs w:val="24"/>
        </w:rPr>
      </w:pPr>
      <w:r>
        <w:rPr>
          <w:rFonts w:ascii="Georgia" w:hAnsi="Georgia"/>
          <w:b/>
          <w:bCs/>
          <w:sz w:val="24"/>
          <w:szCs w:val="24"/>
        </w:rPr>
        <w:t>Disruptive Transitions Can Increase</w:t>
      </w:r>
      <w:r w:rsidR="005929F1" w:rsidRPr="00AD70C0">
        <w:rPr>
          <w:rFonts w:ascii="Georgia" w:hAnsi="Georgia"/>
          <w:b/>
          <w:bCs/>
          <w:sz w:val="24"/>
          <w:szCs w:val="24"/>
        </w:rPr>
        <w:t xml:space="preserve"> </w:t>
      </w:r>
      <w:r w:rsidR="00654C22" w:rsidRPr="00AD70C0">
        <w:rPr>
          <w:rFonts w:ascii="Georgia" w:hAnsi="Georgia"/>
          <w:b/>
          <w:bCs/>
          <w:sz w:val="24"/>
          <w:szCs w:val="24"/>
        </w:rPr>
        <w:t>Pricing Volatility</w:t>
      </w:r>
    </w:p>
    <w:p w14:paraId="47EA4876" w14:textId="01EAB3B5" w:rsidR="00AD70C0" w:rsidRDefault="00AD70C0" w:rsidP="002E0BB0">
      <w:pPr>
        <w:rPr>
          <w:rFonts w:ascii="Georgia" w:hAnsi="Georgia"/>
          <w:sz w:val="24"/>
          <w:szCs w:val="24"/>
        </w:rPr>
      </w:pPr>
      <w:r>
        <w:rPr>
          <w:rFonts w:ascii="Georgia" w:hAnsi="Georgia"/>
          <w:sz w:val="24"/>
          <w:szCs w:val="24"/>
        </w:rPr>
        <w:tab/>
      </w:r>
    </w:p>
    <w:p w14:paraId="57B5B23F" w14:textId="77777777" w:rsidR="00AC23F5" w:rsidRDefault="00AD70C0" w:rsidP="00966B96">
      <w:pPr>
        <w:spacing w:line="360" w:lineRule="auto"/>
        <w:rPr>
          <w:rFonts w:ascii="Georgia" w:hAnsi="Georgia"/>
          <w:sz w:val="24"/>
          <w:szCs w:val="24"/>
        </w:rPr>
      </w:pPr>
      <w:r>
        <w:rPr>
          <w:rFonts w:ascii="Georgia" w:hAnsi="Georgia"/>
          <w:sz w:val="24"/>
          <w:szCs w:val="24"/>
        </w:rPr>
        <w:tab/>
      </w:r>
      <w:r w:rsidR="00333143">
        <w:rPr>
          <w:rFonts w:ascii="Georgia" w:hAnsi="Georgia"/>
          <w:sz w:val="24"/>
          <w:szCs w:val="24"/>
        </w:rPr>
        <w:t xml:space="preserve">Wind and solar provide tremendous benefits for consumers and the climate, and policy should continue to support efforts to </w:t>
      </w:r>
      <w:r w:rsidR="00A26D5C">
        <w:rPr>
          <w:rFonts w:ascii="Georgia" w:hAnsi="Georgia"/>
          <w:sz w:val="24"/>
          <w:szCs w:val="24"/>
        </w:rPr>
        <w:t xml:space="preserve">deploy these </w:t>
      </w:r>
      <w:r w:rsidR="00633CBA">
        <w:rPr>
          <w:rFonts w:ascii="Georgia" w:hAnsi="Georgia"/>
          <w:sz w:val="24"/>
          <w:szCs w:val="24"/>
        </w:rPr>
        <w:t xml:space="preserve">advantageous </w:t>
      </w:r>
      <w:r w:rsidR="00A26D5C">
        <w:rPr>
          <w:rFonts w:ascii="Georgia" w:hAnsi="Georgia"/>
          <w:sz w:val="24"/>
          <w:szCs w:val="24"/>
        </w:rPr>
        <w:t xml:space="preserve">technologies. </w:t>
      </w:r>
      <w:r w:rsidR="00390A38">
        <w:rPr>
          <w:rFonts w:ascii="Georgia" w:hAnsi="Georgia"/>
          <w:sz w:val="24"/>
          <w:szCs w:val="24"/>
        </w:rPr>
        <w:t>But the variability of wind and solar</w:t>
      </w:r>
      <w:r w:rsidR="00315482">
        <w:rPr>
          <w:rFonts w:ascii="Georgia" w:hAnsi="Georgia"/>
          <w:sz w:val="24"/>
          <w:szCs w:val="24"/>
        </w:rPr>
        <w:t xml:space="preserve"> </w:t>
      </w:r>
      <w:r w:rsidR="00315482" w:rsidRPr="00315482">
        <w:rPr>
          <w:rFonts w:ascii="Georgia" w:hAnsi="Georgia"/>
          <w:sz w:val="24"/>
          <w:szCs w:val="24"/>
        </w:rPr>
        <w:t xml:space="preserve">create forecast error deviations between spot, intraday and day-ahead prices, resulting in high induced price </w:t>
      </w:r>
      <w:r w:rsidR="00315482" w:rsidRPr="00315482">
        <w:rPr>
          <w:rFonts w:ascii="Georgia" w:hAnsi="Georgia"/>
          <w:sz w:val="24"/>
          <w:szCs w:val="24"/>
        </w:rPr>
        <w:t>volatility</w:t>
      </w:r>
      <w:r w:rsidR="00315482" w:rsidRPr="00315482">
        <w:rPr>
          <w:rFonts w:ascii="Georgia" w:hAnsi="Georgia"/>
          <w:sz w:val="24"/>
          <w:szCs w:val="24"/>
        </w:rPr>
        <w:t>.</w:t>
      </w:r>
      <w:r w:rsidR="000B001C">
        <w:rPr>
          <w:rFonts w:ascii="Georgia" w:hAnsi="Georgia"/>
          <w:sz w:val="24"/>
          <w:szCs w:val="24"/>
        </w:rPr>
        <w:t xml:space="preserve"> </w:t>
      </w:r>
      <w:r w:rsidR="00196590">
        <w:rPr>
          <w:rFonts w:ascii="Georgia" w:hAnsi="Georgia"/>
          <w:sz w:val="24"/>
          <w:szCs w:val="24"/>
        </w:rPr>
        <w:t>In addition, i</w:t>
      </w:r>
      <w:r w:rsidR="00196590" w:rsidRPr="00196590">
        <w:rPr>
          <w:rFonts w:ascii="Georgia" w:hAnsi="Georgia"/>
          <w:sz w:val="24"/>
          <w:szCs w:val="24"/>
        </w:rPr>
        <w:t>nformation asymmetry between futures and spot market</w:t>
      </w:r>
      <w:r w:rsidR="00F92C23">
        <w:rPr>
          <w:rFonts w:ascii="Georgia" w:hAnsi="Georgia"/>
          <w:sz w:val="24"/>
          <w:szCs w:val="24"/>
        </w:rPr>
        <w:t>s</w:t>
      </w:r>
      <w:r w:rsidR="00196590" w:rsidRPr="00196590">
        <w:rPr>
          <w:rFonts w:ascii="Georgia" w:hAnsi="Georgia"/>
          <w:sz w:val="24"/>
          <w:szCs w:val="24"/>
        </w:rPr>
        <w:t xml:space="preserve"> </w:t>
      </w:r>
      <w:r w:rsidR="002033D5">
        <w:rPr>
          <w:rFonts w:ascii="Georgia" w:hAnsi="Georgia"/>
          <w:sz w:val="24"/>
          <w:szCs w:val="24"/>
        </w:rPr>
        <w:t xml:space="preserve">contribute further to </w:t>
      </w:r>
      <w:r w:rsidR="00196590" w:rsidRPr="00196590">
        <w:rPr>
          <w:rFonts w:ascii="Georgia" w:hAnsi="Georgia"/>
          <w:sz w:val="24"/>
          <w:szCs w:val="24"/>
        </w:rPr>
        <w:t>volatility</w:t>
      </w:r>
      <w:r w:rsidR="002033D5">
        <w:rPr>
          <w:rFonts w:ascii="Georgia" w:hAnsi="Georgia"/>
          <w:sz w:val="24"/>
          <w:szCs w:val="24"/>
        </w:rPr>
        <w:t xml:space="preserve">, necessitating closer </w:t>
      </w:r>
      <w:r w:rsidR="00C5551C">
        <w:rPr>
          <w:rFonts w:ascii="Georgia" w:hAnsi="Georgia"/>
          <w:sz w:val="24"/>
          <w:szCs w:val="24"/>
        </w:rPr>
        <w:t>coordination</w:t>
      </w:r>
      <w:r w:rsidR="002033D5">
        <w:rPr>
          <w:rFonts w:ascii="Georgia" w:hAnsi="Georgia"/>
          <w:sz w:val="24"/>
          <w:szCs w:val="24"/>
        </w:rPr>
        <w:t xml:space="preserve"> between</w:t>
      </w:r>
      <w:r w:rsidR="002B5557">
        <w:rPr>
          <w:rFonts w:ascii="Georgia" w:hAnsi="Georgia"/>
          <w:sz w:val="24"/>
          <w:szCs w:val="24"/>
        </w:rPr>
        <w:t xml:space="preserve"> the U.S. Commodity Futures Trading Commission and FERC. </w:t>
      </w:r>
      <w:r w:rsidR="000B001C" w:rsidRPr="000B001C">
        <w:rPr>
          <w:rFonts w:ascii="Georgia" w:hAnsi="Georgia"/>
          <w:sz w:val="24"/>
          <w:szCs w:val="24"/>
        </w:rPr>
        <w:t xml:space="preserve">Forecast deviation errors become more pronounced during </w:t>
      </w:r>
      <w:r w:rsidR="00FE1A19" w:rsidRPr="000B001C">
        <w:rPr>
          <w:rFonts w:ascii="Georgia" w:hAnsi="Georgia"/>
          <w:sz w:val="24"/>
          <w:szCs w:val="24"/>
        </w:rPr>
        <w:t>extreme weather</w:t>
      </w:r>
      <w:r w:rsidR="000B001C" w:rsidRPr="000B001C">
        <w:rPr>
          <w:rFonts w:ascii="Georgia" w:hAnsi="Georgia"/>
          <w:sz w:val="24"/>
          <w:szCs w:val="24"/>
        </w:rPr>
        <w:t xml:space="preserve"> events.</w:t>
      </w:r>
      <w:r w:rsidR="00B31597">
        <w:rPr>
          <w:rFonts w:ascii="Georgia" w:hAnsi="Georgia"/>
          <w:sz w:val="24"/>
          <w:szCs w:val="24"/>
        </w:rPr>
        <w:t xml:space="preserve"> </w:t>
      </w:r>
      <w:r w:rsidR="00B31597" w:rsidRPr="00B31597">
        <w:rPr>
          <w:rFonts w:ascii="Georgia" w:hAnsi="Georgia"/>
          <w:sz w:val="24"/>
          <w:szCs w:val="24"/>
        </w:rPr>
        <w:t>In select U.S. markets featuring high levels of non-dispatchable renewable penetration, periods of negative pricing result</w:t>
      </w:r>
      <w:r w:rsidR="00B31597">
        <w:rPr>
          <w:rFonts w:ascii="Georgia" w:hAnsi="Georgia"/>
          <w:sz w:val="24"/>
          <w:szCs w:val="24"/>
        </w:rPr>
        <w:t>, further exacerbating price volatility.</w:t>
      </w:r>
      <w:r w:rsidR="00CF6CD9" w:rsidRPr="00CF6CD9">
        <w:t xml:space="preserve"> </w:t>
      </w:r>
      <w:r w:rsidR="00280AB4">
        <w:rPr>
          <w:rFonts w:ascii="Georgia" w:hAnsi="Georgia"/>
          <w:sz w:val="24"/>
          <w:szCs w:val="24"/>
        </w:rPr>
        <w:t xml:space="preserve">Indeed, </w:t>
      </w:r>
      <w:r w:rsidR="00965CAD">
        <w:rPr>
          <w:rFonts w:ascii="Georgia" w:hAnsi="Georgia"/>
          <w:sz w:val="24"/>
          <w:szCs w:val="24"/>
        </w:rPr>
        <w:t>p</w:t>
      </w:r>
      <w:r w:rsidR="00280AB4" w:rsidRPr="00280AB4">
        <w:rPr>
          <w:rFonts w:ascii="Georgia" w:hAnsi="Georgia"/>
          <w:sz w:val="24"/>
          <w:szCs w:val="24"/>
        </w:rPr>
        <w:t xml:space="preserve">rice </w:t>
      </w:r>
      <w:r w:rsidR="00965CAD" w:rsidRPr="00280AB4">
        <w:rPr>
          <w:rFonts w:ascii="Georgia" w:hAnsi="Georgia"/>
          <w:sz w:val="24"/>
          <w:szCs w:val="24"/>
        </w:rPr>
        <w:t>cannibalization</w:t>
      </w:r>
      <w:r w:rsidR="00280AB4" w:rsidRPr="00280AB4">
        <w:rPr>
          <w:rFonts w:ascii="Georgia" w:hAnsi="Georgia"/>
          <w:sz w:val="24"/>
          <w:szCs w:val="24"/>
        </w:rPr>
        <w:t xml:space="preserve"> is a feature </w:t>
      </w:r>
      <w:r w:rsidR="00965CAD">
        <w:rPr>
          <w:rFonts w:ascii="Georgia" w:hAnsi="Georgia"/>
          <w:sz w:val="24"/>
          <w:szCs w:val="24"/>
        </w:rPr>
        <w:t xml:space="preserve">of very </w:t>
      </w:r>
      <w:r w:rsidR="00280AB4" w:rsidRPr="00280AB4">
        <w:rPr>
          <w:rFonts w:ascii="Georgia" w:hAnsi="Georgia"/>
          <w:sz w:val="24"/>
          <w:szCs w:val="24"/>
        </w:rPr>
        <w:t xml:space="preserve">high renewable penetration, limiting the effectiveness of energy </w:t>
      </w:r>
      <w:r w:rsidR="00305E2B">
        <w:rPr>
          <w:rFonts w:ascii="Georgia" w:hAnsi="Georgia"/>
          <w:sz w:val="24"/>
          <w:szCs w:val="24"/>
        </w:rPr>
        <w:t>prices to deliver necessary incentives.</w:t>
      </w:r>
      <w:r w:rsidR="00280AB4" w:rsidRPr="00280AB4">
        <w:rPr>
          <w:rFonts w:ascii="Georgia" w:hAnsi="Georgia"/>
          <w:sz w:val="24"/>
          <w:szCs w:val="24"/>
        </w:rPr>
        <w:t xml:space="preserve"> </w:t>
      </w:r>
    </w:p>
    <w:p w14:paraId="369A779E" w14:textId="1E2A4C16" w:rsidR="00AD70C0" w:rsidRDefault="00CF6CD9" w:rsidP="00AC23F5">
      <w:pPr>
        <w:spacing w:line="360" w:lineRule="auto"/>
        <w:ind w:firstLine="720"/>
        <w:rPr>
          <w:rFonts w:ascii="Georgia" w:hAnsi="Georgia"/>
          <w:sz w:val="24"/>
          <w:szCs w:val="24"/>
        </w:rPr>
      </w:pPr>
      <w:r w:rsidRPr="00CF6CD9">
        <w:rPr>
          <w:rFonts w:ascii="Georgia" w:hAnsi="Georgia"/>
          <w:sz w:val="24"/>
          <w:szCs w:val="24"/>
        </w:rPr>
        <w:t xml:space="preserve">Enhanced levels of publicly-available, real-time </w:t>
      </w:r>
      <w:r>
        <w:rPr>
          <w:rFonts w:ascii="Georgia" w:hAnsi="Georgia"/>
          <w:sz w:val="24"/>
          <w:szCs w:val="24"/>
        </w:rPr>
        <w:t>operational data—including</w:t>
      </w:r>
      <w:r w:rsidRPr="00CF6CD9">
        <w:rPr>
          <w:rFonts w:ascii="Georgia" w:hAnsi="Georgia"/>
          <w:sz w:val="24"/>
          <w:szCs w:val="24"/>
        </w:rPr>
        <w:t xml:space="preserve"> electricity production, </w:t>
      </w:r>
      <w:r w:rsidR="007B6255" w:rsidRPr="00CF6CD9">
        <w:rPr>
          <w:rFonts w:ascii="Georgia" w:hAnsi="Georgia"/>
          <w:sz w:val="24"/>
          <w:szCs w:val="24"/>
        </w:rPr>
        <w:t>indep</w:t>
      </w:r>
      <w:r w:rsidR="007B6255">
        <w:rPr>
          <w:rFonts w:ascii="Georgia" w:hAnsi="Georgia"/>
          <w:sz w:val="24"/>
          <w:szCs w:val="24"/>
        </w:rPr>
        <w:t>endently</w:t>
      </w:r>
      <w:r w:rsidRPr="00CF6CD9">
        <w:rPr>
          <w:rFonts w:ascii="Georgia" w:hAnsi="Georgia"/>
          <w:sz w:val="24"/>
          <w:szCs w:val="24"/>
        </w:rPr>
        <w:t>-verified causes of unplanned outages, grid congestion</w:t>
      </w:r>
      <w:r w:rsidR="007B6255">
        <w:rPr>
          <w:rFonts w:ascii="Georgia" w:hAnsi="Georgia"/>
          <w:sz w:val="24"/>
          <w:szCs w:val="24"/>
        </w:rPr>
        <w:t>, demand response and</w:t>
      </w:r>
      <w:r w:rsidRPr="00CF6CD9">
        <w:rPr>
          <w:rFonts w:ascii="Georgia" w:hAnsi="Georgia"/>
          <w:sz w:val="24"/>
          <w:szCs w:val="24"/>
        </w:rPr>
        <w:t xml:space="preserve"> system balance</w:t>
      </w:r>
      <w:r w:rsidR="007B6255">
        <w:rPr>
          <w:rFonts w:ascii="Georgia" w:hAnsi="Georgia"/>
          <w:sz w:val="24"/>
          <w:szCs w:val="24"/>
        </w:rPr>
        <w:t>—</w:t>
      </w:r>
      <w:r w:rsidR="003E542E">
        <w:rPr>
          <w:rFonts w:ascii="Georgia" w:hAnsi="Georgia"/>
          <w:sz w:val="24"/>
          <w:szCs w:val="24"/>
        </w:rPr>
        <w:t>could assist</w:t>
      </w:r>
      <w:r w:rsidR="008A3820">
        <w:rPr>
          <w:rFonts w:ascii="Georgia" w:hAnsi="Georgia"/>
          <w:sz w:val="24"/>
          <w:szCs w:val="24"/>
        </w:rPr>
        <w:t xml:space="preserve"> the Commission and market participants </w:t>
      </w:r>
      <w:r w:rsidR="00AB76FC">
        <w:rPr>
          <w:rFonts w:ascii="Georgia" w:hAnsi="Georgia"/>
          <w:sz w:val="24"/>
          <w:szCs w:val="24"/>
        </w:rPr>
        <w:t xml:space="preserve">in efforts to mitigate price </w:t>
      </w:r>
      <w:r w:rsidR="002A1A36">
        <w:rPr>
          <w:rFonts w:ascii="Georgia" w:hAnsi="Georgia"/>
          <w:sz w:val="24"/>
          <w:szCs w:val="24"/>
        </w:rPr>
        <w:t>volatility</w:t>
      </w:r>
      <w:r w:rsidR="00AB76FC">
        <w:rPr>
          <w:rFonts w:ascii="Georgia" w:hAnsi="Georgia"/>
          <w:sz w:val="24"/>
          <w:szCs w:val="24"/>
        </w:rPr>
        <w:t xml:space="preserve">. It is important that such data be made </w:t>
      </w:r>
      <w:r w:rsidR="00FC474E">
        <w:rPr>
          <w:rFonts w:ascii="Georgia" w:hAnsi="Georgia"/>
          <w:sz w:val="24"/>
          <w:szCs w:val="24"/>
        </w:rPr>
        <w:t xml:space="preserve">freely available to the public, and not part of yet another commodification and </w:t>
      </w:r>
      <w:r w:rsidR="002A1A36">
        <w:rPr>
          <w:rFonts w:ascii="Georgia" w:hAnsi="Georgia"/>
          <w:sz w:val="24"/>
          <w:szCs w:val="24"/>
        </w:rPr>
        <w:t>privatization</w:t>
      </w:r>
      <w:r w:rsidR="00FC474E">
        <w:rPr>
          <w:rFonts w:ascii="Georgia" w:hAnsi="Georgia"/>
          <w:sz w:val="24"/>
          <w:szCs w:val="24"/>
        </w:rPr>
        <w:t xml:space="preserve"> of critical market information locked behind expensive paywalls.</w:t>
      </w:r>
    </w:p>
    <w:p w14:paraId="26A92A73" w14:textId="5C19281B" w:rsidR="00F10539" w:rsidRDefault="006234F2" w:rsidP="00966B96">
      <w:pPr>
        <w:spacing w:line="360" w:lineRule="auto"/>
        <w:rPr>
          <w:rFonts w:ascii="Georgia" w:hAnsi="Georgia"/>
          <w:sz w:val="24"/>
          <w:szCs w:val="24"/>
        </w:rPr>
      </w:pPr>
      <w:r>
        <w:rPr>
          <w:rFonts w:ascii="Georgia" w:hAnsi="Georgia"/>
          <w:sz w:val="24"/>
          <w:szCs w:val="24"/>
        </w:rPr>
        <w:tab/>
        <w:t xml:space="preserve">European power markets, which </w:t>
      </w:r>
      <w:r w:rsidR="00D4453A">
        <w:rPr>
          <w:rFonts w:ascii="Georgia" w:hAnsi="Georgia"/>
          <w:sz w:val="24"/>
          <w:szCs w:val="24"/>
        </w:rPr>
        <w:t xml:space="preserve">typically </w:t>
      </w:r>
      <w:r>
        <w:rPr>
          <w:rFonts w:ascii="Georgia" w:hAnsi="Georgia"/>
          <w:sz w:val="24"/>
          <w:szCs w:val="24"/>
        </w:rPr>
        <w:t>feature larger penetration rates of renewables</w:t>
      </w:r>
      <w:r w:rsidR="00D4453A">
        <w:rPr>
          <w:rFonts w:ascii="Georgia" w:hAnsi="Georgia"/>
          <w:sz w:val="24"/>
          <w:szCs w:val="24"/>
        </w:rPr>
        <w:t xml:space="preserve"> than the U.S.</w:t>
      </w:r>
      <w:r>
        <w:rPr>
          <w:rFonts w:ascii="Georgia" w:hAnsi="Georgia"/>
          <w:sz w:val="24"/>
          <w:szCs w:val="24"/>
        </w:rPr>
        <w:t xml:space="preserve">, have experienced </w:t>
      </w:r>
      <w:r w:rsidR="006F0014">
        <w:rPr>
          <w:rFonts w:ascii="Georgia" w:hAnsi="Georgia"/>
          <w:sz w:val="24"/>
          <w:szCs w:val="24"/>
        </w:rPr>
        <w:t>record</w:t>
      </w:r>
      <w:r w:rsidR="00FA050B">
        <w:rPr>
          <w:rFonts w:ascii="Georgia" w:hAnsi="Georgia"/>
          <w:sz w:val="24"/>
          <w:szCs w:val="24"/>
        </w:rPr>
        <w:t xml:space="preserve"> </w:t>
      </w:r>
      <w:r w:rsidR="006F0014">
        <w:rPr>
          <w:rFonts w:ascii="Georgia" w:hAnsi="Georgia"/>
          <w:sz w:val="24"/>
          <w:szCs w:val="24"/>
        </w:rPr>
        <w:t>trading volume</w:t>
      </w:r>
      <w:r w:rsidR="007F0F28">
        <w:rPr>
          <w:rFonts w:ascii="Georgia" w:hAnsi="Georgia"/>
          <w:sz w:val="24"/>
          <w:szCs w:val="24"/>
        </w:rPr>
        <w:t xml:space="preserve"> and significant price </w:t>
      </w:r>
      <w:r w:rsidR="00AA1FD9">
        <w:rPr>
          <w:rFonts w:ascii="Georgia" w:hAnsi="Georgia"/>
          <w:sz w:val="24"/>
          <w:szCs w:val="24"/>
        </w:rPr>
        <w:t>volatility</w:t>
      </w:r>
      <w:r w:rsidR="007F0F28">
        <w:rPr>
          <w:rFonts w:ascii="Georgia" w:hAnsi="Georgia"/>
          <w:sz w:val="24"/>
          <w:szCs w:val="24"/>
        </w:rPr>
        <w:t>, where</w:t>
      </w:r>
      <w:r w:rsidR="006F0014">
        <w:rPr>
          <w:rFonts w:ascii="Georgia" w:hAnsi="Georgia"/>
          <w:sz w:val="24"/>
          <w:szCs w:val="24"/>
        </w:rPr>
        <w:t xml:space="preserve"> financial traders</w:t>
      </w:r>
      <w:r w:rsidR="007F0F28">
        <w:rPr>
          <w:rFonts w:ascii="Georgia" w:hAnsi="Georgia"/>
          <w:sz w:val="24"/>
          <w:szCs w:val="24"/>
        </w:rPr>
        <w:t xml:space="preserve"> are a prominent feature</w:t>
      </w:r>
      <w:r w:rsidR="006A3138">
        <w:rPr>
          <w:rFonts w:ascii="Georgia" w:hAnsi="Georgia"/>
          <w:sz w:val="24"/>
          <w:szCs w:val="24"/>
        </w:rPr>
        <w:t xml:space="preserve">. </w:t>
      </w:r>
      <w:r w:rsidR="00DD3081">
        <w:rPr>
          <w:rFonts w:ascii="Georgia" w:hAnsi="Georgia"/>
          <w:sz w:val="24"/>
          <w:szCs w:val="24"/>
        </w:rPr>
        <w:t>An increased role in U.S. power markets for financial arbitrage has the possibility of diluting</w:t>
      </w:r>
      <w:r w:rsidR="00DA7149">
        <w:rPr>
          <w:rFonts w:ascii="Georgia" w:hAnsi="Georgia"/>
          <w:sz w:val="24"/>
          <w:szCs w:val="24"/>
        </w:rPr>
        <w:t xml:space="preserve"> savings for end-users, threatening</w:t>
      </w:r>
      <w:r w:rsidR="00CF743D">
        <w:rPr>
          <w:rFonts w:ascii="Georgia" w:hAnsi="Georgia"/>
          <w:sz w:val="24"/>
          <w:szCs w:val="24"/>
        </w:rPr>
        <w:t xml:space="preserve"> the efficiency value that rising </w:t>
      </w:r>
      <w:r w:rsidR="00AA1FD9">
        <w:rPr>
          <w:rFonts w:ascii="Georgia" w:hAnsi="Georgia"/>
          <w:sz w:val="24"/>
          <w:szCs w:val="24"/>
        </w:rPr>
        <w:t>renewables</w:t>
      </w:r>
      <w:r w:rsidR="00CF743D">
        <w:rPr>
          <w:rFonts w:ascii="Georgia" w:hAnsi="Georgia"/>
          <w:sz w:val="24"/>
          <w:szCs w:val="24"/>
        </w:rPr>
        <w:t xml:space="preserve"> can offer. The Commission must enhance the role of enforcement</w:t>
      </w:r>
      <w:r w:rsidR="005315DD">
        <w:rPr>
          <w:rFonts w:ascii="Georgia" w:hAnsi="Georgia"/>
          <w:sz w:val="24"/>
          <w:szCs w:val="24"/>
        </w:rPr>
        <w:t xml:space="preserve"> to ensure that financial traders do not undermine </w:t>
      </w:r>
      <w:r w:rsidR="005315DD">
        <w:rPr>
          <w:rFonts w:ascii="Georgia" w:hAnsi="Georgia"/>
          <w:sz w:val="24"/>
          <w:szCs w:val="24"/>
        </w:rPr>
        <w:lastRenderedPageBreak/>
        <w:t>the promise of lower costs to consumers resulting from higher deployment of renewables.</w:t>
      </w:r>
    </w:p>
    <w:p w14:paraId="3B712A0E" w14:textId="77777777" w:rsidR="007C75B6" w:rsidRDefault="007C75B6" w:rsidP="002E0BB0">
      <w:pPr>
        <w:rPr>
          <w:rFonts w:ascii="Georgia" w:hAnsi="Georgia"/>
          <w:sz w:val="24"/>
          <w:szCs w:val="24"/>
        </w:rPr>
      </w:pPr>
    </w:p>
    <w:p w14:paraId="32191FCB" w14:textId="77777777" w:rsidR="007C75B6" w:rsidRDefault="007C75B6" w:rsidP="002E0BB0">
      <w:pPr>
        <w:rPr>
          <w:rFonts w:ascii="Georgia" w:hAnsi="Georgia"/>
          <w:sz w:val="24"/>
          <w:szCs w:val="24"/>
        </w:rPr>
      </w:pPr>
    </w:p>
    <w:p w14:paraId="663D509D" w14:textId="604B3BF8" w:rsidR="007C75B6" w:rsidRPr="00E87967" w:rsidRDefault="007C75B6" w:rsidP="00E87967">
      <w:pPr>
        <w:jc w:val="center"/>
        <w:rPr>
          <w:rFonts w:ascii="Georgia" w:hAnsi="Georgia"/>
          <w:b/>
          <w:bCs/>
          <w:sz w:val="24"/>
          <w:szCs w:val="24"/>
        </w:rPr>
      </w:pPr>
      <w:r w:rsidRPr="00E87967">
        <w:rPr>
          <w:rFonts w:ascii="Georgia" w:hAnsi="Georgia"/>
          <w:b/>
          <w:bCs/>
          <w:sz w:val="24"/>
          <w:szCs w:val="24"/>
        </w:rPr>
        <w:t>Climate Change Price Gouging</w:t>
      </w:r>
      <w:r w:rsidR="00DD5161" w:rsidRPr="00E87967">
        <w:rPr>
          <w:rFonts w:ascii="Georgia" w:hAnsi="Georgia"/>
          <w:b/>
          <w:bCs/>
          <w:sz w:val="24"/>
          <w:szCs w:val="24"/>
        </w:rPr>
        <w:t xml:space="preserve"> Violates Just And Reasonable Rates</w:t>
      </w:r>
    </w:p>
    <w:p w14:paraId="6970BA40" w14:textId="77777777" w:rsidR="00E96DBC" w:rsidRDefault="00DD5161" w:rsidP="002E0BB0">
      <w:pPr>
        <w:rPr>
          <w:rFonts w:ascii="Georgia" w:hAnsi="Georgia"/>
          <w:sz w:val="24"/>
          <w:szCs w:val="24"/>
        </w:rPr>
      </w:pPr>
      <w:r>
        <w:rPr>
          <w:rFonts w:ascii="Georgia" w:hAnsi="Georgia"/>
          <w:sz w:val="24"/>
          <w:szCs w:val="24"/>
        </w:rPr>
        <w:tab/>
      </w:r>
    </w:p>
    <w:p w14:paraId="1889F1A8" w14:textId="1459A6B5" w:rsidR="00DD5161" w:rsidRDefault="000342FB" w:rsidP="008B2B6F">
      <w:pPr>
        <w:spacing w:line="360" w:lineRule="auto"/>
        <w:ind w:firstLine="720"/>
        <w:rPr>
          <w:rFonts w:ascii="Georgia" w:hAnsi="Georgia"/>
          <w:sz w:val="24"/>
          <w:szCs w:val="24"/>
        </w:rPr>
      </w:pPr>
      <w:r>
        <w:rPr>
          <w:rFonts w:ascii="Georgia" w:hAnsi="Georgia"/>
          <w:sz w:val="24"/>
          <w:szCs w:val="24"/>
        </w:rPr>
        <w:t xml:space="preserve">Climate change results in more frequent and </w:t>
      </w:r>
      <w:r w:rsidR="00436603">
        <w:rPr>
          <w:rFonts w:ascii="Georgia" w:hAnsi="Georgia"/>
          <w:sz w:val="24"/>
          <w:szCs w:val="24"/>
        </w:rPr>
        <w:t xml:space="preserve">more disruptive weather events. These climate-induced disasters </w:t>
      </w:r>
      <w:r w:rsidR="0057232C">
        <w:rPr>
          <w:rFonts w:ascii="Georgia" w:hAnsi="Georgia"/>
          <w:sz w:val="24"/>
          <w:szCs w:val="24"/>
        </w:rPr>
        <w:t xml:space="preserve">disorder commodity markets and energy systems, </w:t>
      </w:r>
      <w:r w:rsidR="00154D7C">
        <w:rPr>
          <w:rFonts w:ascii="Georgia" w:hAnsi="Georgia"/>
          <w:sz w:val="24"/>
          <w:szCs w:val="24"/>
        </w:rPr>
        <w:t>distort</w:t>
      </w:r>
      <w:r w:rsidR="0057232C">
        <w:rPr>
          <w:rFonts w:ascii="Georgia" w:hAnsi="Georgia"/>
          <w:sz w:val="24"/>
          <w:szCs w:val="24"/>
        </w:rPr>
        <w:t>ing</w:t>
      </w:r>
      <w:r w:rsidR="00154D7C">
        <w:rPr>
          <w:rFonts w:ascii="Georgia" w:hAnsi="Georgia"/>
          <w:sz w:val="24"/>
          <w:szCs w:val="24"/>
        </w:rPr>
        <w:t xml:space="preserve"> the supply/demand balance, </w:t>
      </w:r>
      <w:r w:rsidR="00810CE3">
        <w:rPr>
          <w:rFonts w:ascii="Georgia" w:hAnsi="Georgia"/>
          <w:sz w:val="24"/>
          <w:szCs w:val="24"/>
        </w:rPr>
        <w:t>resulting</w:t>
      </w:r>
      <w:r w:rsidR="00154D7C">
        <w:rPr>
          <w:rFonts w:ascii="Georgia" w:hAnsi="Georgia"/>
          <w:sz w:val="24"/>
          <w:szCs w:val="24"/>
        </w:rPr>
        <w:t xml:space="preserve"> in market dysfunction. It is not just and reasonable to permit</w:t>
      </w:r>
      <w:r w:rsidR="00535A5D">
        <w:rPr>
          <w:rFonts w:ascii="Georgia" w:hAnsi="Georgia"/>
          <w:sz w:val="24"/>
          <w:szCs w:val="24"/>
        </w:rPr>
        <w:t xml:space="preserve"> </w:t>
      </w:r>
      <w:r w:rsidR="00810CE3">
        <w:rPr>
          <w:rFonts w:ascii="Georgia" w:hAnsi="Georgia"/>
          <w:sz w:val="24"/>
          <w:szCs w:val="24"/>
        </w:rPr>
        <w:t>unchecked</w:t>
      </w:r>
      <w:r w:rsidR="00535A5D">
        <w:rPr>
          <w:rFonts w:ascii="Georgia" w:hAnsi="Georgia"/>
          <w:sz w:val="24"/>
          <w:szCs w:val="24"/>
        </w:rPr>
        <w:t xml:space="preserve"> market-based pricing during extreme weather events</w:t>
      </w:r>
      <w:r w:rsidR="00034787">
        <w:rPr>
          <w:rFonts w:ascii="Georgia" w:hAnsi="Georgia"/>
          <w:sz w:val="24"/>
          <w:szCs w:val="24"/>
        </w:rPr>
        <w:t>, as</w:t>
      </w:r>
      <w:r w:rsidR="00535A5D">
        <w:rPr>
          <w:rFonts w:ascii="Georgia" w:hAnsi="Georgia"/>
          <w:sz w:val="24"/>
          <w:szCs w:val="24"/>
        </w:rPr>
        <w:t xml:space="preserve"> market </w:t>
      </w:r>
      <w:r w:rsidR="001B0330">
        <w:rPr>
          <w:rFonts w:ascii="Georgia" w:hAnsi="Georgia"/>
          <w:sz w:val="24"/>
          <w:szCs w:val="24"/>
        </w:rPr>
        <w:t>fundamentals are inoperable</w:t>
      </w:r>
      <w:r w:rsidR="00535A5D">
        <w:rPr>
          <w:rFonts w:ascii="Georgia" w:hAnsi="Georgia"/>
          <w:sz w:val="24"/>
          <w:szCs w:val="24"/>
        </w:rPr>
        <w:t>.</w:t>
      </w:r>
      <w:r w:rsidR="00810CE3">
        <w:rPr>
          <w:rFonts w:ascii="Georgia" w:hAnsi="Georgia"/>
          <w:sz w:val="24"/>
          <w:szCs w:val="24"/>
        </w:rPr>
        <w:t xml:space="preserve"> </w:t>
      </w:r>
      <w:r w:rsidR="00F41A24">
        <w:rPr>
          <w:rFonts w:ascii="Georgia" w:hAnsi="Georgia"/>
          <w:sz w:val="24"/>
          <w:szCs w:val="24"/>
        </w:rPr>
        <w:t>The purpose of market-based pricing is to send coherent price signals to market participants</w:t>
      </w:r>
      <w:r w:rsidR="002B215E">
        <w:rPr>
          <w:rFonts w:ascii="Georgia" w:hAnsi="Georgia"/>
          <w:sz w:val="24"/>
          <w:szCs w:val="24"/>
        </w:rPr>
        <w:t xml:space="preserve">—but market participants cannot rationally respond to price </w:t>
      </w:r>
      <w:r w:rsidR="00FC0707">
        <w:rPr>
          <w:rFonts w:ascii="Georgia" w:hAnsi="Georgia"/>
          <w:sz w:val="24"/>
          <w:szCs w:val="24"/>
        </w:rPr>
        <w:t>signals</w:t>
      </w:r>
      <w:r w:rsidR="002B215E">
        <w:rPr>
          <w:rFonts w:ascii="Georgia" w:hAnsi="Georgia"/>
          <w:sz w:val="24"/>
          <w:szCs w:val="24"/>
        </w:rPr>
        <w:t xml:space="preserve"> if the market is not functioning due to extreme weather. </w:t>
      </w:r>
      <w:r w:rsidR="002A598C">
        <w:rPr>
          <w:rFonts w:ascii="Georgia" w:hAnsi="Georgia"/>
          <w:sz w:val="24"/>
          <w:szCs w:val="24"/>
        </w:rPr>
        <w:t xml:space="preserve">Allowing </w:t>
      </w:r>
      <w:r w:rsidR="00793BE8">
        <w:rPr>
          <w:rFonts w:ascii="Georgia" w:hAnsi="Georgia"/>
          <w:sz w:val="24"/>
          <w:szCs w:val="24"/>
        </w:rPr>
        <w:t xml:space="preserve">earth-shattering pricing because equipment </w:t>
      </w:r>
      <w:r w:rsidR="00FD063C">
        <w:rPr>
          <w:rFonts w:ascii="Georgia" w:hAnsi="Georgia"/>
          <w:sz w:val="24"/>
          <w:szCs w:val="24"/>
        </w:rPr>
        <w:t>has failed</w:t>
      </w:r>
      <w:r w:rsidR="00793BE8">
        <w:rPr>
          <w:rFonts w:ascii="Georgia" w:hAnsi="Georgia"/>
          <w:sz w:val="24"/>
          <w:szCs w:val="24"/>
        </w:rPr>
        <w:t xml:space="preserve"> </w:t>
      </w:r>
      <w:r w:rsidR="00BF137F">
        <w:rPr>
          <w:rFonts w:ascii="Georgia" w:hAnsi="Georgia"/>
          <w:sz w:val="24"/>
          <w:szCs w:val="24"/>
        </w:rPr>
        <w:t xml:space="preserve">in an extreme event </w:t>
      </w:r>
      <w:r w:rsidR="00793BE8">
        <w:rPr>
          <w:rFonts w:ascii="Georgia" w:hAnsi="Georgia"/>
          <w:sz w:val="24"/>
          <w:szCs w:val="24"/>
        </w:rPr>
        <w:t xml:space="preserve">will not incent additional capacity to come online. </w:t>
      </w:r>
    </w:p>
    <w:p w14:paraId="5D11A0C8" w14:textId="6F82C6A7" w:rsidR="002F0B56" w:rsidRDefault="002F0B56" w:rsidP="008B2B6F">
      <w:pPr>
        <w:spacing w:line="360" w:lineRule="auto"/>
        <w:rPr>
          <w:rFonts w:ascii="Georgia" w:hAnsi="Georgia"/>
          <w:sz w:val="24"/>
          <w:szCs w:val="24"/>
        </w:rPr>
      </w:pPr>
      <w:r>
        <w:rPr>
          <w:rFonts w:ascii="Georgia" w:hAnsi="Georgia"/>
          <w:sz w:val="24"/>
          <w:szCs w:val="24"/>
        </w:rPr>
        <w:tab/>
        <w:t>It is illegal for supermarkets to increase prices for staple foods like milk and water during weather emergenc</w:t>
      </w:r>
      <w:r w:rsidR="00FD063C">
        <w:rPr>
          <w:rFonts w:ascii="Georgia" w:hAnsi="Georgia"/>
          <w:sz w:val="24"/>
          <w:szCs w:val="24"/>
        </w:rPr>
        <w:t>ies</w:t>
      </w:r>
      <w:r>
        <w:rPr>
          <w:rFonts w:ascii="Georgia" w:hAnsi="Georgia"/>
          <w:sz w:val="24"/>
          <w:szCs w:val="24"/>
        </w:rPr>
        <w:t>. Such price-gouging laws</w:t>
      </w:r>
      <w:r w:rsidR="00A11093">
        <w:rPr>
          <w:rFonts w:ascii="Georgia" w:hAnsi="Georgia"/>
          <w:sz w:val="24"/>
          <w:szCs w:val="24"/>
        </w:rPr>
        <w:t xml:space="preserve"> have been on the books for more than a century</w:t>
      </w:r>
      <w:r w:rsidR="00140D73">
        <w:rPr>
          <w:rFonts w:ascii="Georgia" w:hAnsi="Georgia"/>
          <w:sz w:val="24"/>
          <w:szCs w:val="24"/>
        </w:rPr>
        <w:t>, b</w:t>
      </w:r>
      <w:r w:rsidR="00A11093">
        <w:rPr>
          <w:rFonts w:ascii="Georgia" w:hAnsi="Georgia"/>
          <w:sz w:val="24"/>
          <w:szCs w:val="24"/>
        </w:rPr>
        <w:t xml:space="preserve">ut yet we tolerate </w:t>
      </w:r>
      <w:r w:rsidR="00140D73">
        <w:rPr>
          <w:rFonts w:ascii="Georgia" w:hAnsi="Georgia"/>
          <w:sz w:val="24"/>
          <w:szCs w:val="24"/>
        </w:rPr>
        <w:t xml:space="preserve">record electricity and natural gas prices during these same calamities. While the Commission has </w:t>
      </w:r>
      <w:r w:rsidR="00130141">
        <w:rPr>
          <w:rFonts w:ascii="Georgia" w:hAnsi="Georgia"/>
          <w:sz w:val="24"/>
          <w:szCs w:val="24"/>
        </w:rPr>
        <w:t>authority to prohibit</w:t>
      </w:r>
      <w:r w:rsidR="00140D73">
        <w:rPr>
          <w:rFonts w:ascii="Georgia" w:hAnsi="Georgia"/>
          <w:sz w:val="24"/>
          <w:szCs w:val="24"/>
        </w:rPr>
        <w:t xml:space="preserve"> </w:t>
      </w:r>
      <w:r w:rsidR="0017231A">
        <w:rPr>
          <w:rFonts w:ascii="Georgia" w:hAnsi="Georgia"/>
          <w:sz w:val="24"/>
          <w:szCs w:val="24"/>
        </w:rPr>
        <w:t>market manipulation, price-gouging is not</w:t>
      </w:r>
      <w:r w:rsidR="0027268B">
        <w:rPr>
          <w:rFonts w:ascii="Georgia" w:hAnsi="Georgia"/>
          <w:sz w:val="24"/>
          <w:szCs w:val="24"/>
        </w:rPr>
        <w:t xml:space="preserve"> manipulation. Recent climate events have exposed weaknesses in the Commission’s reliance on </w:t>
      </w:r>
      <w:r w:rsidR="00D6106C">
        <w:rPr>
          <w:rFonts w:ascii="Georgia" w:hAnsi="Georgia"/>
          <w:sz w:val="24"/>
          <w:szCs w:val="24"/>
        </w:rPr>
        <w:t>market-based pricing, but such vulnerabilities can be successfully addressed through an elegant and simple reform</w:t>
      </w:r>
      <w:r w:rsidR="00ED08F6">
        <w:rPr>
          <w:rFonts w:ascii="Georgia" w:hAnsi="Georgia"/>
          <w:sz w:val="24"/>
          <w:szCs w:val="24"/>
        </w:rPr>
        <w:t>: imposition of market-wide soft caps subject to public</w:t>
      </w:r>
      <w:r w:rsidR="001709FF">
        <w:rPr>
          <w:rFonts w:ascii="Georgia" w:hAnsi="Georgia"/>
          <w:sz w:val="24"/>
          <w:szCs w:val="24"/>
        </w:rPr>
        <w:t xml:space="preserve"> reporting and seller identification.</w:t>
      </w:r>
    </w:p>
    <w:p w14:paraId="4E457C44" w14:textId="1F407817" w:rsidR="001709FF" w:rsidRDefault="001709FF" w:rsidP="008B2B6F">
      <w:pPr>
        <w:spacing w:line="360" w:lineRule="auto"/>
        <w:rPr>
          <w:rFonts w:ascii="Georgia" w:hAnsi="Georgia"/>
          <w:sz w:val="24"/>
          <w:szCs w:val="24"/>
        </w:rPr>
      </w:pPr>
      <w:r>
        <w:rPr>
          <w:rFonts w:ascii="Georgia" w:hAnsi="Georgia"/>
          <w:sz w:val="24"/>
          <w:szCs w:val="24"/>
        </w:rPr>
        <w:tab/>
        <w:t xml:space="preserve">In the wake of the West Coast Deregulation Crisis of 2000-01, the Commission imposed </w:t>
      </w:r>
      <w:r w:rsidR="00684044">
        <w:rPr>
          <w:rFonts w:ascii="Georgia" w:hAnsi="Georgia"/>
          <w:sz w:val="24"/>
          <w:szCs w:val="24"/>
        </w:rPr>
        <w:t>s</w:t>
      </w:r>
      <w:r w:rsidR="000B5D73" w:rsidRPr="000B5D73">
        <w:rPr>
          <w:rFonts w:ascii="Georgia" w:hAnsi="Georgia"/>
          <w:sz w:val="24"/>
          <w:szCs w:val="24"/>
        </w:rPr>
        <w:t xml:space="preserve">oft </w:t>
      </w:r>
      <w:r w:rsidR="00684044">
        <w:rPr>
          <w:rFonts w:ascii="Georgia" w:hAnsi="Georgia"/>
          <w:sz w:val="24"/>
          <w:szCs w:val="24"/>
        </w:rPr>
        <w:t>o</w:t>
      </w:r>
      <w:r w:rsidR="000B5D73" w:rsidRPr="000B5D73">
        <w:rPr>
          <w:rFonts w:ascii="Georgia" w:hAnsi="Georgia"/>
          <w:sz w:val="24"/>
          <w:szCs w:val="24"/>
        </w:rPr>
        <w:t xml:space="preserve">ffer </w:t>
      </w:r>
      <w:r w:rsidR="00684044">
        <w:rPr>
          <w:rFonts w:ascii="Georgia" w:hAnsi="Georgia"/>
          <w:sz w:val="24"/>
          <w:szCs w:val="24"/>
        </w:rPr>
        <w:t>c</w:t>
      </w:r>
      <w:r w:rsidR="000B5D73" w:rsidRPr="000B5D73">
        <w:rPr>
          <w:rFonts w:ascii="Georgia" w:hAnsi="Georgia"/>
          <w:sz w:val="24"/>
          <w:szCs w:val="24"/>
        </w:rPr>
        <w:t xml:space="preserve">aps for the entire western power market </w:t>
      </w:r>
      <w:r w:rsidR="0013796E" w:rsidRPr="000B5D73">
        <w:rPr>
          <w:rFonts w:ascii="Georgia" w:hAnsi="Georgia"/>
          <w:sz w:val="24"/>
          <w:szCs w:val="24"/>
        </w:rPr>
        <w:t>outside</w:t>
      </w:r>
      <w:r w:rsidR="000B5D73" w:rsidRPr="000B5D73">
        <w:rPr>
          <w:rFonts w:ascii="Georgia" w:hAnsi="Georgia"/>
          <w:sz w:val="24"/>
          <w:szCs w:val="24"/>
        </w:rPr>
        <w:t xml:space="preserve"> of CAISO.</w:t>
      </w:r>
      <w:r w:rsidR="009B4D95">
        <w:rPr>
          <w:rStyle w:val="FootnoteReference"/>
          <w:rFonts w:ascii="Georgia" w:hAnsi="Georgia"/>
          <w:sz w:val="24"/>
          <w:szCs w:val="24"/>
        </w:rPr>
        <w:footnoteReference w:id="4"/>
      </w:r>
      <w:r w:rsidR="00513B78">
        <w:rPr>
          <w:rFonts w:ascii="Georgia" w:hAnsi="Georgia"/>
          <w:sz w:val="24"/>
          <w:szCs w:val="24"/>
        </w:rPr>
        <w:t xml:space="preserve"> </w:t>
      </w:r>
      <w:r w:rsidR="00684044">
        <w:rPr>
          <w:rFonts w:ascii="Georgia" w:hAnsi="Georgia"/>
          <w:sz w:val="24"/>
          <w:szCs w:val="24"/>
        </w:rPr>
        <w:t>I</w:t>
      </w:r>
      <w:r w:rsidR="00513B78">
        <w:rPr>
          <w:rFonts w:ascii="Georgia" w:hAnsi="Georgia"/>
          <w:sz w:val="24"/>
          <w:szCs w:val="24"/>
        </w:rPr>
        <w:t xml:space="preserve">f a </w:t>
      </w:r>
      <w:r w:rsidR="0026189C">
        <w:rPr>
          <w:rFonts w:ascii="Georgia" w:hAnsi="Georgia"/>
          <w:sz w:val="24"/>
          <w:szCs w:val="24"/>
        </w:rPr>
        <w:t>one</w:t>
      </w:r>
      <w:r w:rsidR="00513B78">
        <w:rPr>
          <w:rFonts w:ascii="Georgia" w:hAnsi="Georgia"/>
          <w:sz w:val="24"/>
          <w:szCs w:val="24"/>
        </w:rPr>
        <w:t xml:space="preserve"> seeks to sell </w:t>
      </w:r>
      <w:r w:rsidR="005E6959">
        <w:rPr>
          <w:rFonts w:ascii="Georgia" w:hAnsi="Georgia"/>
          <w:sz w:val="24"/>
          <w:szCs w:val="24"/>
        </w:rPr>
        <w:t>electricity</w:t>
      </w:r>
      <w:r w:rsidR="00513B78">
        <w:rPr>
          <w:rFonts w:ascii="Georgia" w:hAnsi="Georgia"/>
          <w:sz w:val="24"/>
          <w:szCs w:val="24"/>
        </w:rPr>
        <w:t xml:space="preserve"> </w:t>
      </w:r>
      <w:r w:rsidR="005E6959">
        <w:rPr>
          <w:rFonts w:ascii="Georgia" w:hAnsi="Georgia"/>
          <w:sz w:val="24"/>
          <w:szCs w:val="24"/>
        </w:rPr>
        <w:t xml:space="preserve">in excess of </w:t>
      </w:r>
      <w:r w:rsidR="005E6959" w:rsidRPr="005E6959">
        <w:rPr>
          <w:rFonts w:ascii="Georgia" w:hAnsi="Georgia"/>
          <w:sz w:val="24"/>
          <w:szCs w:val="24"/>
        </w:rPr>
        <w:t>$1,000/MWh</w:t>
      </w:r>
      <w:r w:rsidR="005E6959">
        <w:rPr>
          <w:rFonts w:ascii="Georgia" w:hAnsi="Georgia"/>
          <w:sz w:val="24"/>
          <w:szCs w:val="24"/>
        </w:rPr>
        <w:t xml:space="preserve">, </w:t>
      </w:r>
      <w:r w:rsidR="002E12A6">
        <w:rPr>
          <w:rFonts w:ascii="Georgia" w:hAnsi="Georgia"/>
          <w:sz w:val="24"/>
          <w:szCs w:val="24"/>
        </w:rPr>
        <w:t xml:space="preserve">the transaction is </w:t>
      </w:r>
      <w:r w:rsidR="003648B4">
        <w:rPr>
          <w:rFonts w:ascii="Georgia" w:hAnsi="Georgia"/>
          <w:sz w:val="24"/>
          <w:szCs w:val="24"/>
        </w:rPr>
        <w:t xml:space="preserve">subject to justification and refund. If the seller cannot justify the </w:t>
      </w:r>
      <w:r w:rsidR="00C61595" w:rsidRPr="00C61595">
        <w:rPr>
          <w:rFonts w:ascii="Georgia" w:hAnsi="Georgia"/>
          <w:sz w:val="24"/>
          <w:szCs w:val="24"/>
        </w:rPr>
        <w:t>exorbitant</w:t>
      </w:r>
      <w:r w:rsidR="003648B4">
        <w:rPr>
          <w:rFonts w:ascii="Georgia" w:hAnsi="Georgia"/>
          <w:sz w:val="24"/>
          <w:szCs w:val="24"/>
        </w:rPr>
        <w:t xml:space="preserve"> price</w:t>
      </w:r>
      <w:r w:rsidR="0026189C">
        <w:rPr>
          <w:rFonts w:ascii="Georgia" w:hAnsi="Georgia"/>
          <w:sz w:val="24"/>
          <w:szCs w:val="24"/>
        </w:rPr>
        <w:t xml:space="preserve"> as just and reasonable</w:t>
      </w:r>
      <w:r w:rsidR="003648B4">
        <w:rPr>
          <w:rFonts w:ascii="Georgia" w:hAnsi="Georgia"/>
          <w:sz w:val="24"/>
          <w:szCs w:val="24"/>
        </w:rPr>
        <w:t xml:space="preserve">, </w:t>
      </w:r>
      <w:r w:rsidR="00355CDC">
        <w:rPr>
          <w:rFonts w:ascii="Georgia" w:hAnsi="Georgia"/>
          <w:sz w:val="24"/>
          <w:szCs w:val="24"/>
        </w:rPr>
        <w:t xml:space="preserve">it must be refunded back to consumers. Public Citizen endorses an expansion of this soft cap to every market subject to the Commission’s jurisdiction, with an additional </w:t>
      </w:r>
      <w:r w:rsidR="001D65A5">
        <w:rPr>
          <w:rFonts w:ascii="Georgia" w:hAnsi="Georgia"/>
          <w:sz w:val="24"/>
          <w:szCs w:val="24"/>
        </w:rPr>
        <w:t>caveat</w:t>
      </w:r>
      <w:r w:rsidR="00355CDC">
        <w:rPr>
          <w:rFonts w:ascii="Georgia" w:hAnsi="Georgia"/>
          <w:sz w:val="24"/>
          <w:szCs w:val="24"/>
        </w:rPr>
        <w:t xml:space="preserve">: </w:t>
      </w:r>
      <w:r w:rsidR="0015754E">
        <w:rPr>
          <w:rFonts w:ascii="Georgia" w:hAnsi="Georgia"/>
          <w:sz w:val="24"/>
          <w:szCs w:val="24"/>
        </w:rPr>
        <w:t>the justification filings must</w:t>
      </w:r>
      <w:r w:rsidR="001D6BD3">
        <w:rPr>
          <w:rFonts w:ascii="Georgia" w:hAnsi="Georgia"/>
          <w:sz w:val="24"/>
          <w:szCs w:val="24"/>
        </w:rPr>
        <w:t xml:space="preserve"> publicly include the name of the seller, the prices and volumes of the prices they charged</w:t>
      </w:r>
      <w:r w:rsidR="000C17B1">
        <w:rPr>
          <w:rFonts w:ascii="Georgia" w:hAnsi="Georgia"/>
          <w:sz w:val="24"/>
          <w:szCs w:val="24"/>
        </w:rPr>
        <w:t xml:space="preserve">, the geographic hub at which </w:t>
      </w:r>
      <w:r w:rsidR="000C17B1">
        <w:rPr>
          <w:rFonts w:ascii="Georgia" w:hAnsi="Georgia"/>
          <w:sz w:val="24"/>
          <w:szCs w:val="24"/>
        </w:rPr>
        <w:lastRenderedPageBreak/>
        <w:t>the sales occurred, and the date</w:t>
      </w:r>
      <w:r w:rsidR="001D6BD3">
        <w:rPr>
          <w:rFonts w:ascii="Georgia" w:hAnsi="Georgia"/>
          <w:sz w:val="24"/>
          <w:szCs w:val="24"/>
        </w:rPr>
        <w:t>.</w:t>
      </w:r>
      <w:r w:rsidR="0023223F">
        <w:rPr>
          <w:rFonts w:ascii="Georgia" w:hAnsi="Georgia"/>
          <w:sz w:val="24"/>
          <w:szCs w:val="24"/>
        </w:rPr>
        <w:t xml:space="preserve"> </w:t>
      </w:r>
      <w:r w:rsidR="00F26A92" w:rsidRPr="00B961B9">
        <w:rPr>
          <w:rFonts w:ascii="Georgia" w:hAnsi="Georgia"/>
          <w:sz w:val="24"/>
          <w:szCs w:val="24"/>
        </w:rPr>
        <w:t>Section 201 of the Federal Power Act states “that the business of transmitting and selling electric energy for ultimate distribution to the public is affected with a public interest</w:t>
      </w:r>
      <w:r w:rsidR="00F26A92">
        <w:rPr>
          <w:rFonts w:ascii="Georgia" w:hAnsi="Georgia"/>
          <w:sz w:val="24"/>
          <w:szCs w:val="24"/>
        </w:rPr>
        <w:t>.</w:t>
      </w:r>
      <w:r w:rsidR="00F26A92" w:rsidRPr="00B961B9">
        <w:rPr>
          <w:rFonts w:ascii="Georgia" w:hAnsi="Georgia"/>
          <w:sz w:val="24"/>
          <w:szCs w:val="24"/>
        </w:rPr>
        <w:t>”</w:t>
      </w:r>
      <w:r w:rsidR="00F26A92">
        <w:rPr>
          <w:rStyle w:val="FootnoteReference"/>
          <w:rFonts w:ascii="Georgia" w:hAnsi="Georgia"/>
          <w:sz w:val="24"/>
          <w:szCs w:val="24"/>
        </w:rPr>
        <w:footnoteReference w:id="5"/>
      </w:r>
      <w:r w:rsidR="00F26A92">
        <w:rPr>
          <w:rFonts w:ascii="Georgia" w:hAnsi="Georgia"/>
          <w:sz w:val="24"/>
          <w:szCs w:val="24"/>
        </w:rPr>
        <w:t xml:space="preserve"> The public interest</w:t>
      </w:r>
      <w:r w:rsidR="00CB22EF">
        <w:rPr>
          <w:rFonts w:ascii="Georgia" w:hAnsi="Georgia"/>
          <w:sz w:val="24"/>
          <w:szCs w:val="24"/>
        </w:rPr>
        <w:t xml:space="preserve"> </w:t>
      </w:r>
      <w:r w:rsidR="00CB172F">
        <w:rPr>
          <w:rFonts w:ascii="Georgia" w:hAnsi="Georgia"/>
          <w:sz w:val="24"/>
          <w:szCs w:val="24"/>
        </w:rPr>
        <w:t xml:space="preserve">should </w:t>
      </w:r>
      <w:r w:rsidR="00CB22EF">
        <w:rPr>
          <w:rFonts w:ascii="Georgia" w:hAnsi="Georgia"/>
          <w:sz w:val="24"/>
          <w:szCs w:val="24"/>
        </w:rPr>
        <w:t xml:space="preserve">require power sellers who feel the need to charge excessive rates during a climate emergency </w:t>
      </w:r>
      <w:r w:rsidR="00CB172F">
        <w:rPr>
          <w:rFonts w:ascii="Georgia" w:hAnsi="Georgia"/>
          <w:sz w:val="24"/>
          <w:szCs w:val="24"/>
        </w:rPr>
        <w:t>to</w:t>
      </w:r>
      <w:r w:rsidR="00CB22EF">
        <w:rPr>
          <w:rFonts w:ascii="Georgia" w:hAnsi="Georgia"/>
          <w:sz w:val="24"/>
          <w:szCs w:val="24"/>
        </w:rPr>
        <w:t xml:space="preserve">, at a minimum, be required to </w:t>
      </w:r>
      <w:r w:rsidR="00CB172F">
        <w:rPr>
          <w:rFonts w:ascii="Georgia" w:hAnsi="Georgia"/>
          <w:sz w:val="24"/>
          <w:szCs w:val="24"/>
        </w:rPr>
        <w:t>publicly</w:t>
      </w:r>
      <w:r w:rsidR="00CB22EF">
        <w:rPr>
          <w:rFonts w:ascii="Georgia" w:hAnsi="Georgia"/>
          <w:sz w:val="24"/>
          <w:szCs w:val="24"/>
        </w:rPr>
        <w:t xml:space="preserve"> reveal </w:t>
      </w:r>
      <w:r w:rsidR="00B86DF0">
        <w:rPr>
          <w:rFonts w:ascii="Georgia" w:hAnsi="Georgia"/>
          <w:sz w:val="24"/>
          <w:szCs w:val="24"/>
        </w:rPr>
        <w:t xml:space="preserve">details of such charges. Such price transparency will help ensure </w:t>
      </w:r>
      <w:r w:rsidR="00C43070">
        <w:rPr>
          <w:rFonts w:ascii="Georgia" w:hAnsi="Georgia"/>
          <w:sz w:val="24"/>
          <w:szCs w:val="24"/>
        </w:rPr>
        <w:t>just and reasonable rates and satisfy that our power systems are operated for the public interest.</w:t>
      </w:r>
    </w:p>
    <w:p w14:paraId="1AE87AFC" w14:textId="1336485F" w:rsidR="00283E9B" w:rsidRDefault="00DA06B9" w:rsidP="008B2B6F">
      <w:pPr>
        <w:spacing w:line="360" w:lineRule="auto"/>
        <w:rPr>
          <w:rFonts w:ascii="Georgia" w:hAnsi="Georgia"/>
          <w:sz w:val="24"/>
          <w:szCs w:val="24"/>
        </w:rPr>
      </w:pPr>
      <w:r>
        <w:rPr>
          <w:rFonts w:ascii="Georgia" w:hAnsi="Georgia"/>
          <w:sz w:val="24"/>
          <w:szCs w:val="24"/>
        </w:rPr>
        <w:tab/>
        <w:t>Such price transparency must extend to spot natural gas markets</w:t>
      </w:r>
      <w:r w:rsidR="005351A3">
        <w:rPr>
          <w:rFonts w:ascii="Georgia" w:hAnsi="Georgia"/>
          <w:sz w:val="24"/>
          <w:szCs w:val="24"/>
        </w:rPr>
        <w:t xml:space="preserve"> as well</w:t>
      </w:r>
      <w:r>
        <w:rPr>
          <w:rFonts w:ascii="Georgia" w:hAnsi="Georgia"/>
          <w:sz w:val="24"/>
          <w:szCs w:val="24"/>
        </w:rPr>
        <w:t xml:space="preserve">. As Public Citizen </w:t>
      </w:r>
      <w:r w:rsidR="008B3419">
        <w:rPr>
          <w:rFonts w:ascii="Georgia" w:hAnsi="Georgia"/>
          <w:sz w:val="24"/>
          <w:szCs w:val="24"/>
        </w:rPr>
        <w:t xml:space="preserve">informed the Commission last year, </w:t>
      </w:r>
      <w:r w:rsidR="003B6FE6">
        <w:rPr>
          <w:rFonts w:ascii="Georgia" w:hAnsi="Georgia"/>
          <w:sz w:val="24"/>
          <w:szCs w:val="24"/>
        </w:rPr>
        <w:t>s</w:t>
      </w:r>
      <w:r w:rsidR="003B6FE6" w:rsidRPr="003B6FE6">
        <w:rPr>
          <w:rFonts w:ascii="Georgia" w:hAnsi="Georgia"/>
          <w:sz w:val="24"/>
          <w:szCs w:val="24"/>
        </w:rPr>
        <w:t>pot natural gas price indices are structurally non-competitive and the voluntary nature of reporting trades renders them susceptible to market manipulation.</w:t>
      </w:r>
      <w:r w:rsidR="004C3A2C">
        <w:rPr>
          <w:rStyle w:val="FootnoteReference"/>
          <w:rFonts w:ascii="Georgia" w:hAnsi="Georgia"/>
          <w:sz w:val="24"/>
          <w:szCs w:val="24"/>
        </w:rPr>
        <w:footnoteReference w:id="6"/>
      </w:r>
      <w:r w:rsidR="004C3A2C">
        <w:rPr>
          <w:rFonts w:ascii="Georgia" w:hAnsi="Georgia"/>
          <w:sz w:val="24"/>
          <w:szCs w:val="24"/>
        </w:rPr>
        <w:t xml:space="preserve"> The Commission has clear legal authority to</w:t>
      </w:r>
      <w:r w:rsidR="006B474B">
        <w:rPr>
          <w:rFonts w:ascii="Georgia" w:hAnsi="Georgia"/>
          <w:sz w:val="24"/>
          <w:szCs w:val="24"/>
        </w:rPr>
        <w:t xml:space="preserve"> establish an electronic exchange that publicly reveals sellers and prices for </w:t>
      </w:r>
      <w:r w:rsidR="0054001F">
        <w:rPr>
          <w:rFonts w:ascii="Georgia" w:hAnsi="Georgia"/>
          <w:sz w:val="24"/>
          <w:szCs w:val="24"/>
        </w:rPr>
        <w:t xml:space="preserve">physical gas trading, </w:t>
      </w:r>
      <w:r w:rsidR="0038061F">
        <w:rPr>
          <w:rFonts w:ascii="Georgia" w:hAnsi="Georgia"/>
          <w:sz w:val="24"/>
          <w:szCs w:val="24"/>
        </w:rPr>
        <w:t>so that the public and policy makers have clear, transparent understanding of who and what is driving changes in natural gas prices.</w:t>
      </w:r>
      <w:r w:rsidR="002E7F40">
        <w:rPr>
          <w:rFonts w:ascii="Georgia" w:hAnsi="Georgia"/>
          <w:sz w:val="24"/>
          <w:szCs w:val="24"/>
        </w:rPr>
        <w:t xml:space="preserve"> G</w:t>
      </w:r>
      <w:r w:rsidR="00283E9B" w:rsidRPr="000C73FE">
        <w:rPr>
          <w:rFonts w:ascii="Georgia" w:hAnsi="Georgia"/>
          <w:sz w:val="24"/>
          <w:szCs w:val="24"/>
        </w:rPr>
        <w:t xml:space="preserve">as price </w:t>
      </w:r>
      <w:r w:rsidR="00D9226E" w:rsidRPr="000C73FE">
        <w:rPr>
          <w:rFonts w:ascii="Georgia" w:hAnsi="Georgia"/>
          <w:sz w:val="24"/>
          <w:szCs w:val="24"/>
        </w:rPr>
        <w:t>volatility</w:t>
      </w:r>
      <w:r w:rsidR="002E7F40">
        <w:rPr>
          <w:rFonts w:ascii="Georgia" w:hAnsi="Georgia"/>
          <w:sz w:val="24"/>
          <w:szCs w:val="24"/>
        </w:rPr>
        <w:t xml:space="preserve"> has been </w:t>
      </w:r>
      <w:r w:rsidR="00D9226E">
        <w:rPr>
          <w:rFonts w:ascii="Georgia" w:hAnsi="Georgia"/>
          <w:sz w:val="24"/>
          <w:szCs w:val="24"/>
        </w:rPr>
        <w:t>exacerbated</w:t>
      </w:r>
      <w:r w:rsidR="002E7F40">
        <w:rPr>
          <w:rFonts w:ascii="Georgia" w:hAnsi="Georgia"/>
          <w:sz w:val="24"/>
          <w:szCs w:val="24"/>
        </w:rPr>
        <w:t xml:space="preserve"> by</w:t>
      </w:r>
      <w:r w:rsidR="008B08CA">
        <w:rPr>
          <w:rFonts w:ascii="Georgia" w:hAnsi="Georgia"/>
          <w:sz w:val="24"/>
          <w:szCs w:val="24"/>
        </w:rPr>
        <w:t xml:space="preserve"> a dramatic rise of</w:t>
      </w:r>
      <w:r w:rsidR="00283E9B" w:rsidRPr="000C73FE">
        <w:rPr>
          <w:rFonts w:ascii="Georgia" w:hAnsi="Georgia"/>
          <w:sz w:val="24"/>
          <w:szCs w:val="24"/>
        </w:rPr>
        <w:t xml:space="preserve"> exports</w:t>
      </w:r>
      <w:r w:rsidR="008B08CA">
        <w:rPr>
          <w:rFonts w:ascii="Georgia" w:hAnsi="Georgia"/>
          <w:sz w:val="24"/>
          <w:szCs w:val="24"/>
        </w:rPr>
        <w:t>, leaving gas markets more vulnerable to extreme weather events.</w:t>
      </w:r>
      <w:r w:rsidR="00283E9B" w:rsidRPr="000C73FE">
        <w:rPr>
          <w:rFonts w:ascii="Georgia" w:hAnsi="Georgia"/>
          <w:sz w:val="24"/>
          <w:szCs w:val="24"/>
        </w:rPr>
        <w:t xml:space="preserve"> </w:t>
      </w:r>
    </w:p>
    <w:p w14:paraId="01A73088" w14:textId="67C94098" w:rsidR="00C4011B" w:rsidRDefault="00C4011B" w:rsidP="008B2B6F">
      <w:pPr>
        <w:spacing w:line="360" w:lineRule="auto"/>
        <w:rPr>
          <w:rFonts w:ascii="Georgia" w:hAnsi="Georgia"/>
          <w:sz w:val="24"/>
          <w:szCs w:val="24"/>
        </w:rPr>
      </w:pPr>
      <w:r>
        <w:rPr>
          <w:rFonts w:ascii="Georgia" w:hAnsi="Georgia"/>
          <w:sz w:val="24"/>
          <w:szCs w:val="24"/>
        </w:rPr>
        <w:tab/>
      </w:r>
      <w:r w:rsidR="00D9226E">
        <w:rPr>
          <w:rFonts w:ascii="Georgia" w:hAnsi="Georgia"/>
          <w:sz w:val="24"/>
          <w:szCs w:val="24"/>
        </w:rPr>
        <w:t>N</w:t>
      </w:r>
      <w:r w:rsidR="00D9226E" w:rsidRPr="000C73FE">
        <w:rPr>
          <w:rFonts w:ascii="Georgia" w:hAnsi="Georgia"/>
          <w:sz w:val="24"/>
          <w:szCs w:val="24"/>
        </w:rPr>
        <w:t>onexistent</w:t>
      </w:r>
      <w:r w:rsidR="00576FCF" w:rsidRPr="000C73FE">
        <w:rPr>
          <w:rFonts w:ascii="Georgia" w:hAnsi="Georgia"/>
          <w:sz w:val="24"/>
          <w:szCs w:val="24"/>
        </w:rPr>
        <w:t xml:space="preserve"> federal regulation of spot prices, and FERC's permissiveness of allowing financial speculators control over limited pipeline capacity</w:t>
      </w:r>
      <w:r w:rsidR="00977AA5">
        <w:rPr>
          <w:rFonts w:ascii="Georgia" w:hAnsi="Georgia"/>
          <w:sz w:val="24"/>
          <w:szCs w:val="24"/>
        </w:rPr>
        <w:t xml:space="preserve"> </w:t>
      </w:r>
      <w:r>
        <w:rPr>
          <w:rFonts w:ascii="Georgia" w:hAnsi="Georgia"/>
          <w:sz w:val="24"/>
          <w:szCs w:val="24"/>
        </w:rPr>
        <w:t xml:space="preserve">necessitates greater coordination between power sellers and entities controlling gas pipeline capacity. The increase of financial traders in securing capacity </w:t>
      </w:r>
      <w:r w:rsidR="00244BAC">
        <w:rPr>
          <w:rFonts w:ascii="Georgia" w:hAnsi="Georgia"/>
          <w:sz w:val="24"/>
          <w:szCs w:val="24"/>
        </w:rPr>
        <w:t>on FERC-</w:t>
      </w:r>
      <w:r w:rsidR="00D9226E">
        <w:rPr>
          <w:rFonts w:ascii="Georgia" w:hAnsi="Georgia"/>
          <w:sz w:val="24"/>
          <w:szCs w:val="24"/>
        </w:rPr>
        <w:t>jurisdictional</w:t>
      </w:r>
      <w:r w:rsidR="00244BAC">
        <w:rPr>
          <w:rFonts w:ascii="Georgia" w:hAnsi="Georgia"/>
          <w:sz w:val="24"/>
          <w:szCs w:val="24"/>
        </w:rPr>
        <w:t xml:space="preserve"> pipelines often correlates with their financial trading in power markets. Such co</w:t>
      </w:r>
      <w:r w:rsidR="000B696C">
        <w:rPr>
          <w:rFonts w:ascii="Georgia" w:hAnsi="Georgia"/>
          <w:sz w:val="24"/>
          <w:szCs w:val="24"/>
        </w:rPr>
        <w:t xml:space="preserve">llusive speculation occurring in physical gas and power markets threatens effective competition and just and </w:t>
      </w:r>
      <w:r w:rsidR="00D9226E">
        <w:rPr>
          <w:rFonts w:ascii="Georgia" w:hAnsi="Georgia"/>
          <w:sz w:val="24"/>
          <w:szCs w:val="24"/>
        </w:rPr>
        <w:t>reasonable</w:t>
      </w:r>
      <w:r w:rsidR="000B696C">
        <w:rPr>
          <w:rFonts w:ascii="Georgia" w:hAnsi="Georgia"/>
          <w:sz w:val="24"/>
          <w:szCs w:val="24"/>
        </w:rPr>
        <w:t xml:space="preserve"> rates.</w:t>
      </w:r>
      <w:r w:rsidR="00AB3201">
        <w:rPr>
          <w:rFonts w:ascii="Georgia" w:hAnsi="Georgia"/>
          <w:sz w:val="24"/>
          <w:szCs w:val="24"/>
        </w:rPr>
        <w:t xml:space="preserve"> The Commission must amend market power rules to formally and comprehensively include disclosure</w:t>
      </w:r>
      <w:r w:rsidR="001B3B4E">
        <w:rPr>
          <w:rFonts w:ascii="Georgia" w:hAnsi="Georgia"/>
          <w:sz w:val="24"/>
          <w:szCs w:val="24"/>
        </w:rPr>
        <w:t xml:space="preserve"> of power sellers’ contractual interests in physical gas supplies.</w:t>
      </w:r>
    </w:p>
    <w:p w14:paraId="5760F25F" w14:textId="77777777" w:rsidR="00D9226E" w:rsidRDefault="00D9226E" w:rsidP="008B2B6F">
      <w:pPr>
        <w:spacing w:line="360" w:lineRule="auto"/>
        <w:rPr>
          <w:rFonts w:ascii="Georgia" w:hAnsi="Georgia"/>
          <w:sz w:val="24"/>
          <w:szCs w:val="24"/>
        </w:rPr>
      </w:pPr>
    </w:p>
    <w:p w14:paraId="34791451" w14:textId="77777777" w:rsidR="00D9226E" w:rsidRDefault="00D9226E" w:rsidP="008B2B6F">
      <w:pPr>
        <w:spacing w:line="360" w:lineRule="auto"/>
        <w:rPr>
          <w:rFonts w:ascii="Georgia" w:hAnsi="Georgia"/>
          <w:sz w:val="24"/>
          <w:szCs w:val="24"/>
        </w:rPr>
      </w:pPr>
    </w:p>
    <w:p w14:paraId="2B262408" w14:textId="77777777" w:rsidR="00D9226E" w:rsidRDefault="00D9226E" w:rsidP="008B2B6F">
      <w:pPr>
        <w:spacing w:line="360" w:lineRule="auto"/>
        <w:rPr>
          <w:rFonts w:ascii="Georgia" w:hAnsi="Georgia"/>
          <w:sz w:val="24"/>
          <w:szCs w:val="24"/>
        </w:rPr>
      </w:pPr>
    </w:p>
    <w:p w14:paraId="3D5FD209" w14:textId="77777777" w:rsidR="001B3B4E" w:rsidRDefault="001B3B4E" w:rsidP="002E0BB0">
      <w:pPr>
        <w:rPr>
          <w:rFonts w:ascii="Georgia" w:hAnsi="Georgia"/>
          <w:sz w:val="24"/>
          <w:szCs w:val="24"/>
        </w:rPr>
      </w:pPr>
    </w:p>
    <w:p w14:paraId="0B4F7E76" w14:textId="77777777" w:rsidR="00442E1F" w:rsidRDefault="00442E1F" w:rsidP="002E0BB0">
      <w:pPr>
        <w:rPr>
          <w:rFonts w:ascii="Georgia" w:hAnsi="Georgia"/>
          <w:sz w:val="24"/>
          <w:szCs w:val="24"/>
        </w:rPr>
      </w:pPr>
    </w:p>
    <w:p w14:paraId="24039006" w14:textId="21B0C201" w:rsidR="001B3B4E" w:rsidRPr="00442E1F" w:rsidRDefault="009B145C" w:rsidP="00442E1F">
      <w:pPr>
        <w:jc w:val="center"/>
        <w:rPr>
          <w:rFonts w:ascii="Georgia" w:hAnsi="Georgia"/>
          <w:b/>
          <w:bCs/>
          <w:sz w:val="24"/>
          <w:szCs w:val="24"/>
        </w:rPr>
      </w:pPr>
      <w:r w:rsidRPr="00442E1F">
        <w:rPr>
          <w:rFonts w:ascii="Georgia" w:hAnsi="Georgia"/>
          <w:b/>
          <w:bCs/>
          <w:sz w:val="24"/>
          <w:szCs w:val="24"/>
        </w:rPr>
        <w:lastRenderedPageBreak/>
        <w:t>Market Design</w:t>
      </w:r>
      <w:r w:rsidR="00B67A43" w:rsidRPr="00442E1F">
        <w:rPr>
          <w:rFonts w:ascii="Georgia" w:hAnsi="Georgia"/>
          <w:b/>
          <w:bCs/>
          <w:sz w:val="24"/>
          <w:szCs w:val="24"/>
        </w:rPr>
        <w:t xml:space="preserve"> Cannot Be </w:t>
      </w:r>
      <w:r w:rsidR="00D9226E" w:rsidRPr="00442E1F">
        <w:rPr>
          <w:rFonts w:ascii="Georgia" w:hAnsi="Georgia"/>
          <w:b/>
          <w:bCs/>
          <w:sz w:val="24"/>
          <w:szCs w:val="24"/>
        </w:rPr>
        <w:t>Modernized</w:t>
      </w:r>
      <w:r w:rsidRPr="00442E1F">
        <w:rPr>
          <w:rFonts w:ascii="Georgia" w:hAnsi="Georgia"/>
          <w:b/>
          <w:bCs/>
          <w:sz w:val="24"/>
          <w:szCs w:val="24"/>
        </w:rPr>
        <w:t xml:space="preserve"> When RTO</w:t>
      </w:r>
      <w:r w:rsidR="00F60DB9" w:rsidRPr="00442E1F">
        <w:rPr>
          <w:rFonts w:ascii="Georgia" w:hAnsi="Georgia"/>
          <w:b/>
          <w:bCs/>
          <w:sz w:val="24"/>
          <w:szCs w:val="24"/>
        </w:rPr>
        <w:t xml:space="preserve"> Stakeholder Processes </w:t>
      </w:r>
      <w:r w:rsidR="008B2B6F" w:rsidRPr="00442E1F">
        <w:rPr>
          <w:rFonts w:ascii="Georgia" w:hAnsi="Georgia"/>
          <w:b/>
          <w:bCs/>
          <w:sz w:val="24"/>
          <w:szCs w:val="24"/>
        </w:rPr>
        <w:t>Are Stuck In the Stone Age</w:t>
      </w:r>
    </w:p>
    <w:p w14:paraId="7E9EF7A1" w14:textId="77777777" w:rsidR="00442E1F" w:rsidRDefault="00F60DB9" w:rsidP="00F4488E">
      <w:pPr>
        <w:rPr>
          <w:rFonts w:ascii="Georgia" w:hAnsi="Georgia"/>
          <w:sz w:val="24"/>
          <w:szCs w:val="24"/>
        </w:rPr>
      </w:pPr>
      <w:r>
        <w:rPr>
          <w:rFonts w:ascii="Georgia" w:hAnsi="Georgia"/>
          <w:sz w:val="24"/>
          <w:szCs w:val="24"/>
        </w:rPr>
        <w:tab/>
      </w:r>
    </w:p>
    <w:p w14:paraId="14AEEF41" w14:textId="61C41120" w:rsidR="00F4488E" w:rsidRPr="00F4488E" w:rsidRDefault="00F60DB9" w:rsidP="00AA3D48">
      <w:pPr>
        <w:spacing w:line="360" w:lineRule="auto"/>
        <w:ind w:firstLine="720"/>
        <w:rPr>
          <w:rFonts w:ascii="Georgia" w:hAnsi="Georgia"/>
          <w:sz w:val="24"/>
          <w:szCs w:val="24"/>
        </w:rPr>
      </w:pPr>
      <w:r w:rsidRPr="00F60DB9">
        <w:rPr>
          <w:rFonts w:ascii="Georgia" w:hAnsi="Georgia"/>
          <w:sz w:val="24"/>
          <w:szCs w:val="24"/>
        </w:rPr>
        <w:t xml:space="preserve">In December 1999, FERC Order 2000 encouraged the voluntary creation of ISOs/RTOs to “facilitate lighter handed regulation” </w:t>
      </w:r>
      <w:r w:rsidR="00CD3BBF">
        <w:rPr>
          <w:rFonts w:ascii="Georgia" w:hAnsi="Georgia"/>
          <w:sz w:val="24"/>
          <w:szCs w:val="24"/>
        </w:rPr>
        <w:t xml:space="preserve">and </w:t>
      </w:r>
      <w:r w:rsidRPr="00F60DB9">
        <w:rPr>
          <w:rFonts w:ascii="Georgia" w:hAnsi="Georgia"/>
          <w:sz w:val="24"/>
          <w:szCs w:val="24"/>
        </w:rPr>
        <w:t>“reduce the need for Commission oversight and scrutiny.”</w:t>
      </w:r>
      <w:r w:rsidR="00C5660D">
        <w:rPr>
          <w:rStyle w:val="FootnoteReference"/>
          <w:rFonts w:ascii="Georgia" w:hAnsi="Georgia"/>
          <w:sz w:val="24"/>
          <w:szCs w:val="24"/>
        </w:rPr>
        <w:footnoteReference w:id="7"/>
      </w:r>
      <w:r w:rsidR="00892F37">
        <w:rPr>
          <w:rFonts w:ascii="Georgia" w:hAnsi="Georgia"/>
          <w:sz w:val="24"/>
          <w:szCs w:val="24"/>
        </w:rPr>
        <w:t xml:space="preserve"> Twenty years later, it’s obvious that reducing Commission scrutiny over RTO stakeholder </w:t>
      </w:r>
      <w:r w:rsidR="00F92BD5">
        <w:rPr>
          <w:rFonts w:ascii="Georgia" w:hAnsi="Georgia"/>
          <w:sz w:val="24"/>
          <w:szCs w:val="24"/>
        </w:rPr>
        <w:t>operations</w:t>
      </w:r>
      <w:r w:rsidR="00B62297">
        <w:rPr>
          <w:rFonts w:ascii="Georgia" w:hAnsi="Georgia"/>
          <w:sz w:val="24"/>
          <w:szCs w:val="24"/>
        </w:rPr>
        <w:t xml:space="preserve"> fails the public interest and results in</w:t>
      </w:r>
      <w:r w:rsidR="00F92BD5">
        <w:rPr>
          <w:rFonts w:ascii="Georgia" w:hAnsi="Georgia"/>
          <w:sz w:val="24"/>
          <w:szCs w:val="24"/>
        </w:rPr>
        <w:t xml:space="preserve"> the </w:t>
      </w:r>
      <w:r w:rsidR="00B62297">
        <w:rPr>
          <w:rFonts w:ascii="Georgia" w:hAnsi="Georgia"/>
          <w:sz w:val="24"/>
          <w:szCs w:val="24"/>
        </w:rPr>
        <w:t xml:space="preserve">disenfranchisement of </w:t>
      </w:r>
      <w:r w:rsidR="00EE5330">
        <w:rPr>
          <w:rFonts w:ascii="Georgia" w:hAnsi="Georgia"/>
          <w:sz w:val="24"/>
          <w:szCs w:val="24"/>
        </w:rPr>
        <w:t>communities impacted by RTOs. Some RTOs ban the ability of the general public to parti</w:t>
      </w:r>
      <w:r w:rsidR="00D9226E">
        <w:rPr>
          <w:rFonts w:ascii="Georgia" w:hAnsi="Georgia"/>
          <w:sz w:val="24"/>
          <w:szCs w:val="24"/>
        </w:rPr>
        <w:t>cipate</w:t>
      </w:r>
      <w:r w:rsidR="00F92BD5">
        <w:rPr>
          <w:rFonts w:ascii="Georgia" w:hAnsi="Georgia"/>
          <w:sz w:val="24"/>
          <w:szCs w:val="24"/>
        </w:rPr>
        <w:t xml:space="preserve"> at all, while others erect</w:t>
      </w:r>
      <w:r w:rsidR="004B12BC">
        <w:rPr>
          <w:rFonts w:ascii="Georgia" w:hAnsi="Georgia"/>
          <w:sz w:val="24"/>
          <w:szCs w:val="24"/>
        </w:rPr>
        <w:t xml:space="preserve"> all sort of barriers for the public interest to </w:t>
      </w:r>
      <w:r w:rsidR="00D9226E">
        <w:rPr>
          <w:rFonts w:ascii="Georgia" w:hAnsi="Georgia"/>
          <w:sz w:val="24"/>
          <w:szCs w:val="24"/>
        </w:rPr>
        <w:t>meaningfully</w:t>
      </w:r>
      <w:r w:rsidR="00B54310" w:rsidRPr="00B54310">
        <w:rPr>
          <w:rFonts w:ascii="Georgia" w:hAnsi="Georgia"/>
          <w:sz w:val="24"/>
          <w:szCs w:val="24"/>
        </w:rPr>
        <w:t xml:space="preserve"> </w:t>
      </w:r>
      <w:r w:rsidR="00B54310">
        <w:rPr>
          <w:rFonts w:ascii="Georgia" w:hAnsi="Georgia"/>
          <w:sz w:val="24"/>
          <w:szCs w:val="24"/>
        </w:rPr>
        <w:t>contribute</w:t>
      </w:r>
      <w:r w:rsidR="004B12BC">
        <w:rPr>
          <w:rFonts w:ascii="Georgia" w:hAnsi="Georgia"/>
          <w:sz w:val="24"/>
          <w:szCs w:val="24"/>
        </w:rPr>
        <w:t xml:space="preserve">. </w:t>
      </w:r>
      <w:r w:rsidR="00F4488E" w:rsidRPr="00F4488E">
        <w:rPr>
          <w:rFonts w:ascii="Georgia" w:hAnsi="Georgia"/>
          <w:sz w:val="24"/>
          <w:szCs w:val="24"/>
        </w:rPr>
        <w:t>FERC has delegated the heavy lifting of designing energy markets to the private RTOs. The RTOs administer internal stakeholder processes where lobbyists for utilities, power plants and Wall Street energy traders are free to not only offer their market design proposals but are granted voting rights by the RTO</w:t>
      </w:r>
      <w:r w:rsidR="00EB3E48">
        <w:rPr>
          <w:rFonts w:ascii="Georgia" w:hAnsi="Georgia"/>
          <w:sz w:val="24"/>
          <w:szCs w:val="24"/>
        </w:rPr>
        <w:t>—</w:t>
      </w:r>
      <w:r w:rsidR="00F4488E">
        <w:rPr>
          <w:rFonts w:ascii="Georgia" w:hAnsi="Georgia"/>
          <w:sz w:val="24"/>
          <w:szCs w:val="24"/>
        </w:rPr>
        <w:t xml:space="preserve">opportunities often denied to public interest </w:t>
      </w:r>
      <w:r w:rsidR="00D9226E">
        <w:rPr>
          <w:rFonts w:ascii="Georgia" w:hAnsi="Georgia"/>
          <w:sz w:val="24"/>
          <w:szCs w:val="24"/>
        </w:rPr>
        <w:t>representatives</w:t>
      </w:r>
      <w:r w:rsidR="00F4488E" w:rsidRPr="00F4488E">
        <w:rPr>
          <w:rFonts w:ascii="Georgia" w:hAnsi="Georgia"/>
          <w:sz w:val="24"/>
          <w:szCs w:val="24"/>
        </w:rPr>
        <w:t xml:space="preserve">. </w:t>
      </w:r>
    </w:p>
    <w:p w14:paraId="353F0DB4" w14:textId="33C515AF" w:rsidR="00A84B67" w:rsidRPr="00A84B67" w:rsidRDefault="00F4488E" w:rsidP="00442E1F">
      <w:pPr>
        <w:spacing w:line="360" w:lineRule="auto"/>
        <w:rPr>
          <w:rFonts w:ascii="Georgia" w:hAnsi="Georgia"/>
          <w:sz w:val="24"/>
          <w:szCs w:val="24"/>
        </w:rPr>
      </w:pPr>
      <w:r w:rsidRPr="00F4488E">
        <w:rPr>
          <w:rFonts w:ascii="Georgia" w:hAnsi="Georgia"/>
          <w:sz w:val="24"/>
          <w:szCs w:val="24"/>
        </w:rPr>
        <w:t xml:space="preserve">It is therefore unsurprising that RTOs </w:t>
      </w:r>
      <w:r>
        <w:rPr>
          <w:rFonts w:ascii="Georgia" w:hAnsi="Georgia"/>
          <w:sz w:val="24"/>
          <w:szCs w:val="24"/>
        </w:rPr>
        <w:t xml:space="preserve">often </w:t>
      </w:r>
      <w:r w:rsidRPr="00F4488E">
        <w:rPr>
          <w:rFonts w:ascii="Georgia" w:hAnsi="Georgia"/>
          <w:sz w:val="24"/>
          <w:szCs w:val="24"/>
        </w:rPr>
        <w:t>pursue market designs that are hostile to renewables and the public interest.</w:t>
      </w:r>
      <w:r>
        <w:rPr>
          <w:rFonts w:ascii="Georgia" w:hAnsi="Georgia"/>
          <w:sz w:val="24"/>
          <w:szCs w:val="24"/>
        </w:rPr>
        <w:t xml:space="preserve"> </w:t>
      </w:r>
      <w:r w:rsidRPr="00F4488E">
        <w:rPr>
          <w:rFonts w:ascii="Georgia" w:hAnsi="Georgia"/>
          <w:sz w:val="24"/>
          <w:szCs w:val="24"/>
        </w:rPr>
        <w:t xml:space="preserve">RTOs are responsive to their </w:t>
      </w:r>
      <w:r>
        <w:rPr>
          <w:rFonts w:ascii="Georgia" w:hAnsi="Georgia"/>
          <w:sz w:val="24"/>
          <w:szCs w:val="24"/>
        </w:rPr>
        <w:t xml:space="preserve">transmission owning </w:t>
      </w:r>
      <w:r w:rsidRPr="00F4488E">
        <w:rPr>
          <w:rFonts w:ascii="Georgia" w:hAnsi="Georgia"/>
          <w:sz w:val="24"/>
          <w:szCs w:val="24"/>
        </w:rPr>
        <w:t>members</w:t>
      </w:r>
      <w:r>
        <w:rPr>
          <w:rFonts w:ascii="Georgia" w:hAnsi="Georgia"/>
          <w:sz w:val="24"/>
          <w:szCs w:val="24"/>
        </w:rPr>
        <w:t xml:space="preserve"> and other powerful industry stakeholders, and </w:t>
      </w:r>
      <w:r w:rsidRPr="00F4488E">
        <w:rPr>
          <w:rFonts w:ascii="Georgia" w:hAnsi="Georgia"/>
          <w:sz w:val="24"/>
          <w:szCs w:val="24"/>
        </w:rPr>
        <w:t>not the public interest.</w:t>
      </w:r>
      <w:r w:rsidR="00A84B67">
        <w:rPr>
          <w:rFonts w:ascii="Georgia" w:hAnsi="Georgia"/>
          <w:sz w:val="24"/>
          <w:szCs w:val="24"/>
        </w:rPr>
        <w:t xml:space="preserve"> </w:t>
      </w:r>
      <w:r w:rsidR="00A84B67" w:rsidRPr="00A84B67">
        <w:rPr>
          <w:rFonts w:ascii="Georgia" w:hAnsi="Georgia"/>
          <w:i/>
          <w:iCs/>
          <w:sz w:val="24"/>
          <w:szCs w:val="24"/>
        </w:rPr>
        <w:t>NRG Power Marketing, LLC v. FERC</w:t>
      </w:r>
      <w:r w:rsidR="00A84B67" w:rsidRPr="00A84B67">
        <w:rPr>
          <w:rFonts w:ascii="Georgia" w:hAnsi="Georgia"/>
          <w:sz w:val="24"/>
          <w:szCs w:val="24"/>
        </w:rPr>
        <w:t xml:space="preserve"> (2017) limits FERC’s ability to alter RTOs § 205 filings, thereby vastly empowering the ability of RTOs to dictate the direction of market reforms. </w:t>
      </w:r>
    </w:p>
    <w:p w14:paraId="5076AB00" w14:textId="7BC393B2" w:rsidR="00F60DB9" w:rsidRDefault="00C71760" w:rsidP="00AA3D48">
      <w:pPr>
        <w:spacing w:line="360" w:lineRule="auto"/>
        <w:ind w:firstLine="720"/>
        <w:rPr>
          <w:rFonts w:ascii="Georgia" w:hAnsi="Georgia"/>
          <w:sz w:val="24"/>
          <w:szCs w:val="24"/>
        </w:rPr>
      </w:pPr>
      <w:r>
        <w:rPr>
          <w:rFonts w:ascii="Georgia" w:hAnsi="Georgia"/>
          <w:sz w:val="24"/>
          <w:szCs w:val="24"/>
        </w:rPr>
        <w:t>FERC cannot enact meaningful market design reforms when it relies on an RTO stakeholder process stuck in the</w:t>
      </w:r>
      <w:r w:rsidR="00617981">
        <w:rPr>
          <w:rFonts w:ascii="Georgia" w:hAnsi="Georgia"/>
          <w:sz w:val="24"/>
          <w:szCs w:val="24"/>
        </w:rPr>
        <w:t xml:space="preserve"> Stone Age. Efforts to modernize market reforms begin and end with revamping </w:t>
      </w:r>
      <w:r w:rsidR="0079152E">
        <w:rPr>
          <w:rFonts w:ascii="Georgia" w:hAnsi="Georgia"/>
          <w:sz w:val="24"/>
          <w:szCs w:val="24"/>
        </w:rPr>
        <w:t xml:space="preserve">a stakeholder process that is no longer controlled by private RTOs. </w:t>
      </w:r>
      <w:r w:rsidR="00CF50C3">
        <w:rPr>
          <w:rFonts w:ascii="Georgia" w:hAnsi="Georgia"/>
          <w:sz w:val="24"/>
          <w:szCs w:val="24"/>
        </w:rPr>
        <w:t xml:space="preserve">The </w:t>
      </w:r>
      <w:r w:rsidR="00A06CFC">
        <w:rPr>
          <w:rFonts w:ascii="Georgia" w:hAnsi="Georgia"/>
          <w:sz w:val="24"/>
          <w:szCs w:val="24"/>
        </w:rPr>
        <w:t>Commission</w:t>
      </w:r>
      <w:r w:rsidR="00CF50C3">
        <w:rPr>
          <w:rFonts w:ascii="Georgia" w:hAnsi="Georgia"/>
          <w:sz w:val="24"/>
          <w:szCs w:val="24"/>
        </w:rPr>
        <w:t xml:space="preserve"> must revisit Order 719 to ensure that</w:t>
      </w:r>
      <w:r w:rsidR="00D7556A">
        <w:rPr>
          <w:rFonts w:ascii="Georgia" w:hAnsi="Georgia"/>
          <w:sz w:val="24"/>
          <w:szCs w:val="24"/>
        </w:rPr>
        <w:t xml:space="preserve"> the public interest—and not transmission owners, </w:t>
      </w:r>
      <w:r w:rsidR="00A06CFC">
        <w:rPr>
          <w:rFonts w:ascii="Georgia" w:hAnsi="Georgia"/>
          <w:sz w:val="24"/>
          <w:szCs w:val="24"/>
        </w:rPr>
        <w:t>incumbent</w:t>
      </w:r>
      <w:r w:rsidR="00D7556A">
        <w:rPr>
          <w:rFonts w:ascii="Georgia" w:hAnsi="Georgia"/>
          <w:sz w:val="24"/>
          <w:szCs w:val="24"/>
        </w:rPr>
        <w:t xml:space="preserve"> generators</w:t>
      </w:r>
      <w:r w:rsidR="008B488B">
        <w:rPr>
          <w:rFonts w:ascii="Georgia" w:hAnsi="Georgia"/>
          <w:sz w:val="24"/>
          <w:szCs w:val="24"/>
        </w:rPr>
        <w:t xml:space="preserve"> or financial traders—determine outcomes of the </w:t>
      </w:r>
      <w:r w:rsidR="00A06CFC">
        <w:rPr>
          <w:rFonts w:ascii="Georgia" w:hAnsi="Georgia"/>
          <w:sz w:val="24"/>
          <w:szCs w:val="24"/>
        </w:rPr>
        <w:t>stakeholder process.</w:t>
      </w:r>
    </w:p>
    <w:p w14:paraId="69BD5AA0" w14:textId="77777777" w:rsidR="00D9226E" w:rsidRDefault="00D9226E" w:rsidP="00C71760">
      <w:pPr>
        <w:ind w:firstLine="720"/>
        <w:rPr>
          <w:rFonts w:ascii="Georgia" w:hAnsi="Georgia"/>
          <w:sz w:val="24"/>
          <w:szCs w:val="24"/>
        </w:rPr>
      </w:pPr>
    </w:p>
    <w:p w14:paraId="5AA23EA3" w14:textId="77777777" w:rsidR="00AD1E95" w:rsidRDefault="00AD1E95" w:rsidP="00AD1E95">
      <w:pPr>
        <w:rPr>
          <w:rFonts w:ascii="Georgia" w:hAnsi="Georgia"/>
          <w:sz w:val="24"/>
          <w:szCs w:val="24"/>
        </w:rPr>
      </w:pPr>
    </w:p>
    <w:p w14:paraId="3562C460" w14:textId="66486463" w:rsidR="00AD1E95" w:rsidRPr="00D9226E" w:rsidRDefault="00D9226E" w:rsidP="00D9226E">
      <w:pPr>
        <w:jc w:val="center"/>
        <w:rPr>
          <w:rFonts w:ascii="Georgia" w:hAnsi="Georgia"/>
          <w:b/>
          <w:bCs/>
          <w:sz w:val="24"/>
          <w:szCs w:val="24"/>
        </w:rPr>
      </w:pPr>
      <w:r w:rsidRPr="00D9226E">
        <w:rPr>
          <w:rFonts w:ascii="Georgia" w:hAnsi="Georgia"/>
          <w:b/>
          <w:bCs/>
          <w:sz w:val="24"/>
          <w:szCs w:val="24"/>
        </w:rPr>
        <w:t>Conclusions</w:t>
      </w:r>
    </w:p>
    <w:p w14:paraId="657D8341" w14:textId="77777777" w:rsidR="00AD1E95" w:rsidRDefault="00AD1E95" w:rsidP="00AD1E95">
      <w:pPr>
        <w:rPr>
          <w:rFonts w:ascii="Georgia" w:hAnsi="Georgia"/>
          <w:sz w:val="24"/>
          <w:szCs w:val="24"/>
        </w:rPr>
      </w:pPr>
    </w:p>
    <w:p w14:paraId="3162CBE8" w14:textId="349BD790" w:rsidR="00AD1E95" w:rsidRPr="00AD1E95" w:rsidRDefault="00AD1E95" w:rsidP="00AD1E95">
      <w:pPr>
        <w:pStyle w:val="ListParagraph"/>
        <w:numPr>
          <w:ilvl w:val="0"/>
          <w:numId w:val="1"/>
        </w:numPr>
        <w:rPr>
          <w:rFonts w:ascii="Georgia" w:hAnsi="Georgia"/>
          <w:sz w:val="24"/>
          <w:szCs w:val="24"/>
        </w:rPr>
      </w:pPr>
      <w:r>
        <w:rPr>
          <w:rFonts w:ascii="Georgia" w:hAnsi="Georgia"/>
          <w:sz w:val="24"/>
          <w:szCs w:val="24"/>
        </w:rPr>
        <w:t xml:space="preserve">Limit </w:t>
      </w:r>
      <w:r w:rsidRPr="00AD1E95">
        <w:rPr>
          <w:rFonts w:ascii="Georgia" w:hAnsi="Georgia"/>
          <w:sz w:val="24"/>
          <w:szCs w:val="24"/>
        </w:rPr>
        <w:t xml:space="preserve">climate change price gouging </w:t>
      </w:r>
      <w:r>
        <w:rPr>
          <w:rFonts w:ascii="Georgia" w:hAnsi="Georgia"/>
          <w:sz w:val="24"/>
          <w:szCs w:val="24"/>
        </w:rPr>
        <w:t>through nationwide</w:t>
      </w:r>
      <w:r w:rsidRPr="00AD1E95">
        <w:rPr>
          <w:rFonts w:ascii="Georgia" w:hAnsi="Georgia"/>
          <w:sz w:val="24"/>
          <w:szCs w:val="24"/>
        </w:rPr>
        <w:t xml:space="preserve"> soft cap transparency reporting</w:t>
      </w:r>
      <w:r w:rsidR="00E412EF">
        <w:rPr>
          <w:rFonts w:ascii="Georgia" w:hAnsi="Georgia"/>
          <w:sz w:val="24"/>
          <w:szCs w:val="24"/>
        </w:rPr>
        <w:t>.</w:t>
      </w:r>
    </w:p>
    <w:p w14:paraId="1167A918" w14:textId="363562D1" w:rsidR="00AD1E95" w:rsidRPr="00AD1E95" w:rsidRDefault="00AD1E95" w:rsidP="00AD1E95">
      <w:pPr>
        <w:ind w:left="360"/>
        <w:rPr>
          <w:rFonts w:ascii="Georgia" w:hAnsi="Georgia"/>
          <w:sz w:val="24"/>
          <w:szCs w:val="24"/>
        </w:rPr>
      </w:pPr>
    </w:p>
    <w:p w14:paraId="64E55C60" w14:textId="59A991C4" w:rsidR="00AD1E95" w:rsidRPr="00AD1E95" w:rsidRDefault="00E412EF" w:rsidP="00AD1E95">
      <w:pPr>
        <w:pStyle w:val="ListParagraph"/>
        <w:numPr>
          <w:ilvl w:val="0"/>
          <w:numId w:val="1"/>
        </w:numPr>
        <w:rPr>
          <w:rFonts w:ascii="Georgia" w:hAnsi="Georgia"/>
          <w:sz w:val="24"/>
          <w:szCs w:val="24"/>
        </w:rPr>
      </w:pPr>
      <w:r>
        <w:rPr>
          <w:rFonts w:ascii="Georgia" w:hAnsi="Georgia"/>
          <w:sz w:val="24"/>
          <w:szCs w:val="24"/>
        </w:rPr>
        <w:lastRenderedPageBreak/>
        <w:t>C</w:t>
      </w:r>
      <w:r w:rsidR="00AD1E95" w:rsidRPr="00AD1E95">
        <w:rPr>
          <w:rFonts w:ascii="Georgia" w:hAnsi="Georgia"/>
          <w:sz w:val="24"/>
          <w:szCs w:val="24"/>
        </w:rPr>
        <w:t xml:space="preserve">loser coordination between FERC and the CFTC to </w:t>
      </w:r>
      <w:r w:rsidRPr="00AD1E95">
        <w:rPr>
          <w:rFonts w:ascii="Georgia" w:hAnsi="Georgia"/>
          <w:sz w:val="24"/>
          <w:szCs w:val="24"/>
        </w:rPr>
        <w:t>alleviate</w:t>
      </w:r>
      <w:r w:rsidR="00AD1E95" w:rsidRPr="00AD1E95">
        <w:rPr>
          <w:rFonts w:ascii="Georgia" w:hAnsi="Georgia"/>
          <w:sz w:val="24"/>
          <w:szCs w:val="24"/>
        </w:rPr>
        <w:t xml:space="preserve"> information asymmetry between futures and spot markets</w:t>
      </w:r>
      <w:r>
        <w:rPr>
          <w:rFonts w:ascii="Georgia" w:hAnsi="Georgia"/>
          <w:sz w:val="24"/>
          <w:szCs w:val="24"/>
        </w:rPr>
        <w:t>.</w:t>
      </w:r>
    </w:p>
    <w:p w14:paraId="4E15BC0C" w14:textId="77777777" w:rsidR="00AD1E95" w:rsidRPr="00AD1E95" w:rsidRDefault="00AD1E95" w:rsidP="00AD1E95">
      <w:pPr>
        <w:rPr>
          <w:rFonts w:ascii="Georgia" w:hAnsi="Georgia"/>
          <w:sz w:val="24"/>
          <w:szCs w:val="24"/>
        </w:rPr>
      </w:pPr>
    </w:p>
    <w:p w14:paraId="32DBE4CA" w14:textId="21CAC477" w:rsidR="00AD1E95" w:rsidRPr="00AD1E95" w:rsidRDefault="00AD1E95" w:rsidP="00AD1E95">
      <w:pPr>
        <w:pStyle w:val="ListParagraph"/>
        <w:numPr>
          <w:ilvl w:val="0"/>
          <w:numId w:val="1"/>
        </w:numPr>
        <w:rPr>
          <w:rFonts w:ascii="Georgia" w:hAnsi="Georgia"/>
          <w:sz w:val="24"/>
          <w:szCs w:val="24"/>
        </w:rPr>
      </w:pPr>
      <w:r w:rsidRPr="00AD1E95">
        <w:rPr>
          <w:rFonts w:ascii="Georgia" w:hAnsi="Georgia"/>
          <w:sz w:val="24"/>
          <w:szCs w:val="24"/>
        </w:rPr>
        <w:t xml:space="preserve">Enhanced levels of </w:t>
      </w:r>
      <w:r w:rsidR="00E412EF" w:rsidRPr="00AD1E95">
        <w:rPr>
          <w:rFonts w:ascii="Georgia" w:hAnsi="Georgia"/>
          <w:sz w:val="24"/>
          <w:szCs w:val="24"/>
        </w:rPr>
        <w:t>publicly available</w:t>
      </w:r>
      <w:r w:rsidRPr="00AD1E95">
        <w:rPr>
          <w:rFonts w:ascii="Georgia" w:hAnsi="Georgia"/>
          <w:sz w:val="24"/>
          <w:szCs w:val="24"/>
        </w:rPr>
        <w:t>, real-time operational data</w:t>
      </w:r>
      <w:r w:rsidR="00E412EF">
        <w:rPr>
          <w:rFonts w:ascii="Georgia" w:hAnsi="Georgia"/>
          <w:sz w:val="24"/>
          <w:szCs w:val="24"/>
        </w:rPr>
        <w:t>.</w:t>
      </w:r>
    </w:p>
    <w:p w14:paraId="38E4D759" w14:textId="77777777" w:rsidR="00AD1E95" w:rsidRPr="00AD1E95" w:rsidRDefault="00AD1E95" w:rsidP="00AD1E95">
      <w:pPr>
        <w:rPr>
          <w:rFonts w:ascii="Georgia" w:hAnsi="Georgia"/>
          <w:sz w:val="24"/>
          <w:szCs w:val="24"/>
        </w:rPr>
      </w:pPr>
    </w:p>
    <w:p w14:paraId="3E26537D" w14:textId="262D5829" w:rsidR="00AD1E95" w:rsidRPr="00AD1E95" w:rsidRDefault="00E412EF" w:rsidP="00AD1E95">
      <w:pPr>
        <w:pStyle w:val="ListParagraph"/>
        <w:numPr>
          <w:ilvl w:val="0"/>
          <w:numId w:val="1"/>
        </w:numPr>
        <w:rPr>
          <w:rFonts w:ascii="Georgia" w:hAnsi="Georgia"/>
          <w:sz w:val="24"/>
          <w:szCs w:val="24"/>
        </w:rPr>
      </w:pPr>
      <w:r>
        <w:rPr>
          <w:rFonts w:ascii="Georgia" w:hAnsi="Georgia"/>
          <w:sz w:val="24"/>
          <w:szCs w:val="24"/>
        </w:rPr>
        <w:t>Boost</w:t>
      </w:r>
      <w:r w:rsidRPr="00AD1E95">
        <w:rPr>
          <w:rFonts w:ascii="Georgia" w:hAnsi="Georgia"/>
          <w:sz w:val="24"/>
          <w:szCs w:val="24"/>
        </w:rPr>
        <w:t xml:space="preserve"> </w:t>
      </w:r>
      <w:r w:rsidR="00AD1E95" w:rsidRPr="00AD1E95">
        <w:rPr>
          <w:rFonts w:ascii="Georgia" w:hAnsi="Georgia"/>
          <w:sz w:val="24"/>
          <w:szCs w:val="24"/>
        </w:rPr>
        <w:t>enforcement over the increasing role of financial traders</w:t>
      </w:r>
      <w:r>
        <w:rPr>
          <w:rFonts w:ascii="Georgia" w:hAnsi="Georgia"/>
          <w:sz w:val="24"/>
          <w:szCs w:val="24"/>
        </w:rPr>
        <w:t>, including strengthening oversight and reporting of the interconnection of gas and power traders.</w:t>
      </w:r>
    </w:p>
    <w:p w14:paraId="52A3A40E" w14:textId="77777777" w:rsidR="00E412EF" w:rsidRDefault="00E412EF" w:rsidP="00AD1E95">
      <w:pPr>
        <w:rPr>
          <w:rFonts w:ascii="Georgia" w:hAnsi="Georgia"/>
          <w:sz w:val="24"/>
          <w:szCs w:val="24"/>
        </w:rPr>
      </w:pPr>
    </w:p>
    <w:p w14:paraId="4113C394" w14:textId="74FF1DE3" w:rsidR="00AD1E95" w:rsidRPr="00E412EF" w:rsidRDefault="00E412EF" w:rsidP="00E412EF">
      <w:pPr>
        <w:pStyle w:val="ListParagraph"/>
        <w:numPr>
          <w:ilvl w:val="0"/>
          <w:numId w:val="1"/>
        </w:numPr>
        <w:rPr>
          <w:rFonts w:ascii="Georgia" w:hAnsi="Georgia"/>
          <w:sz w:val="24"/>
          <w:szCs w:val="24"/>
        </w:rPr>
      </w:pPr>
      <w:r>
        <w:rPr>
          <w:rFonts w:ascii="Georgia" w:hAnsi="Georgia"/>
          <w:sz w:val="24"/>
          <w:szCs w:val="24"/>
        </w:rPr>
        <w:t>Improve s</w:t>
      </w:r>
      <w:r w:rsidR="00AD1E95" w:rsidRPr="00E412EF">
        <w:rPr>
          <w:rFonts w:ascii="Georgia" w:hAnsi="Georgia"/>
          <w:sz w:val="24"/>
          <w:szCs w:val="24"/>
        </w:rPr>
        <w:t>pot natural gas transparency</w:t>
      </w:r>
      <w:r w:rsidR="00265FE7">
        <w:rPr>
          <w:rFonts w:ascii="Georgia" w:hAnsi="Georgia"/>
          <w:sz w:val="24"/>
          <w:szCs w:val="24"/>
        </w:rPr>
        <w:t xml:space="preserve"> through </w:t>
      </w:r>
      <w:r w:rsidR="00265FE7" w:rsidRPr="00265FE7">
        <w:rPr>
          <w:rFonts w:ascii="Georgia" w:hAnsi="Georgia"/>
          <w:sz w:val="24"/>
          <w:szCs w:val="24"/>
        </w:rPr>
        <w:t>15 USC §</w:t>
      </w:r>
      <w:r w:rsidR="00265FE7" w:rsidRPr="00265FE7">
        <w:rPr>
          <w:rFonts w:ascii="Times New Roman" w:hAnsi="Times New Roman" w:cs="Times New Roman"/>
          <w:sz w:val="24"/>
          <w:szCs w:val="24"/>
        </w:rPr>
        <w:t> </w:t>
      </w:r>
      <w:r w:rsidR="00265FE7" w:rsidRPr="00265FE7">
        <w:rPr>
          <w:rFonts w:ascii="Georgia" w:hAnsi="Georgia"/>
          <w:sz w:val="24"/>
          <w:szCs w:val="24"/>
        </w:rPr>
        <w:t>717t</w:t>
      </w:r>
      <w:r w:rsidR="00265FE7" w:rsidRPr="00265FE7">
        <w:rPr>
          <w:rFonts w:ascii="Georgia" w:hAnsi="Georgia" w:cs="Georgia"/>
          <w:sz w:val="24"/>
          <w:szCs w:val="24"/>
        </w:rPr>
        <w:t>–</w:t>
      </w:r>
      <w:r w:rsidR="00265FE7" w:rsidRPr="00265FE7">
        <w:rPr>
          <w:rFonts w:ascii="Georgia" w:hAnsi="Georgia"/>
          <w:sz w:val="24"/>
          <w:szCs w:val="24"/>
        </w:rPr>
        <w:t>2(a)(4)</w:t>
      </w:r>
      <w:r w:rsidR="00265FE7">
        <w:rPr>
          <w:rFonts w:ascii="Georgia" w:hAnsi="Georgia"/>
          <w:sz w:val="24"/>
          <w:szCs w:val="24"/>
        </w:rPr>
        <w:t>.</w:t>
      </w:r>
    </w:p>
    <w:p w14:paraId="4E9FBA43" w14:textId="77777777" w:rsidR="00AD1E95" w:rsidRPr="00AD1E95" w:rsidRDefault="00AD1E95" w:rsidP="00AD1E95">
      <w:pPr>
        <w:rPr>
          <w:rFonts w:ascii="Georgia" w:hAnsi="Georgia"/>
          <w:sz w:val="24"/>
          <w:szCs w:val="24"/>
        </w:rPr>
      </w:pPr>
    </w:p>
    <w:p w14:paraId="6527D0FB" w14:textId="67DC9004" w:rsidR="00AD1E95" w:rsidRPr="00E412EF" w:rsidRDefault="00353CE4" w:rsidP="00E412EF">
      <w:pPr>
        <w:pStyle w:val="ListParagraph"/>
        <w:numPr>
          <w:ilvl w:val="0"/>
          <w:numId w:val="1"/>
        </w:numPr>
        <w:rPr>
          <w:rFonts w:ascii="Georgia" w:hAnsi="Georgia"/>
          <w:sz w:val="24"/>
          <w:szCs w:val="24"/>
        </w:rPr>
      </w:pPr>
      <w:r>
        <w:rPr>
          <w:rFonts w:ascii="Georgia" w:hAnsi="Georgia"/>
          <w:sz w:val="24"/>
          <w:szCs w:val="24"/>
        </w:rPr>
        <w:t>R</w:t>
      </w:r>
      <w:r w:rsidR="00AD1E95" w:rsidRPr="00E412EF">
        <w:rPr>
          <w:rFonts w:ascii="Georgia" w:hAnsi="Georgia"/>
          <w:sz w:val="24"/>
          <w:szCs w:val="24"/>
        </w:rPr>
        <w:t>eform RTO</w:t>
      </w:r>
      <w:r>
        <w:rPr>
          <w:rFonts w:ascii="Georgia" w:hAnsi="Georgia"/>
          <w:sz w:val="24"/>
          <w:szCs w:val="24"/>
        </w:rPr>
        <w:t>s control over</w:t>
      </w:r>
      <w:r w:rsidR="00AD1E95" w:rsidRPr="00E412EF">
        <w:rPr>
          <w:rFonts w:ascii="Georgia" w:hAnsi="Georgia"/>
          <w:sz w:val="24"/>
          <w:szCs w:val="24"/>
        </w:rPr>
        <w:t xml:space="preserve"> stakeholder process</w:t>
      </w:r>
      <w:r>
        <w:rPr>
          <w:rFonts w:ascii="Georgia" w:hAnsi="Georgia"/>
          <w:sz w:val="24"/>
          <w:szCs w:val="24"/>
        </w:rPr>
        <w:t>es.</w:t>
      </w:r>
    </w:p>
    <w:p w14:paraId="5D050CCB" w14:textId="77777777" w:rsidR="00AD1E95" w:rsidRDefault="00AD1E95" w:rsidP="00AD1E95">
      <w:pPr>
        <w:rPr>
          <w:rFonts w:ascii="Georgia" w:hAnsi="Georgia"/>
          <w:sz w:val="24"/>
          <w:szCs w:val="24"/>
        </w:rPr>
      </w:pPr>
    </w:p>
    <w:p w14:paraId="1003475B" w14:textId="68D519BD" w:rsidR="00F67AA9" w:rsidRDefault="00F67AA9" w:rsidP="002E0BB0">
      <w:pPr>
        <w:rPr>
          <w:rFonts w:ascii="Georgia" w:hAnsi="Georgia"/>
          <w:sz w:val="24"/>
          <w:szCs w:val="24"/>
        </w:rPr>
      </w:pPr>
      <w:r>
        <w:rPr>
          <w:rFonts w:ascii="Georgia" w:hAnsi="Georgia"/>
          <w:sz w:val="24"/>
          <w:szCs w:val="24"/>
        </w:rPr>
        <w:tab/>
      </w:r>
    </w:p>
    <w:p w14:paraId="16D1C6E9" w14:textId="78C0F81B" w:rsidR="00A400ED" w:rsidRDefault="00D6106C">
      <w:pPr>
        <w:rPr>
          <w:rFonts w:ascii="Georgia" w:hAnsi="Georgia"/>
          <w:sz w:val="24"/>
          <w:szCs w:val="24"/>
        </w:rPr>
      </w:pPr>
      <w:r>
        <w:rPr>
          <w:rFonts w:ascii="Georgia" w:hAnsi="Georgia"/>
          <w:sz w:val="24"/>
          <w:szCs w:val="24"/>
        </w:rPr>
        <w:tab/>
      </w:r>
    </w:p>
    <w:p w14:paraId="537541F6" w14:textId="598D2A68" w:rsidR="00AE450C" w:rsidRDefault="00AC23F5">
      <w:pPr>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0F2EDFDF" w14:textId="77777777" w:rsidR="00AC23F5" w:rsidRDefault="00AC23F5">
      <w:pPr>
        <w:rPr>
          <w:rFonts w:ascii="Georgia" w:hAnsi="Georgia"/>
          <w:sz w:val="24"/>
          <w:szCs w:val="24"/>
        </w:rPr>
      </w:pPr>
    </w:p>
    <w:p w14:paraId="3AB06AFD" w14:textId="179A2C45" w:rsidR="00AC23F5" w:rsidRDefault="00AC23F5">
      <w:pPr>
        <w:rPr>
          <w:rFonts w:ascii="Georgia" w:hAnsi="Georgia"/>
          <w:sz w:val="24"/>
          <w:szCs w:val="24"/>
        </w:rPr>
      </w:pPr>
      <w:r>
        <w:rPr>
          <w:rFonts w:ascii="Georgia" w:hAnsi="Georgia"/>
          <w:sz w:val="24"/>
          <w:szCs w:val="24"/>
        </w:rPr>
        <w:tab/>
      </w:r>
      <w:r>
        <w:rPr>
          <w:rFonts w:ascii="Georgia" w:hAnsi="Georgia"/>
          <w:sz w:val="24"/>
          <w:szCs w:val="24"/>
        </w:rPr>
        <w:tab/>
        <w:t>Tyson Slocum, Energy</w:t>
      </w:r>
      <w:r w:rsidR="00B149D1">
        <w:rPr>
          <w:rFonts w:ascii="Georgia" w:hAnsi="Georgia"/>
          <w:sz w:val="24"/>
          <w:szCs w:val="24"/>
        </w:rPr>
        <w:t xml:space="preserve"> Program Director</w:t>
      </w:r>
    </w:p>
    <w:p w14:paraId="10506876" w14:textId="3F1C2EB2" w:rsidR="00B149D1" w:rsidRDefault="00B149D1">
      <w:pPr>
        <w:rPr>
          <w:rFonts w:ascii="Georgia" w:hAnsi="Georgia"/>
          <w:sz w:val="24"/>
          <w:szCs w:val="24"/>
        </w:rPr>
      </w:pPr>
      <w:r>
        <w:rPr>
          <w:rFonts w:ascii="Georgia" w:hAnsi="Georgia"/>
          <w:sz w:val="24"/>
          <w:szCs w:val="24"/>
        </w:rPr>
        <w:tab/>
      </w:r>
      <w:r>
        <w:rPr>
          <w:rFonts w:ascii="Georgia" w:hAnsi="Georgia"/>
          <w:sz w:val="24"/>
          <w:szCs w:val="24"/>
        </w:rPr>
        <w:tab/>
        <w:t>Public Citizen, Inc.</w:t>
      </w:r>
    </w:p>
    <w:p w14:paraId="0444E93A" w14:textId="719B9900" w:rsidR="00B149D1" w:rsidRDefault="00B149D1">
      <w:pPr>
        <w:rPr>
          <w:rFonts w:ascii="Georgia" w:hAnsi="Georgia"/>
          <w:sz w:val="24"/>
          <w:szCs w:val="24"/>
        </w:rPr>
      </w:pPr>
      <w:r>
        <w:rPr>
          <w:rFonts w:ascii="Georgia" w:hAnsi="Georgia"/>
          <w:sz w:val="24"/>
          <w:szCs w:val="24"/>
        </w:rPr>
        <w:tab/>
      </w:r>
      <w:r>
        <w:rPr>
          <w:rFonts w:ascii="Georgia" w:hAnsi="Georgia"/>
          <w:sz w:val="24"/>
          <w:szCs w:val="24"/>
        </w:rPr>
        <w:tab/>
        <w:t xml:space="preserve">215 </w:t>
      </w:r>
      <w:r w:rsidR="00D9226E">
        <w:rPr>
          <w:rFonts w:ascii="Georgia" w:hAnsi="Georgia"/>
          <w:sz w:val="24"/>
          <w:szCs w:val="24"/>
        </w:rPr>
        <w:t>Pennsylvania</w:t>
      </w:r>
      <w:r>
        <w:rPr>
          <w:rFonts w:ascii="Georgia" w:hAnsi="Georgia"/>
          <w:sz w:val="24"/>
          <w:szCs w:val="24"/>
        </w:rPr>
        <w:t xml:space="preserve"> Ave SE</w:t>
      </w:r>
    </w:p>
    <w:p w14:paraId="5DA775D4" w14:textId="4DA758FF" w:rsidR="00B149D1" w:rsidRDefault="00B149D1">
      <w:pPr>
        <w:rPr>
          <w:rFonts w:ascii="Georgia" w:hAnsi="Georgia"/>
          <w:sz w:val="24"/>
          <w:szCs w:val="24"/>
        </w:rPr>
      </w:pPr>
      <w:r>
        <w:rPr>
          <w:rFonts w:ascii="Georgia" w:hAnsi="Georgia"/>
          <w:sz w:val="24"/>
          <w:szCs w:val="24"/>
        </w:rPr>
        <w:tab/>
      </w:r>
      <w:r>
        <w:rPr>
          <w:rFonts w:ascii="Georgia" w:hAnsi="Georgia"/>
          <w:sz w:val="24"/>
          <w:szCs w:val="24"/>
        </w:rPr>
        <w:tab/>
        <w:t>Washington, DC  20003</w:t>
      </w:r>
    </w:p>
    <w:p w14:paraId="3D344452" w14:textId="670FCDB1" w:rsidR="00B149D1" w:rsidRDefault="00B149D1">
      <w:pPr>
        <w:rPr>
          <w:rFonts w:ascii="Georgia" w:hAnsi="Georgia"/>
          <w:sz w:val="24"/>
          <w:szCs w:val="24"/>
        </w:rPr>
      </w:pPr>
      <w:r>
        <w:rPr>
          <w:rFonts w:ascii="Georgia" w:hAnsi="Georgia"/>
          <w:sz w:val="24"/>
          <w:szCs w:val="24"/>
        </w:rPr>
        <w:tab/>
      </w:r>
      <w:r>
        <w:rPr>
          <w:rFonts w:ascii="Georgia" w:hAnsi="Georgia"/>
          <w:sz w:val="24"/>
          <w:szCs w:val="24"/>
        </w:rPr>
        <w:tab/>
        <w:t>(</w:t>
      </w:r>
      <w:r w:rsidR="00AD1E95">
        <w:rPr>
          <w:rFonts w:ascii="Georgia" w:hAnsi="Georgia"/>
          <w:sz w:val="24"/>
          <w:szCs w:val="24"/>
        </w:rPr>
        <w:t>202) 454-5191</w:t>
      </w:r>
    </w:p>
    <w:p w14:paraId="5CE1E366" w14:textId="29164D24" w:rsidR="00AD1E95" w:rsidRPr="00AE450C" w:rsidRDefault="00AD1E95">
      <w:pPr>
        <w:rPr>
          <w:rFonts w:ascii="Georgia" w:hAnsi="Georgia"/>
          <w:sz w:val="24"/>
          <w:szCs w:val="24"/>
        </w:rPr>
      </w:pPr>
      <w:r>
        <w:rPr>
          <w:rFonts w:ascii="Georgia" w:hAnsi="Georgia"/>
          <w:sz w:val="24"/>
          <w:szCs w:val="24"/>
        </w:rPr>
        <w:tab/>
      </w:r>
      <w:r>
        <w:rPr>
          <w:rFonts w:ascii="Georgia" w:hAnsi="Georgia"/>
          <w:sz w:val="24"/>
          <w:szCs w:val="24"/>
        </w:rPr>
        <w:tab/>
        <w:t>tslocum@citizen.org</w:t>
      </w:r>
    </w:p>
    <w:sectPr w:rsidR="00AD1E95" w:rsidRPr="00AE450C" w:rsidSect="00372A0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B625" w14:textId="77777777" w:rsidR="00833A76" w:rsidRDefault="00833A76" w:rsidP="009A63A2">
      <w:r>
        <w:separator/>
      </w:r>
    </w:p>
  </w:endnote>
  <w:endnote w:type="continuationSeparator" w:id="0">
    <w:p w14:paraId="2E8C7C58" w14:textId="77777777" w:rsidR="00833A76" w:rsidRDefault="00833A76" w:rsidP="009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05005"/>
      <w:docPartObj>
        <w:docPartGallery w:val="Page Numbers (Bottom of Page)"/>
        <w:docPartUnique/>
      </w:docPartObj>
    </w:sdtPr>
    <w:sdtEndPr>
      <w:rPr>
        <w:color w:val="7F7F7F" w:themeColor="background1" w:themeShade="7F"/>
        <w:spacing w:val="60"/>
      </w:rPr>
    </w:sdtEndPr>
    <w:sdtContent>
      <w:p w14:paraId="590FE985" w14:textId="58FA5482" w:rsidR="00372A0E" w:rsidRDefault="00372A0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E284B0" w14:textId="77777777" w:rsidR="00372A0E" w:rsidRDefault="0037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BB7B" w14:textId="77777777" w:rsidR="00833A76" w:rsidRDefault="00833A76" w:rsidP="009A63A2">
      <w:r>
        <w:separator/>
      </w:r>
    </w:p>
  </w:footnote>
  <w:footnote w:type="continuationSeparator" w:id="0">
    <w:p w14:paraId="73A18113" w14:textId="77777777" w:rsidR="00833A76" w:rsidRDefault="00833A76" w:rsidP="009A63A2">
      <w:r>
        <w:continuationSeparator/>
      </w:r>
    </w:p>
  </w:footnote>
  <w:footnote w:id="1">
    <w:p w14:paraId="13B8F75E" w14:textId="139F8019" w:rsidR="009A63A2" w:rsidRPr="00552E87" w:rsidRDefault="009A63A2">
      <w:pPr>
        <w:pStyle w:val="FootnoteText"/>
        <w:rPr>
          <w:rFonts w:ascii="Georgia" w:hAnsi="Georgia"/>
        </w:rPr>
      </w:pPr>
      <w:r>
        <w:rPr>
          <w:rStyle w:val="FootnoteReference"/>
        </w:rPr>
        <w:footnoteRef/>
      </w:r>
      <w:r>
        <w:t xml:space="preserve"> </w:t>
      </w:r>
      <w:r w:rsidRPr="00552E87">
        <w:rPr>
          <w:rFonts w:ascii="Georgia" w:hAnsi="Georgia"/>
        </w:rPr>
        <w:t>www.citizen.org/about/annual-report/</w:t>
      </w:r>
    </w:p>
  </w:footnote>
  <w:footnote w:id="2">
    <w:p w14:paraId="2C338719" w14:textId="77777777" w:rsidR="00D01591" w:rsidRDefault="00D01591" w:rsidP="00D01591">
      <w:pPr>
        <w:pStyle w:val="FootnoteText"/>
      </w:pPr>
      <w:r>
        <w:rPr>
          <w:rStyle w:val="FootnoteReference"/>
        </w:rPr>
        <w:footnoteRef/>
      </w:r>
      <w:r>
        <w:t xml:space="preserve"> </w:t>
      </w:r>
      <w:r w:rsidRPr="00552E87">
        <w:rPr>
          <w:rFonts w:ascii="Georgia" w:hAnsi="Georgia"/>
        </w:rPr>
        <w:t>U.S. Renewables Portfolio Standards 2021 Status Update, Berkeley Lab, https://emp.lbl.gov/publications/us-renewables-portfolio-standards-3</w:t>
      </w:r>
    </w:p>
  </w:footnote>
  <w:footnote w:id="3">
    <w:p w14:paraId="4FD2947C" w14:textId="77777777" w:rsidR="00D01591" w:rsidRDefault="00D01591" w:rsidP="00D01591">
      <w:pPr>
        <w:pStyle w:val="FootnoteText"/>
      </w:pPr>
      <w:r>
        <w:rPr>
          <w:rStyle w:val="FootnoteReference"/>
        </w:rPr>
        <w:footnoteRef/>
      </w:r>
      <w:r>
        <w:t xml:space="preserve"> </w:t>
      </w:r>
      <w:r w:rsidRPr="00552E87">
        <w:rPr>
          <w:rFonts w:ascii="Georgia" w:hAnsi="Georgia"/>
        </w:rPr>
        <w:t>Corporate procurement rivals policy in driving growth of renewable energy, Deloitte, www2.deloitte.com/content/dam/Deloitte/us/Documents/energy-resources/us-er-corporate-procurement-renewable-energy-report.pdf</w:t>
      </w:r>
    </w:p>
  </w:footnote>
  <w:footnote w:id="4">
    <w:p w14:paraId="21415FC0" w14:textId="4975F58A" w:rsidR="009B4D95" w:rsidRDefault="009B4D95">
      <w:pPr>
        <w:pStyle w:val="FootnoteText"/>
      </w:pPr>
      <w:r>
        <w:rPr>
          <w:rStyle w:val="FootnoteReference"/>
        </w:rPr>
        <w:footnoteRef/>
      </w:r>
      <w:r>
        <w:t xml:space="preserve"> </w:t>
      </w:r>
      <w:r w:rsidRPr="00552E87">
        <w:rPr>
          <w:rFonts w:ascii="Georgia" w:hAnsi="Georgia"/>
        </w:rPr>
        <w:t>www.ferc.gov/industries-data/electric/power-sales-and-markets/staff-guidance-wecc-soft-offer-caps</w:t>
      </w:r>
    </w:p>
  </w:footnote>
  <w:footnote w:id="5">
    <w:p w14:paraId="57B18C45" w14:textId="77777777" w:rsidR="00F26A92" w:rsidRDefault="00F26A92" w:rsidP="00F26A92">
      <w:pPr>
        <w:pStyle w:val="FootnoteText"/>
      </w:pPr>
      <w:r>
        <w:rPr>
          <w:rStyle w:val="FootnoteReference"/>
        </w:rPr>
        <w:footnoteRef/>
      </w:r>
      <w:r>
        <w:t xml:space="preserve"> </w:t>
      </w:r>
      <w:r w:rsidRPr="008957E3">
        <w:rPr>
          <w:rFonts w:ascii="Georgia" w:hAnsi="Georgia"/>
        </w:rPr>
        <w:t>16 U.S.C. §</w:t>
      </w:r>
      <w:r w:rsidRPr="008957E3">
        <w:rPr>
          <w:rFonts w:ascii="Times New Roman" w:hAnsi="Times New Roman" w:cs="Times New Roman"/>
        </w:rPr>
        <w:t> </w:t>
      </w:r>
      <w:r w:rsidRPr="008957E3">
        <w:rPr>
          <w:rFonts w:ascii="Georgia" w:hAnsi="Georgia"/>
        </w:rPr>
        <w:t>824(a).</w:t>
      </w:r>
    </w:p>
  </w:footnote>
  <w:footnote w:id="6">
    <w:p w14:paraId="5EA01969" w14:textId="558A5365" w:rsidR="004C3A2C" w:rsidRDefault="004C3A2C">
      <w:pPr>
        <w:pStyle w:val="FootnoteText"/>
      </w:pPr>
      <w:r>
        <w:rPr>
          <w:rStyle w:val="FootnoteReference"/>
        </w:rPr>
        <w:footnoteRef/>
      </w:r>
      <w:r>
        <w:t xml:space="preserve"> </w:t>
      </w:r>
      <w:r w:rsidRPr="00552E87">
        <w:rPr>
          <w:rFonts w:ascii="Georgia" w:hAnsi="Georgia"/>
        </w:rPr>
        <w:t>FERC Docket RM20-7, www.citizen.org/article/natural-gas-spot-prices-in-need-of-reform/</w:t>
      </w:r>
    </w:p>
  </w:footnote>
  <w:footnote w:id="7">
    <w:p w14:paraId="445325A4" w14:textId="3CE3D381" w:rsidR="00C5660D" w:rsidRDefault="00C5660D">
      <w:pPr>
        <w:pStyle w:val="FootnoteText"/>
      </w:pPr>
      <w:r>
        <w:rPr>
          <w:rStyle w:val="FootnoteReference"/>
        </w:rPr>
        <w:footnoteRef/>
      </w:r>
      <w:r>
        <w:t xml:space="preserve"> A</w:t>
      </w:r>
      <w:r w:rsidRPr="00C5660D">
        <w:t>t pages 3 and 96, www.ferc.gov/sites/default/files/2020-06/RM99-2-00K_1.pdf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C956" w14:textId="4B597295" w:rsidR="007504C0" w:rsidRPr="007504C0" w:rsidRDefault="007504C0" w:rsidP="007504C0">
    <w:pPr>
      <w:pStyle w:val="Header"/>
      <w:jc w:val="center"/>
      <w:rPr>
        <w:rFonts w:ascii="Georgia" w:hAnsi="Georgia"/>
        <w:i/>
        <w:iCs/>
      </w:rPr>
    </w:pPr>
    <w:r w:rsidRPr="007504C0">
      <w:rPr>
        <w:rFonts w:ascii="Georgia" w:hAnsi="Georgia"/>
        <w:i/>
        <w:iCs/>
      </w:rPr>
      <w:t>Comments of Public Citizen • Docket No. AD21-10 • February 4, 2022</w:t>
    </w:r>
  </w:p>
  <w:p w14:paraId="7BDBE4B0" w14:textId="77777777" w:rsidR="007504C0" w:rsidRDefault="00750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5894"/>
    <w:multiLevelType w:val="hybridMultilevel"/>
    <w:tmpl w:val="019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0C"/>
    <w:rsid w:val="00021CB4"/>
    <w:rsid w:val="000342FB"/>
    <w:rsid w:val="00034787"/>
    <w:rsid w:val="00071C99"/>
    <w:rsid w:val="000B001C"/>
    <w:rsid w:val="000B5D73"/>
    <w:rsid w:val="000B696C"/>
    <w:rsid w:val="000C17B1"/>
    <w:rsid w:val="000C6D43"/>
    <w:rsid w:val="000C73FE"/>
    <w:rsid w:val="000F4965"/>
    <w:rsid w:val="0010758A"/>
    <w:rsid w:val="00115011"/>
    <w:rsid w:val="00130141"/>
    <w:rsid w:val="0013796E"/>
    <w:rsid w:val="00140D73"/>
    <w:rsid w:val="00144117"/>
    <w:rsid w:val="001454CF"/>
    <w:rsid w:val="00154D7C"/>
    <w:rsid w:val="0015754E"/>
    <w:rsid w:val="00157F8E"/>
    <w:rsid w:val="001709FF"/>
    <w:rsid w:val="0017231A"/>
    <w:rsid w:val="00186807"/>
    <w:rsid w:val="00196590"/>
    <w:rsid w:val="001B0189"/>
    <w:rsid w:val="001B0330"/>
    <w:rsid w:val="001B3B4E"/>
    <w:rsid w:val="001C17A5"/>
    <w:rsid w:val="001C6125"/>
    <w:rsid w:val="001D65A5"/>
    <w:rsid w:val="001D6BD3"/>
    <w:rsid w:val="001F2305"/>
    <w:rsid w:val="002033D5"/>
    <w:rsid w:val="0022350D"/>
    <w:rsid w:val="0023223F"/>
    <w:rsid w:val="00244BAC"/>
    <w:rsid w:val="0026189C"/>
    <w:rsid w:val="00265FE7"/>
    <w:rsid w:val="0027268B"/>
    <w:rsid w:val="00280AB4"/>
    <w:rsid w:val="00283E9B"/>
    <w:rsid w:val="002A1A36"/>
    <w:rsid w:val="002A437E"/>
    <w:rsid w:val="002A598C"/>
    <w:rsid w:val="002B215E"/>
    <w:rsid w:val="002B5557"/>
    <w:rsid w:val="002E0BB0"/>
    <w:rsid w:val="002E12A6"/>
    <w:rsid w:val="002E7F40"/>
    <w:rsid w:val="002F0B56"/>
    <w:rsid w:val="00305E2B"/>
    <w:rsid w:val="00315482"/>
    <w:rsid w:val="00327CF1"/>
    <w:rsid w:val="00333143"/>
    <w:rsid w:val="003423BE"/>
    <w:rsid w:val="00347E8E"/>
    <w:rsid w:val="00353CE4"/>
    <w:rsid w:val="00355CDC"/>
    <w:rsid w:val="003648B4"/>
    <w:rsid w:val="00367B1D"/>
    <w:rsid w:val="003709B5"/>
    <w:rsid w:val="00372A0E"/>
    <w:rsid w:val="0038061F"/>
    <w:rsid w:val="00390A38"/>
    <w:rsid w:val="003A3AF3"/>
    <w:rsid w:val="003B6FE6"/>
    <w:rsid w:val="003D71EA"/>
    <w:rsid w:val="003E20D2"/>
    <w:rsid w:val="003E542E"/>
    <w:rsid w:val="00405FEB"/>
    <w:rsid w:val="00413F3D"/>
    <w:rsid w:val="00420CBD"/>
    <w:rsid w:val="00436603"/>
    <w:rsid w:val="00442E1F"/>
    <w:rsid w:val="004B12BC"/>
    <w:rsid w:val="004C3A2C"/>
    <w:rsid w:val="004D3A07"/>
    <w:rsid w:val="004F1B67"/>
    <w:rsid w:val="00513B78"/>
    <w:rsid w:val="005315DD"/>
    <w:rsid w:val="005351A3"/>
    <w:rsid w:val="00535A5D"/>
    <w:rsid w:val="0054001F"/>
    <w:rsid w:val="00552E87"/>
    <w:rsid w:val="00560EDD"/>
    <w:rsid w:val="0057232C"/>
    <w:rsid w:val="00576FCF"/>
    <w:rsid w:val="00583715"/>
    <w:rsid w:val="005929F1"/>
    <w:rsid w:val="005E2697"/>
    <w:rsid w:val="005E6959"/>
    <w:rsid w:val="005F74E0"/>
    <w:rsid w:val="006022E3"/>
    <w:rsid w:val="00606240"/>
    <w:rsid w:val="006176F7"/>
    <w:rsid w:val="00617981"/>
    <w:rsid w:val="006234F2"/>
    <w:rsid w:val="00625F8D"/>
    <w:rsid w:val="00633CBA"/>
    <w:rsid w:val="006443BB"/>
    <w:rsid w:val="00654C22"/>
    <w:rsid w:val="00654D54"/>
    <w:rsid w:val="006611EB"/>
    <w:rsid w:val="0067415F"/>
    <w:rsid w:val="00684044"/>
    <w:rsid w:val="00697FEB"/>
    <w:rsid w:val="006A3138"/>
    <w:rsid w:val="006B474B"/>
    <w:rsid w:val="006B4D02"/>
    <w:rsid w:val="006E34A8"/>
    <w:rsid w:val="006F0014"/>
    <w:rsid w:val="0073630E"/>
    <w:rsid w:val="007504C0"/>
    <w:rsid w:val="007742CA"/>
    <w:rsid w:val="0079152E"/>
    <w:rsid w:val="00793BE8"/>
    <w:rsid w:val="007B3978"/>
    <w:rsid w:val="007B6255"/>
    <w:rsid w:val="007C75B6"/>
    <w:rsid w:val="007F0F28"/>
    <w:rsid w:val="00810CE3"/>
    <w:rsid w:val="00820C21"/>
    <w:rsid w:val="00833A76"/>
    <w:rsid w:val="0087146A"/>
    <w:rsid w:val="00892F37"/>
    <w:rsid w:val="008A3820"/>
    <w:rsid w:val="008B08CA"/>
    <w:rsid w:val="008B2B6F"/>
    <w:rsid w:val="008B3419"/>
    <w:rsid w:val="008B488B"/>
    <w:rsid w:val="00912121"/>
    <w:rsid w:val="00936F32"/>
    <w:rsid w:val="00943A3F"/>
    <w:rsid w:val="00945FE4"/>
    <w:rsid w:val="00965CAD"/>
    <w:rsid w:val="00966B96"/>
    <w:rsid w:val="00977AA5"/>
    <w:rsid w:val="00993DE3"/>
    <w:rsid w:val="009A63A2"/>
    <w:rsid w:val="009B145C"/>
    <w:rsid w:val="009B4D95"/>
    <w:rsid w:val="009B6BBE"/>
    <w:rsid w:val="009C5370"/>
    <w:rsid w:val="009D32BC"/>
    <w:rsid w:val="00A06CFC"/>
    <w:rsid w:val="00A11093"/>
    <w:rsid w:val="00A26D5C"/>
    <w:rsid w:val="00A400ED"/>
    <w:rsid w:val="00A619A2"/>
    <w:rsid w:val="00A84B67"/>
    <w:rsid w:val="00AA1FD9"/>
    <w:rsid w:val="00AA3D48"/>
    <w:rsid w:val="00AB3201"/>
    <w:rsid w:val="00AB76FC"/>
    <w:rsid w:val="00AC1530"/>
    <w:rsid w:val="00AC23F5"/>
    <w:rsid w:val="00AC5C96"/>
    <w:rsid w:val="00AD1E95"/>
    <w:rsid w:val="00AD70C0"/>
    <w:rsid w:val="00AE450C"/>
    <w:rsid w:val="00B02BAE"/>
    <w:rsid w:val="00B149D1"/>
    <w:rsid w:val="00B31597"/>
    <w:rsid w:val="00B54310"/>
    <w:rsid w:val="00B62297"/>
    <w:rsid w:val="00B67A43"/>
    <w:rsid w:val="00B86DF0"/>
    <w:rsid w:val="00B9231B"/>
    <w:rsid w:val="00BF137F"/>
    <w:rsid w:val="00BF5939"/>
    <w:rsid w:val="00BF5E20"/>
    <w:rsid w:val="00C02CA1"/>
    <w:rsid w:val="00C4011B"/>
    <w:rsid w:val="00C43070"/>
    <w:rsid w:val="00C5551C"/>
    <w:rsid w:val="00C5660D"/>
    <w:rsid w:val="00C61595"/>
    <w:rsid w:val="00C62DAF"/>
    <w:rsid w:val="00C71760"/>
    <w:rsid w:val="00CB172F"/>
    <w:rsid w:val="00CB22EF"/>
    <w:rsid w:val="00CC7BE2"/>
    <w:rsid w:val="00CD3BBF"/>
    <w:rsid w:val="00CD40BF"/>
    <w:rsid w:val="00CF16AB"/>
    <w:rsid w:val="00CF50C3"/>
    <w:rsid w:val="00CF6CD9"/>
    <w:rsid w:val="00CF743D"/>
    <w:rsid w:val="00D01591"/>
    <w:rsid w:val="00D4453A"/>
    <w:rsid w:val="00D6106C"/>
    <w:rsid w:val="00D74FAB"/>
    <w:rsid w:val="00D7556A"/>
    <w:rsid w:val="00D9226E"/>
    <w:rsid w:val="00DA06B9"/>
    <w:rsid w:val="00DA4419"/>
    <w:rsid w:val="00DA7149"/>
    <w:rsid w:val="00DD0995"/>
    <w:rsid w:val="00DD3081"/>
    <w:rsid w:val="00DD5161"/>
    <w:rsid w:val="00DE00F4"/>
    <w:rsid w:val="00E412EF"/>
    <w:rsid w:val="00E534A1"/>
    <w:rsid w:val="00E87967"/>
    <w:rsid w:val="00E9299D"/>
    <w:rsid w:val="00E96A5D"/>
    <w:rsid w:val="00E96DBC"/>
    <w:rsid w:val="00EB3E48"/>
    <w:rsid w:val="00ED08F6"/>
    <w:rsid w:val="00EE5330"/>
    <w:rsid w:val="00F10539"/>
    <w:rsid w:val="00F13DE6"/>
    <w:rsid w:val="00F26A92"/>
    <w:rsid w:val="00F306B3"/>
    <w:rsid w:val="00F41101"/>
    <w:rsid w:val="00F4139B"/>
    <w:rsid w:val="00F41A24"/>
    <w:rsid w:val="00F4488E"/>
    <w:rsid w:val="00F51465"/>
    <w:rsid w:val="00F60DB9"/>
    <w:rsid w:val="00F67AA9"/>
    <w:rsid w:val="00F770B9"/>
    <w:rsid w:val="00F92BD5"/>
    <w:rsid w:val="00F92C23"/>
    <w:rsid w:val="00FA050B"/>
    <w:rsid w:val="00FC0707"/>
    <w:rsid w:val="00FC474E"/>
    <w:rsid w:val="00FD063C"/>
    <w:rsid w:val="00FE1A19"/>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49D2"/>
  <w15:chartTrackingRefBased/>
  <w15:docId w15:val="{599F3A64-EB7F-40EB-9FD2-C94E1A64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63A2"/>
    <w:rPr>
      <w:sz w:val="20"/>
      <w:szCs w:val="20"/>
    </w:rPr>
  </w:style>
  <w:style w:type="character" w:customStyle="1" w:styleId="FootnoteTextChar">
    <w:name w:val="Footnote Text Char"/>
    <w:basedOn w:val="DefaultParagraphFont"/>
    <w:link w:val="FootnoteText"/>
    <w:uiPriority w:val="99"/>
    <w:rsid w:val="009A63A2"/>
    <w:rPr>
      <w:sz w:val="20"/>
      <w:szCs w:val="20"/>
    </w:rPr>
  </w:style>
  <w:style w:type="character" w:styleId="FootnoteReference">
    <w:name w:val="footnote reference"/>
    <w:basedOn w:val="DefaultParagraphFont"/>
    <w:uiPriority w:val="99"/>
    <w:semiHidden/>
    <w:unhideWhenUsed/>
    <w:rsid w:val="009A63A2"/>
    <w:rPr>
      <w:vertAlign w:val="superscript"/>
    </w:rPr>
  </w:style>
  <w:style w:type="character" w:styleId="Hyperlink">
    <w:name w:val="Hyperlink"/>
    <w:basedOn w:val="DefaultParagraphFont"/>
    <w:uiPriority w:val="99"/>
    <w:unhideWhenUsed/>
    <w:rsid w:val="00F41101"/>
    <w:rPr>
      <w:color w:val="0563C1" w:themeColor="hyperlink"/>
      <w:u w:val="single"/>
    </w:rPr>
  </w:style>
  <w:style w:type="character" w:styleId="UnresolvedMention">
    <w:name w:val="Unresolved Mention"/>
    <w:basedOn w:val="DefaultParagraphFont"/>
    <w:uiPriority w:val="99"/>
    <w:semiHidden/>
    <w:unhideWhenUsed/>
    <w:rsid w:val="00F41101"/>
    <w:rPr>
      <w:color w:val="605E5C"/>
      <w:shd w:val="clear" w:color="auto" w:fill="E1DFDD"/>
    </w:rPr>
  </w:style>
  <w:style w:type="paragraph" w:styleId="ListParagraph">
    <w:name w:val="List Paragraph"/>
    <w:basedOn w:val="Normal"/>
    <w:uiPriority w:val="34"/>
    <w:qFormat/>
    <w:rsid w:val="00AD1E95"/>
    <w:pPr>
      <w:ind w:left="720"/>
      <w:contextualSpacing/>
    </w:pPr>
  </w:style>
  <w:style w:type="paragraph" w:styleId="Header">
    <w:name w:val="header"/>
    <w:basedOn w:val="Normal"/>
    <w:link w:val="HeaderChar"/>
    <w:uiPriority w:val="99"/>
    <w:unhideWhenUsed/>
    <w:rsid w:val="00372A0E"/>
    <w:pPr>
      <w:tabs>
        <w:tab w:val="center" w:pos="4680"/>
        <w:tab w:val="right" w:pos="9360"/>
      </w:tabs>
    </w:pPr>
  </w:style>
  <w:style w:type="character" w:customStyle="1" w:styleId="HeaderChar">
    <w:name w:val="Header Char"/>
    <w:basedOn w:val="DefaultParagraphFont"/>
    <w:link w:val="Header"/>
    <w:uiPriority w:val="99"/>
    <w:rsid w:val="00372A0E"/>
  </w:style>
  <w:style w:type="paragraph" w:styleId="Footer">
    <w:name w:val="footer"/>
    <w:basedOn w:val="Normal"/>
    <w:link w:val="FooterChar"/>
    <w:uiPriority w:val="99"/>
    <w:unhideWhenUsed/>
    <w:rsid w:val="00372A0E"/>
    <w:pPr>
      <w:tabs>
        <w:tab w:val="center" w:pos="4680"/>
        <w:tab w:val="right" w:pos="9360"/>
      </w:tabs>
    </w:pPr>
  </w:style>
  <w:style w:type="character" w:customStyle="1" w:styleId="FooterChar">
    <w:name w:val="Footer Char"/>
    <w:basedOn w:val="DefaultParagraphFont"/>
    <w:link w:val="Footer"/>
    <w:uiPriority w:val="99"/>
    <w:rsid w:val="0037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A212-2B9D-44EC-BAA5-E38E7DDC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T. Slocum</dc:creator>
  <cp:keywords/>
  <dc:description/>
  <cp:lastModifiedBy>Tyson T. Slocum</cp:lastModifiedBy>
  <cp:revision>227</cp:revision>
  <dcterms:created xsi:type="dcterms:W3CDTF">2022-01-30T21:45:00Z</dcterms:created>
  <dcterms:modified xsi:type="dcterms:W3CDTF">2022-02-04T21:40:00Z</dcterms:modified>
</cp:coreProperties>
</file>