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B1D5" w14:textId="77777777" w:rsidR="00EF0F60" w:rsidRPr="00081A76" w:rsidRDefault="00EF0F60" w:rsidP="00EF0F60">
      <w:pPr>
        <w:jc w:val="center"/>
        <w:rPr>
          <w:rFonts w:ascii="Georgia" w:hAnsi="Georgia"/>
          <w:sz w:val="24"/>
          <w:szCs w:val="24"/>
        </w:rPr>
      </w:pPr>
      <w:r w:rsidRPr="00081A76">
        <w:rPr>
          <w:rFonts w:ascii="Georgia" w:hAnsi="Georgia"/>
          <w:sz w:val="24"/>
          <w:szCs w:val="24"/>
        </w:rPr>
        <w:t>UNITED STATES OF AMERICA</w:t>
      </w:r>
    </w:p>
    <w:p w14:paraId="191CFE71" w14:textId="77777777" w:rsidR="00EF0F60" w:rsidRPr="00081A76" w:rsidRDefault="00EF0F60" w:rsidP="00EF0F60">
      <w:pPr>
        <w:jc w:val="center"/>
        <w:rPr>
          <w:rFonts w:ascii="Georgia" w:hAnsi="Georgia"/>
          <w:sz w:val="24"/>
          <w:szCs w:val="24"/>
        </w:rPr>
      </w:pPr>
      <w:r w:rsidRPr="00081A76">
        <w:rPr>
          <w:rFonts w:ascii="Georgia" w:hAnsi="Georgia"/>
          <w:sz w:val="24"/>
          <w:szCs w:val="24"/>
        </w:rPr>
        <w:t>BEFORE THE</w:t>
      </w:r>
    </w:p>
    <w:p w14:paraId="0859E229" w14:textId="77777777" w:rsidR="00EF0F60" w:rsidRPr="00081A76" w:rsidRDefault="00EF0F60" w:rsidP="00EF0F60">
      <w:pPr>
        <w:jc w:val="center"/>
        <w:rPr>
          <w:rFonts w:ascii="Georgia" w:hAnsi="Georgia"/>
          <w:sz w:val="24"/>
          <w:szCs w:val="24"/>
        </w:rPr>
      </w:pPr>
      <w:r w:rsidRPr="00081A76">
        <w:rPr>
          <w:rFonts w:ascii="Georgia" w:hAnsi="Georgia"/>
          <w:sz w:val="24"/>
          <w:szCs w:val="24"/>
        </w:rPr>
        <w:t>FEDERAL ENERGY REGULATORY COMMISSION</w:t>
      </w:r>
    </w:p>
    <w:p w14:paraId="669351EA" w14:textId="77777777" w:rsidR="00EF0F60" w:rsidRPr="00EF0F60" w:rsidRDefault="00EF0F60" w:rsidP="00EF0F60">
      <w:pPr>
        <w:rPr>
          <w:rFonts w:ascii="Georgia" w:hAnsi="Georgia"/>
          <w:sz w:val="24"/>
          <w:szCs w:val="24"/>
        </w:rPr>
      </w:pPr>
    </w:p>
    <w:p w14:paraId="5732CA30" w14:textId="70F0854B" w:rsidR="00EF0F60" w:rsidRPr="00EF0F60" w:rsidRDefault="00EF0F60" w:rsidP="00EF0F60">
      <w:pPr>
        <w:rPr>
          <w:rFonts w:ascii="Georgia" w:hAnsi="Georgia"/>
          <w:sz w:val="24"/>
          <w:szCs w:val="24"/>
        </w:rPr>
      </w:pPr>
      <w:r w:rsidRPr="00EF0F60">
        <w:rPr>
          <w:rFonts w:ascii="Georgia" w:hAnsi="Georgia"/>
          <w:sz w:val="24"/>
          <w:szCs w:val="24"/>
        </w:rPr>
        <w:t>The Dayton Power and Light Company</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Docket No. </w:t>
      </w:r>
      <w:r w:rsidRPr="00EF0F60">
        <w:rPr>
          <w:rFonts w:ascii="Georgia" w:hAnsi="Georgia"/>
          <w:sz w:val="24"/>
          <w:szCs w:val="24"/>
        </w:rPr>
        <w:t>ER23-764</w:t>
      </w:r>
    </w:p>
    <w:p w14:paraId="18ECB87B" w14:textId="5000031E" w:rsidR="00EF0F60" w:rsidRDefault="00EF0F60" w:rsidP="00EF0F60">
      <w:pPr>
        <w:rPr>
          <w:rFonts w:ascii="Georgia" w:hAnsi="Georgia"/>
          <w:sz w:val="24"/>
          <w:szCs w:val="24"/>
        </w:rPr>
      </w:pPr>
    </w:p>
    <w:p w14:paraId="2B848638" w14:textId="77777777" w:rsidR="00EF0F60" w:rsidRPr="00EF0F60" w:rsidRDefault="00EF0F60" w:rsidP="00EF0F60">
      <w:pPr>
        <w:rPr>
          <w:rFonts w:ascii="Georgia" w:hAnsi="Georgia"/>
          <w:sz w:val="24"/>
          <w:szCs w:val="24"/>
        </w:rPr>
      </w:pPr>
    </w:p>
    <w:p w14:paraId="509D5C4F" w14:textId="11C1B9C2" w:rsidR="00EF0F60" w:rsidRPr="00EF0F60" w:rsidRDefault="00EF0F60" w:rsidP="00EF0F60">
      <w:pPr>
        <w:jc w:val="center"/>
        <w:rPr>
          <w:rFonts w:ascii="Georgia" w:hAnsi="Georgia"/>
          <w:b/>
          <w:bCs/>
          <w:sz w:val="24"/>
          <w:szCs w:val="24"/>
        </w:rPr>
      </w:pPr>
      <w:r w:rsidRPr="00EF0F60">
        <w:rPr>
          <w:rFonts w:ascii="Georgia" w:hAnsi="Georgia"/>
          <w:b/>
          <w:bCs/>
          <w:sz w:val="24"/>
          <w:szCs w:val="24"/>
        </w:rPr>
        <w:t>Motion to Intervene and Comment of Public Citizen, Inc.</w:t>
      </w:r>
    </w:p>
    <w:p w14:paraId="3C700C40" w14:textId="77777777" w:rsidR="00EF0F60" w:rsidRDefault="00EF0F60" w:rsidP="00EF0F60">
      <w:pPr>
        <w:rPr>
          <w:rFonts w:ascii="Georgia" w:hAnsi="Georgia"/>
          <w:sz w:val="24"/>
          <w:szCs w:val="24"/>
        </w:rPr>
      </w:pPr>
    </w:p>
    <w:p w14:paraId="1C1874EC" w14:textId="427F5784" w:rsidR="00EF0F60" w:rsidRDefault="00EF0F60" w:rsidP="001F673E">
      <w:pPr>
        <w:spacing w:line="360" w:lineRule="auto"/>
        <w:ind w:firstLine="720"/>
        <w:rPr>
          <w:rFonts w:ascii="Georgia" w:hAnsi="Georgia"/>
          <w:sz w:val="24"/>
          <w:szCs w:val="24"/>
        </w:rPr>
      </w:pPr>
      <w:r>
        <w:rPr>
          <w:rFonts w:ascii="Georgia" w:hAnsi="Georgia"/>
          <w:sz w:val="24"/>
          <w:szCs w:val="24"/>
        </w:rPr>
        <w:t xml:space="preserve">On December 30, 2022, the </w:t>
      </w:r>
      <w:proofErr w:type="spellStart"/>
      <w:r w:rsidRPr="00EF0F60">
        <w:rPr>
          <w:rFonts w:ascii="Georgia" w:hAnsi="Georgia"/>
          <w:sz w:val="24"/>
          <w:szCs w:val="24"/>
        </w:rPr>
        <w:t>The</w:t>
      </w:r>
      <w:proofErr w:type="spellEnd"/>
      <w:r w:rsidRPr="00EF0F60">
        <w:rPr>
          <w:rFonts w:ascii="Georgia" w:hAnsi="Georgia"/>
          <w:sz w:val="24"/>
          <w:szCs w:val="24"/>
        </w:rPr>
        <w:t xml:space="preserve"> Dayton Power and Light Company</w:t>
      </w:r>
      <w:r>
        <w:rPr>
          <w:rFonts w:ascii="Georgia" w:hAnsi="Georgia"/>
          <w:sz w:val="24"/>
          <w:szCs w:val="24"/>
        </w:rPr>
        <w:t xml:space="preserve"> applied for incentive rate treatment for transmission projects </w:t>
      </w:r>
      <w:r w:rsidR="00043052">
        <w:rPr>
          <w:rFonts w:ascii="Georgia" w:hAnsi="Georgia"/>
          <w:sz w:val="24"/>
          <w:szCs w:val="24"/>
        </w:rPr>
        <w:t>in</w:t>
      </w:r>
      <w:r>
        <w:rPr>
          <w:rFonts w:ascii="Georgia" w:hAnsi="Georgia"/>
          <w:sz w:val="24"/>
          <w:szCs w:val="24"/>
        </w:rPr>
        <w:t xml:space="preserve"> the AES Ohio system.</w:t>
      </w:r>
      <w:r w:rsidR="00043052">
        <w:rPr>
          <w:rFonts w:ascii="Georgia" w:hAnsi="Georgia"/>
          <w:sz w:val="24"/>
          <w:szCs w:val="24"/>
        </w:rPr>
        <w:t xml:space="preserve"> Among the requested rate incentives</w:t>
      </w:r>
      <w:r w:rsidR="00AB6F9A">
        <w:rPr>
          <w:rFonts w:ascii="Georgia" w:hAnsi="Georgia"/>
          <w:sz w:val="24"/>
          <w:szCs w:val="24"/>
        </w:rPr>
        <w:t xml:space="preserve"> are “</w:t>
      </w:r>
      <w:r w:rsidR="00AB6F9A" w:rsidRPr="00AB6F9A">
        <w:rPr>
          <w:rFonts w:ascii="Georgia" w:hAnsi="Georgia"/>
          <w:sz w:val="24"/>
          <w:szCs w:val="24"/>
        </w:rPr>
        <w:t>authorization for inclusion of 100% Construction Work in Progress in rate base</w:t>
      </w:r>
      <w:r w:rsidR="00AB6F9A">
        <w:rPr>
          <w:rFonts w:ascii="Georgia" w:hAnsi="Georgia"/>
          <w:sz w:val="24"/>
          <w:szCs w:val="24"/>
        </w:rPr>
        <w:t>”.</w:t>
      </w:r>
      <w:r w:rsidR="0055633E">
        <w:rPr>
          <w:rStyle w:val="FootnoteReference"/>
          <w:rFonts w:ascii="Georgia" w:hAnsi="Georgia"/>
          <w:sz w:val="24"/>
          <w:szCs w:val="24"/>
        </w:rPr>
        <w:footnoteReference w:id="1"/>
      </w:r>
      <w:r w:rsidR="0055633E">
        <w:rPr>
          <w:rFonts w:ascii="Georgia" w:hAnsi="Georgia"/>
          <w:sz w:val="24"/>
          <w:szCs w:val="24"/>
        </w:rPr>
        <w:t xml:space="preserve"> We ask that the Commission </w:t>
      </w:r>
      <w:r w:rsidR="004133F0">
        <w:rPr>
          <w:rFonts w:ascii="Georgia" w:hAnsi="Georgia"/>
          <w:sz w:val="24"/>
          <w:szCs w:val="24"/>
        </w:rPr>
        <w:t>disallow</w:t>
      </w:r>
      <w:r w:rsidR="0027390A">
        <w:rPr>
          <w:rFonts w:ascii="Georgia" w:hAnsi="Georgia"/>
          <w:sz w:val="24"/>
          <w:szCs w:val="24"/>
        </w:rPr>
        <w:t xml:space="preserve"> Dayton Power and Light to include Construction Work in Progress in its rate base.</w:t>
      </w:r>
    </w:p>
    <w:p w14:paraId="6D7AF653" w14:textId="77777777" w:rsidR="0027390A" w:rsidRDefault="0027390A" w:rsidP="0027390A">
      <w:pPr>
        <w:rPr>
          <w:rFonts w:ascii="Georgia" w:hAnsi="Georgia"/>
          <w:sz w:val="24"/>
          <w:szCs w:val="24"/>
        </w:rPr>
      </w:pPr>
    </w:p>
    <w:p w14:paraId="50980FD0" w14:textId="2B1688E0" w:rsidR="0027390A" w:rsidRPr="001D38C2" w:rsidRDefault="0027390A" w:rsidP="00BA7F06">
      <w:pPr>
        <w:jc w:val="center"/>
        <w:rPr>
          <w:rFonts w:ascii="Georgia" w:hAnsi="Georgia"/>
          <w:b/>
          <w:bCs/>
          <w:sz w:val="28"/>
          <w:szCs w:val="28"/>
        </w:rPr>
      </w:pPr>
      <w:r w:rsidRPr="001D38C2">
        <w:rPr>
          <w:rFonts w:ascii="Georgia" w:hAnsi="Georgia"/>
          <w:b/>
          <w:bCs/>
          <w:sz w:val="28"/>
          <w:szCs w:val="28"/>
        </w:rPr>
        <w:t>Motion to Intervene</w:t>
      </w:r>
    </w:p>
    <w:p w14:paraId="49DF0557" w14:textId="151E69C4" w:rsidR="0027390A" w:rsidRDefault="00301524" w:rsidP="00DB6CC9">
      <w:pPr>
        <w:spacing w:line="360" w:lineRule="auto"/>
        <w:rPr>
          <w:rFonts w:ascii="Georgia" w:hAnsi="Georgia"/>
          <w:sz w:val="24"/>
          <w:szCs w:val="24"/>
        </w:rPr>
      </w:pPr>
      <w:r>
        <w:rPr>
          <w:rFonts w:ascii="Georgia" w:hAnsi="Georgia"/>
          <w:sz w:val="24"/>
          <w:szCs w:val="24"/>
        </w:rPr>
        <w:tab/>
      </w:r>
      <w:r w:rsidRPr="00301524">
        <w:rPr>
          <w:rFonts w:ascii="Georgia" w:hAnsi="Georgia"/>
          <w:sz w:val="24"/>
          <w:szCs w:val="24"/>
        </w:rPr>
        <w:t xml:space="preserve">Established in 1971, Public Citizen is a national, not-for-profit, non-partisan, research and advocacy organization representing the interests of household consumers. Public Citizen is active before FERC promoting just and reasonable </w:t>
      </w:r>
      <w:proofErr w:type="gramStart"/>
      <w:r w:rsidRPr="00301524">
        <w:rPr>
          <w:rFonts w:ascii="Georgia" w:hAnsi="Georgia"/>
          <w:sz w:val="24"/>
          <w:szCs w:val="24"/>
        </w:rPr>
        <w:t>rates, and</w:t>
      </w:r>
      <w:proofErr w:type="gramEnd"/>
      <w:r w:rsidRPr="00301524">
        <w:rPr>
          <w:rFonts w:ascii="Georgia" w:hAnsi="Georgia"/>
          <w:sz w:val="24"/>
          <w:szCs w:val="24"/>
        </w:rPr>
        <w:t xml:space="preserve"> supporting efforts for utilities to be accountable to the public interest. Our interests in this proceeding are </w:t>
      </w:r>
      <w:proofErr w:type="gramStart"/>
      <w:r w:rsidRPr="00301524">
        <w:rPr>
          <w:rFonts w:ascii="Georgia" w:hAnsi="Georgia"/>
          <w:sz w:val="24"/>
          <w:szCs w:val="24"/>
        </w:rPr>
        <w:t>unique, and</w:t>
      </w:r>
      <w:proofErr w:type="gramEnd"/>
      <w:r w:rsidRPr="00301524">
        <w:rPr>
          <w:rFonts w:ascii="Georgia" w:hAnsi="Georgia"/>
          <w:sz w:val="24"/>
          <w:szCs w:val="24"/>
        </w:rPr>
        <w:t xml:space="preserve"> cannot be represented by any other party. Financial details about our organization are on our web site</w:t>
      </w:r>
      <w:r w:rsidR="004F61EE">
        <w:rPr>
          <w:rFonts w:ascii="Georgia" w:hAnsi="Georgia"/>
          <w:sz w:val="24"/>
          <w:szCs w:val="24"/>
        </w:rPr>
        <w:t>.</w:t>
      </w:r>
      <w:r w:rsidR="004F61EE">
        <w:rPr>
          <w:rStyle w:val="FootnoteReference"/>
          <w:rFonts w:ascii="Georgia" w:hAnsi="Georgia"/>
          <w:sz w:val="24"/>
          <w:szCs w:val="24"/>
        </w:rPr>
        <w:footnoteReference w:id="2"/>
      </w:r>
      <w:r w:rsidRPr="00301524">
        <w:rPr>
          <w:rFonts w:ascii="Georgia" w:hAnsi="Georgia"/>
          <w:sz w:val="24"/>
          <w:szCs w:val="24"/>
        </w:rPr>
        <w:t xml:space="preserve"> </w:t>
      </w:r>
    </w:p>
    <w:p w14:paraId="2E6DD5E0" w14:textId="77777777" w:rsidR="00EC5069" w:rsidRDefault="00EC5069" w:rsidP="0027390A">
      <w:pPr>
        <w:rPr>
          <w:rFonts w:ascii="Georgia" w:hAnsi="Georgia"/>
          <w:sz w:val="24"/>
          <w:szCs w:val="24"/>
        </w:rPr>
      </w:pPr>
    </w:p>
    <w:p w14:paraId="524EA2CD" w14:textId="384DB4C8" w:rsidR="00EC5069" w:rsidRPr="00BA04C0" w:rsidRDefault="008141CE" w:rsidP="00BA7F06">
      <w:pPr>
        <w:jc w:val="center"/>
        <w:rPr>
          <w:rFonts w:ascii="Georgia" w:hAnsi="Georgia"/>
          <w:b/>
          <w:bCs/>
          <w:sz w:val="28"/>
          <w:szCs w:val="28"/>
        </w:rPr>
      </w:pPr>
      <w:r w:rsidRPr="00BA04C0">
        <w:rPr>
          <w:rFonts w:ascii="Georgia" w:hAnsi="Georgia"/>
          <w:b/>
          <w:bCs/>
          <w:sz w:val="28"/>
          <w:szCs w:val="28"/>
        </w:rPr>
        <w:t>Public Citizen Comment</w:t>
      </w:r>
    </w:p>
    <w:p w14:paraId="6B505551" w14:textId="4A69CB07" w:rsidR="004D03BD" w:rsidRDefault="008141CE" w:rsidP="00DB6CC9">
      <w:pPr>
        <w:spacing w:line="360" w:lineRule="auto"/>
        <w:rPr>
          <w:rFonts w:ascii="Georgia" w:hAnsi="Georgia"/>
          <w:sz w:val="24"/>
          <w:szCs w:val="24"/>
        </w:rPr>
      </w:pPr>
      <w:r>
        <w:rPr>
          <w:rFonts w:ascii="Georgia" w:hAnsi="Georgia"/>
          <w:sz w:val="24"/>
          <w:szCs w:val="24"/>
        </w:rPr>
        <w:tab/>
      </w:r>
      <w:r w:rsidR="004D03BD" w:rsidRPr="004D03BD">
        <w:rPr>
          <w:rFonts w:ascii="Georgia" w:hAnsi="Georgia"/>
          <w:sz w:val="24"/>
          <w:szCs w:val="24"/>
        </w:rPr>
        <w:t xml:space="preserve">On April 21, 2022, the Commission proposed a rulemaking </w:t>
      </w:r>
      <w:r w:rsidR="00C46616" w:rsidRPr="00F16EA6">
        <w:rPr>
          <w:rFonts w:ascii="Georgia" w:hAnsi="Georgia"/>
          <w:i/>
          <w:iCs/>
          <w:sz w:val="24"/>
          <w:szCs w:val="24"/>
        </w:rPr>
        <w:t>Building for the Future Through Electric Regional Transmission Planning and Cost Allocation</w:t>
      </w:r>
      <w:r w:rsidR="00C46616">
        <w:rPr>
          <w:rFonts w:ascii="Georgia" w:hAnsi="Georgia"/>
          <w:sz w:val="24"/>
          <w:szCs w:val="24"/>
        </w:rPr>
        <w:t xml:space="preserve"> that propose</w:t>
      </w:r>
      <w:r w:rsidR="00B62FF8">
        <w:rPr>
          <w:rFonts w:ascii="Georgia" w:hAnsi="Georgia"/>
          <w:sz w:val="24"/>
          <w:szCs w:val="24"/>
        </w:rPr>
        <w:t>s</w:t>
      </w:r>
      <w:r w:rsidR="00C46616">
        <w:rPr>
          <w:rFonts w:ascii="Georgia" w:hAnsi="Georgia"/>
          <w:sz w:val="24"/>
          <w:szCs w:val="24"/>
        </w:rPr>
        <w:t xml:space="preserve"> “</w:t>
      </w:r>
      <w:r w:rsidR="004D03BD" w:rsidRPr="004D03BD">
        <w:rPr>
          <w:rFonts w:ascii="Georgia" w:hAnsi="Georgia"/>
          <w:sz w:val="24"/>
          <w:szCs w:val="24"/>
        </w:rPr>
        <w:t>to not permit public utility transmission providers to take advantage of the construction-work-in-progress (CWIP) incentive</w:t>
      </w:r>
      <w:r w:rsidR="00C46616">
        <w:rPr>
          <w:rFonts w:ascii="Georgia" w:hAnsi="Georgia"/>
          <w:sz w:val="24"/>
          <w:szCs w:val="24"/>
        </w:rPr>
        <w:t>”.</w:t>
      </w:r>
      <w:r w:rsidR="00C46616">
        <w:rPr>
          <w:rStyle w:val="FootnoteReference"/>
          <w:rFonts w:ascii="Georgia" w:hAnsi="Georgia"/>
          <w:sz w:val="24"/>
          <w:szCs w:val="24"/>
        </w:rPr>
        <w:footnoteReference w:id="3"/>
      </w:r>
      <w:r w:rsidR="004D03BD" w:rsidRPr="004D03BD">
        <w:rPr>
          <w:rFonts w:ascii="Georgia" w:hAnsi="Georgia"/>
          <w:sz w:val="24"/>
          <w:szCs w:val="24"/>
        </w:rPr>
        <w:t xml:space="preserve"> </w:t>
      </w:r>
    </w:p>
    <w:p w14:paraId="6868B6FF" w14:textId="27C836EE" w:rsidR="002A769C" w:rsidRPr="004D03BD" w:rsidRDefault="002A769C" w:rsidP="00DB6CC9">
      <w:pPr>
        <w:spacing w:line="360" w:lineRule="auto"/>
        <w:rPr>
          <w:rFonts w:ascii="Georgia" w:hAnsi="Georgia"/>
          <w:sz w:val="24"/>
          <w:szCs w:val="24"/>
        </w:rPr>
      </w:pPr>
      <w:r>
        <w:rPr>
          <w:rFonts w:ascii="Georgia" w:hAnsi="Georgia"/>
          <w:sz w:val="24"/>
          <w:szCs w:val="24"/>
        </w:rPr>
        <w:tab/>
        <w:t>It is imprudent for the Commission to</w:t>
      </w:r>
      <w:r w:rsidR="00AB35F3">
        <w:rPr>
          <w:rFonts w:ascii="Georgia" w:hAnsi="Georgia"/>
          <w:sz w:val="24"/>
          <w:szCs w:val="24"/>
        </w:rPr>
        <w:t xml:space="preserve"> formally consider ending</w:t>
      </w:r>
      <w:r w:rsidR="009378B8">
        <w:rPr>
          <w:rFonts w:ascii="Georgia" w:hAnsi="Georgia"/>
          <w:sz w:val="24"/>
          <w:szCs w:val="24"/>
        </w:rPr>
        <w:t xml:space="preserve"> the CWIP incentive while at the same time granting it on an ad hoc basis to applicants such as Dayton Power.</w:t>
      </w:r>
    </w:p>
    <w:p w14:paraId="0B210CB1" w14:textId="3FCB8F6F" w:rsidR="00713346" w:rsidRDefault="00713346" w:rsidP="00DB6CC9">
      <w:pPr>
        <w:spacing w:line="360" w:lineRule="auto"/>
        <w:rPr>
          <w:rFonts w:ascii="Georgia" w:hAnsi="Georgia"/>
          <w:sz w:val="24"/>
          <w:szCs w:val="24"/>
        </w:rPr>
      </w:pPr>
      <w:r>
        <w:rPr>
          <w:rFonts w:ascii="Georgia" w:hAnsi="Georgia"/>
          <w:sz w:val="24"/>
          <w:szCs w:val="24"/>
        </w:rPr>
        <w:tab/>
        <w:t xml:space="preserve">As </w:t>
      </w:r>
      <w:r>
        <w:rPr>
          <w:rFonts w:ascii="Georgia" w:hAnsi="Georgia"/>
          <w:sz w:val="24"/>
          <w:szCs w:val="24"/>
        </w:rPr>
        <w:t xml:space="preserve">Commissioner </w:t>
      </w:r>
      <w:r w:rsidRPr="00B76803">
        <w:rPr>
          <w:rFonts w:ascii="Georgia" w:hAnsi="Georgia"/>
          <w:sz w:val="24"/>
          <w:szCs w:val="24"/>
        </w:rPr>
        <w:t>Mark C. Christie</w:t>
      </w:r>
      <w:r>
        <w:rPr>
          <w:rFonts w:ascii="Georgia" w:hAnsi="Georgia"/>
          <w:sz w:val="24"/>
          <w:szCs w:val="24"/>
        </w:rPr>
        <w:t xml:space="preserve"> </w:t>
      </w:r>
      <w:r>
        <w:rPr>
          <w:rFonts w:ascii="Georgia" w:hAnsi="Georgia"/>
          <w:sz w:val="24"/>
          <w:szCs w:val="24"/>
        </w:rPr>
        <w:t xml:space="preserve">recently </w:t>
      </w:r>
      <w:r>
        <w:rPr>
          <w:rFonts w:ascii="Georgia" w:hAnsi="Georgia"/>
          <w:sz w:val="24"/>
          <w:szCs w:val="24"/>
        </w:rPr>
        <w:t>articulate</w:t>
      </w:r>
      <w:r>
        <w:rPr>
          <w:rFonts w:ascii="Georgia" w:hAnsi="Georgia"/>
          <w:sz w:val="24"/>
          <w:szCs w:val="24"/>
        </w:rPr>
        <w:t>d</w:t>
      </w:r>
      <w:r>
        <w:rPr>
          <w:rFonts w:ascii="Georgia" w:hAnsi="Georgia"/>
          <w:sz w:val="24"/>
          <w:szCs w:val="24"/>
        </w:rPr>
        <w:t>:</w:t>
      </w:r>
    </w:p>
    <w:p w14:paraId="0DF09C86" w14:textId="77777777" w:rsidR="00713346" w:rsidRDefault="00713346" w:rsidP="00713346">
      <w:pPr>
        <w:rPr>
          <w:rFonts w:ascii="Georgia" w:hAnsi="Georgia"/>
          <w:sz w:val="24"/>
          <w:szCs w:val="24"/>
        </w:rPr>
      </w:pPr>
    </w:p>
    <w:p w14:paraId="00BCD2BD" w14:textId="7D9E92F6" w:rsidR="00713346" w:rsidRPr="006E5FA7" w:rsidRDefault="00713346" w:rsidP="00125B50">
      <w:pPr>
        <w:ind w:left="720"/>
        <w:rPr>
          <w:rFonts w:ascii="Georgia" w:hAnsi="Georgia"/>
          <w:i/>
          <w:iCs/>
        </w:rPr>
      </w:pPr>
      <w:r w:rsidRPr="006E5FA7">
        <w:rPr>
          <w:rFonts w:ascii="Georgia" w:hAnsi="Georgia"/>
          <w:i/>
          <w:iCs/>
        </w:rPr>
        <w:lastRenderedPageBreak/>
        <w:t>A core principle of utility law and regulation for decades is that consumers can only be forced to pay costs for assets that are “used and useful” to them. In Order No. 679, the Commission determined that it may be necessary to depart from this long-standing ratemaking principle to “address the substantial challenges and risks in constructing new transmission.” In my concurrence to a prior order</w:t>
      </w:r>
      <w:r>
        <w:rPr>
          <w:rFonts w:ascii="Georgia" w:hAnsi="Georgia"/>
          <w:i/>
          <w:iCs/>
        </w:rPr>
        <w:t xml:space="preserve"> . . .</w:t>
      </w:r>
      <w:r w:rsidRPr="006E5FA7">
        <w:rPr>
          <w:rFonts w:ascii="Georgia" w:hAnsi="Georgia"/>
          <w:i/>
          <w:iCs/>
        </w:rPr>
        <w:t xml:space="preserve"> I questioned, among other concerns, whether the Commission’s determination of whether “substantial challenges and risks” exist when granting the abandoned plant and other incentives has become nothing more than a check-the-box exercise. As I have previously discussed:</w:t>
      </w:r>
      <w:r w:rsidR="00125B50">
        <w:rPr>
          <w:rFonts w:ascii="Georgia" w:hAnsi="Georgia"/>
          <w:i/>
          <w:iCs/>
        </w:rPr>
        <w:t xml:space="preserve"> </w:t>
      </w:r>
      <w:r w:rsidRPr="006E5FA7">
        <w:rPr>
          <w:rFonts w:ascii="Georgia" w:hAnsi="Georgia"/>
          <w:i/>
          <w:iCs/>
        </w:rPr>
        <w:t>The Commission’s incentive policies—particularly the CWIP Incentive, which allows recovery of costs before a project has been put into service—run the risk of making consumers “the bank” for the transmission developer; but, unlike a real bank, which gets to charge interest for the money it loans, under our existing incentives policies the consumer not only effectively “loans” the money through the formula rates mechanism, but also pays the utility a profit, known as Return on Equity, or “ROE,” for the privilege of serving as the utility’s de facto lender.</w:t>
      </w:r>
      <w:r w:rsidR="00A310A9">
        <w:rPr>
          <w:rStyle w:val="FootnoteReference"/>
          <w:rFonts w:ascii="Georgia" w:hAnsi="Georgia"/>
          <w:i/>
          <w:iCs/>
        </w:rPr>
        <w:footnoteReference w:id="4"/>
      </w:r>
      <w:r w:rsidRPr="006E5FA7">
        <w:rPr>
          <w:rFonts w:ascii="Georgia" w:hAnsi="Georgia"/>
          <w:i/>
          <w:iCs/>
        </w:rPr>
        <w:t xml:space="preserve">  </w:t>
      </w:r>
    </w:p>
    <w:p w14:paraId="3D3E9D75" w14:textId="66ED5E5F" w:rsidR="006443BB" w:rsidRDefault="006443BB" w:rsidP="00EF0F60">
      <w:pPr>
        <w:rPr>
          <w:rFonts w:ascii="Georgia" w:hAnsi="Georgia"/>
          <w:sz w:val="24"/>
          <w:szCs w:val="24"/>
        </w:rPr>
      </w:pPr>
    </w:p>
    <w:p w14:paraId="56F5820D" w14:textId="77777777" w:rsidR="00342482" w:rsidRDefault="00342482" w:rsidP="00342482">
      <w:pPr>
        <w:spacing w:line="360" w:lineRule="auto"/>
        <w:ind w:firstLine="720"/>
        <w:rPr>
          <w:rFonts w:ascii="Georgia" w:hAnsi="Georgia"/>
          <w:sz w:val="24"/>
          <w:szCs w:val="24"/>
        </w:rPr>
      </w:pPr>
      <w:r>
        <w:rPr>
          <w:rFonts w:ascii="Georgia" w:hAnsi="Georgia"/>
          <w:sz w:val="24"/>
          <w:szCs w:val="24"/>
        </w:rPr>
        <w:t>FERC Order 679 states that “</w:t>
      </w:r>
      <w:r w:rsidRPr="007A1E23">
        <w:rPr>
          <w:rFonts w:ascii="Georgia" w:hAnsi="Georgia"/>
          <w:sz w:val="24"/>
          <w:szCs w:val="24"/>
        </w:rPr>
        <w:t>The purpose of our Rule is to benefit</w:t>
      </w:r>
      <w:r>
        <w:rPr>
          <w:rFonts w:ascii="Georgia" w:hAnsi="Georgia"/>
          <w:sz w:val="24"/>
          <w:szCs w:val="24"/>
        </w:rPr>
        <w:t xml:space="preserve"> </w:t>
      </w:r>
      <w:r w:rsidRPr="007A1E23">
        <w:rPr>
          <w:rFonts w:ascii="Georgia" w:hAnsi="Georgia"/>
          <w:sz w:val="24"/>
          <w:szCs w:val="24"/>
        </w:rPr>
        <w:t xml:space="preserve">customers by providing real incentives to </w:t>
      </w:r>
      <w:r w:rsidRPr="00FB5053">
        <w:rPr>
          <w:rFonts w:ascii="Georgia" w:hAnsi="Georgia"/>
          <w:sz w:val="24"/>
          <w:szCs w:val="24"/>
        </w:rPr>
        <w:t>encourage</w:t>
      </w:r>
      <w:r w:rsidRPr="007A1E23">
        <w:rPr>
          <w:rFonts w:ascii="Georgia" w:hAnsi="Georgia"/>
          <w:sz w:val="24"/>
          <w:szCs w:val="24"/>
        </w:rPr>
        <w:t xml:space="preserve"> new infrastructure, not simply</w:t>
      </w:r>
      <w:r>
        <w:rPr>
          <w:rFonts w:ascii="Georgia" w:hAnsi="Georgia"/>
          <w:sz w:val="24"/>
          <w:szCs w:val="24"/>
        </w:rPr>
        <w:t xml:space="preserve"> </w:t>
      </w:r>
      <w:r w:rsidRPr="007A1E23">
        <w:rPr>
          <w:rFonts w:ascii="Georgia" w:hAnsi="Georgia"/>
          <w:sz w:val="24"/>
          <w:szCs w:val="24"/>
        </w:rPr>
        <w:t xml:space="preserve">increasing rates in a manner that has no correlation to </w:t>
      </w:r>
      <w:r w:rsidRPr="00FB5053">
        <w:rPr>
          <w:rFonts w:ascii="Georgia" w:hAnsi="Georgia"/>
          <w:sz w:val="24"/>
          <w:szCs w:val="24"/>
        </w:rPr>
        <w:t>encouraging new investment</w:t>
      </w:r>
      <w:r w:rsidRPr="007A1E23">
        <w:rPr>
          <w:rFonts w:ascii="Georgia" w:hAnsi="Georgia"/>
          <w:sz w:val="24"/>
          <w:szCs w:val="24"/>
        </w:rPr>
        <w:t>.</w:t>
      </w:r>
      <w:r>
        <w:rPr>
          <w:rFonts w:ascii="Georgia" w:hAnsi="Georgia"/>
          <w:sz w:val="24"/>
          <w:szCs w:val="24"/>
        </w:rPr>
        <w:t xml:space="preserve"> </w:t>
      </w:r>
      <w:r w:rsidRPr="007A1E23">
        <w:rPr>
          <w:rFonts w:ascii="Georgia" w:hAnsi="Georgia"/>
          <w:sz w:val="24"/>
          <w:szCs w:val="24"/>
        </w:rPr>
        <w:t>The Final Rule, therefore, makes clear that not every incentive identified herein will be</w:t>
      </w:r>
      <w:r>
        <w:rPr>
          <w:rFonts w:ascii="Georgia" w:hAnsi="Georgia"/>
          <w:sz w:val="24"/>
          <w:szCs w:val="24"/>
        </w:rPr>
        <w:t xml:space="preserve"> </w:t>
      </w:r>
      <w:r w:rsidRPr="007A1E23">
        <w:rPr>
          <w:rFonts w:ascii="Georgia" w:hAnsi="Georgia"/>
          <w:sz w:val="24"/>
          <w:szCs w:val="24"/>
        </w:rPr>
        <w:t>necessary or appropriate for every new transmission investment</w:t>
      </w:r>
      <w:r>
        <w:rPr>
          <w:rFonts w:ascii="Georgia" w:hAnsi="Georgia"/>
          <w:sz w:val="24"/>
          <w:szCs w:val="24"/>
        </w:rPr>
        <w:t>”; that incentive rates are required only if there are “</w:t>
      </w:r>
      <w:r w:rsidRPr="00F40E46">
        <w:rPr>
          <w:rFonts w:ascii="Georgia" w:hAnsi="Georgia"/>
          <w:sz w:val="24"/>
          <w:szCs w:val="24"/>
        </w:rPr>
        <w:t>substantial challenges and risks in constructing new transmission</w:t>
      </w:r>
      <w:r>
        <w:rPr>
          <w:rFonts w:ascii="Georgia" w:hAnsi="Georgia"/>
          <w:sz w:val="24"/>
          <w:szCs w:val="24"/>
        </w:rPr>
        <w:t>”; that “</w:t>
      </w:r>
      <w:r w:rsidRPr="004562FD">
        <w:rPr>
          <w:rFonts w:ascii="Georgia" w:hAnsi="Georgia"/>
          <w:sz w:val="24"/>
          <w:szCs w:val="24"/>
        </w:rPr>
        <w:t>the Commission will permit incentives only if the</w:t>
      </w:r>
      <w:r>
        <w:rPr>
          <w:rFonts w:ascii="Georgia" w:hAnsi="Georgia"/>
          <w:sz w:val="24"/>
          <w:szCs w:val="24"/>
        </w:rPr>
        <w:t xml:space="preserve"> </w:t>
      </w:r>
      <w:r w:rsidRPr="004562FD">
        <w:rPr>
          <w:rFonts w:ascii="Georgia" w:hAnsi="Georgia"/>
          <w:sz w:val="24"/>
          <w:szCs w:val="24"/>
        </w:rPr>
        <w:t>incentive package as a whole results in a just and reasonable rate</w:t>
      </w:r>
      <w:r>
        <w:rPr>
          <w:rFonts w:ascii="Georgia" w:hAnsi="Georgia"/>
          <w:sz w:val="24"/>
          <w:szCs w:val="24"/>
        </w:rPr>
        <w:t xml:space="preserve">”; and acknowledged that the certain rate incentives departed </w:t>
      </w:r>
      <w:r w:rsidRPr="00FE0DCA">
        <w:rPr>
          <w:rFonts w:ascii="Georgia" w:hAnsi="Georgia"/>
          <w:sz w:val="24"/>
          <w:szCs w:val="24"/>
        </w:rPr>
        <w:t>from the existing ratemaking doctrine that rates should be based on plant costs that</w:t>
      </w:r>
      <w:r>
        <w:rPr>
          <w:rFonts w:ascii="Georgia" w:hAnsi="Georgia"/>
          <w:sz w:val="24"/>
          <w:szCs w:val="24"/>
        </w:rPr>
        <w:t xml:space="preserve"> </w:t>
      </w:r>
      <w:r w:rsidRPr="00FE0DCA">
        <w:rPr>
          <w:rFonts w:ascii="Georgia" w:hAnsi="Georgia"/>
          <w:sz w:val="24"/>
          <w:szCs w:val="24"/>
        </w:rPr>
        <w:t xml:space="preserve">are </w:t>
      </w:r>
      <w:r w:rsidRPr="00F30625">
        <w:rPr>
          <w:rFonts w:ascii="Georgia" w:hAnsi="Georgia"/>
          <w:i/>
          <w:iCs/>
          <w:sz w:val="24"/>
          <w:szCs w:val="24"/>
        </w:rPr>
        <w:t>used and useful</w:t>
      </w:r>
      <w:r w:rsidRPr="00FE0DCA">
        <w:rPr>
          <w:rFonts w:ascii="Georgia" w:hAnsi="Georgia"/>
          <w:sz w:val="24"/>
          <w:szCs w:val="24"/>
        </w:rPr>
        <w:t>.</w:t>
      </w:r>
      <w:r>
        <w:rPr>
          <w:rStyle w:val="FootnoteReference"/>
          <w:rFonts w:ascii="Georgia" w:hAnsi="Georgia"/>
          <w:sz w:val="24"/>
          <w:szCs w:val="24"/>
        </w:rPr>
        <w:footnoteReference w:id="5"/>
      </w:r>
      <w:r>
        <w:rPr>
          <w:rFonts w:ascii="Georgia" w:hAnsi="Georgia"/>
          <w:sz w:val="24"/>
          <w:szCs w:val="24"/>
        </w:rPr>
        <w:t xml:space="preserve"> </w:t>
      </w:r>
    </w:p>
    <w:p w14:paraId="3827A5BA" w14:textId="42F7BEA2" w:rsidR="0024577C" w:rsidRDefault="00342482" w:rsidP="005E339A">
      <w:pPr>
        <w:spacing w:line="360" w:lineRule="auto"/>
        <w:ind w:firstLine="720"/>
        <w:rPr>
          <w:rFonts w:ascii="Georgia" w:hAnsi="Georgia"/>
          <w:sz w:val="24"/>
          <w:szCs w:val="24"/>
        </w:rPr>
      </w:pPr>
      <w:r>
        <w:rPr>
          <w:rFonts w:ascii="Georgia" w:hAnsi="Georgia"/>
          <w:sz w:val="24"/>
          <w:szCs w:val="24"/>
        </w:rPr>
        <w:t xml:space="preserve">The Commission’s purpose in considering whether to allow incentive rate treatment therefore is conditioned on whether the incentives are necessary to encourage new transmission investment, and that they be just and reasonable. The </w:t>
      </w:r>
      <w:r>
        <w:rPr>
          <w:rFonts w:ascii="Georgia" w:hAnsi="Georgia"/>
          <w:sz w:val="24"/>
          <w:szCs w:val="24"/>
        </w:rPr>
        <w:t>Application</w:t>
      </w:r>
      <w:r>
        <w:rPr>
          <w:rFonts w:ascii="Georgia" w:hAnsi="Georgia"/>
          <w:sz w:val="24"/>
          <w:szCs w:val="24"/>
        </w:rPr>
        <w:t xml:space="preserve"> fails to make the case that “</w:t>
      </w:r>
      <w:r w:rsidRPr="0071739E">
        <w:rPr>
          <w:rFonts w:ascii="Georgia" w:hAnsi="Georgia"/>
          <w:sz w:val="24"/>
          <w:szCs w:val="24"/>
        </w:rPr>
        <w:t>substantial challenges and risks</w:t>
      </w:r>
      <w:r>
        <w:rPr>
          <w:rFonts w:ascii="Georgia" w:hAnsi="Georgia"/>
          <w:sz w:val="24"/>
          <w:szCs w:val="24"/>
        </w:rPr>
        <w:t>” exist requiring the incentive rates.</w:t>
      </w:r>
    </w:p>
    <w:p w14:paraId="439907E1" w14:textId="492D07FE" w:rsidR="00C46854" w:rsidRDefault="00C46854" w:rsidP="005E339A">
      <w:pPr>
        <w:spacing w:line="360" w:lineRule="auto"/>
        <w:ind w:firstLine="720"/>
        <w:rPr>
          <w:rFonts w:ascii="Georgia" w:hAnsi="Georgia"/>
          <w:sz w:val="24"/>
          <w:szCs w:val="24"/>
        </w:rPr>
      </w:pPr>
      <w:r>
        <w:rPr>
          <w:rFonts w:ascii="Georgia" w:hAnsi="Georgia"/>
          <w:sz w:val="24"/>
          <w:szCs w:val="24"/>
        </w:rPr>
        <w:t>Indeed, r</w:t>
      </w:r>
      <w:r>
        <w:rPr>
          <w:rFonts w:ascii="Georgia" w:hAnsi="Georgia"/>
          <w:sz w:val="24"/>
          <w:szCs w:val="24"/>
        </w:rPr>
        <w:t xml:space="preserve">ecent Congressional action mitigates risk for transmission projects like </w:t>
      </w:r>
      <w:r>
        <w:rPr>
          <w:rFonts w:ascii="Georgia" w:hAnsi="Georgia"/>
          <w:sz w:val="24"/>
          <w:szCs w:val="24"/>
        </w:rPr>
        <w:t>Dayton Power’s</w:t>
      </w:r>
      <w:r>
        <w:rPr>
          <w:rFonts w:ascii="Georgia" w:hAnsi="Georgia"/>
          <w:sz w:val="24"/>
          <w:szCs w:val="24"/>
        </w:rPr>
        <w:t xml:space="preserve">. On November 15, 2021, President Biden signed </w:t>
      </w:r>
      <w:r w:rsidRPr="00482FB7">
        <w:rPr>
          <w:rFonts w:ascii="Georgia" w:hAnsi="Georgia"/>
          <w:sz w:val="24"/>
          <w:szCs w:val="24"/>
        </w:rPr>
        <w:t>H.R.3684</w:t>
      </w:r>
      <w:r>
        <w:rPr>
          <w:rFonts w:ascii="Georgia" w:hAnsi="Georgia"/>
          <w:sz w:val="24"/>
          <w:szCs w:val="24"/>
        </w:rPr>
        <w:t xml:space="preserve"> into law, establishing new authority for the Commission to expedite transmission siting, and a </w:t>
      </w:r>
      <w:r>
        <w:rPr>
          <w:rFonts w:ascii="Georgia" w:hAnsi="Georgia"/>
          <w:sz w:val="24"/>
          <w:szCs w:val="24"/>
        </w:rPr>
        <w:lastRenderedPageBreak/>
        <w:t xml:space="preserve">$10 billion loan fund to help finance transmission projects like </w:t>
      </w:r>
      <w:r w:rsidR="00D43809">
        <w:rPr>
          <w:rFonts w:ascii="Georgia" w:hAnsi="Georgia"/>
          <w:sz w:val="24"/>
          <w:szCs w:val="24"/>
        </w:rPr>
        <w:t>Dayton Power’s</w:t>
      </w:r>
      <w:r>
        <w:rPr>
          <w:rFonts w:ascii="Georgia" w:hAnsi="Georgia"/>
          <w:sz w:val="24"/>
          <w:szCs w:val="24"/>
        </w:rPr>
        <w:t>.</w:t>
      </w:r>
      <w:r>
        <w:rPr>
          <w:rStyle w:val="FootnoteReference"/>
          <w:rFonts w:ascii="Georgia" w:hAnsi="Georgia"/>
          <w:sz w:val="24"/>
          <w:szCs w:val="24"/>
        </w:rPr>
        <w:footnoteReference w:id="6"/>
      </w:r>
      <w:r w:rsidR="008C1FFD">
        <w:rPr>
          <w:rFonts w:ascii="Georgia" w:hAnsi="Georgia"/>
          <w:sz w:val="24"/>
          <w:szCs w:val="24"/>
        </w:rPr>
        <w:t xml:space="preserve"> And on </w:t>
      </w:r>
      <w:r w:rsidR="003C3040" w:rsidRPr="003C3040">
        <w:rPr>
          <w:rFonts w:ascii="Georgia" w:hAnsi="Georgia"/>
          <w:sz w:val="24"/>
          <w:szCs w:val="24"/>
        </w:rPr>
        <w:t xml:space="preserve">August 16, 2022, President Biden signed into law </w:t>
      </w:r>
      <w:r w:rsidR="003C3040">
        <w:rPr>
          <w:rFonts w:ascii="Georgia" w:hAnsi="Georgia"/>
          <w:sz w:val="24"/>
          <w:szCs w:val="24"/>
        </w:rPr>
        <w:t xml:space="preserve">the </w:t>
      </w:r>
      <w:r w:rsidR="003C3040" w:rsidRPr="003C3040">
        <w:rPr>
          <w:rFonts w:ascii="Georgia" w:hAnsi="Georgia"/>
          <w:sz w:val="24"/>
          <w:szCs w:val="24"/>
        </w:rPr>
        <w:t>Inflation</w:t>
      </w:r>
      <w:r w:rsidR="003C3040">
        <w:rPr>
          <w:rFonts w:ascii="Georgia" w:hAnsi="Georgia"/>
          <w:sz w:val="24"/>
          <w:szCs w:val="24"/>
        </w:rPr>
        <w:t xml:space="preserve"> </w:t>
      </w:r>
      <w:r w:rsidR="003C3040" w:rsidRPr="003C3040">
        <w:rPr>
          <w:rFonts w:ascii="Georgia" w:hAnsi="Georgia"/>
          <w:sz w:val="24"/>
          <w:szCs w:val="24"/>
        </w:rPr>
        <w:t>Reduction Act of 2022</w:t>
      </w:r>
      <w:r w:rsidR="003C3040">
        <w:rPr>
          <w:rFonts w:ascii="Georgia" w:hAnsi="Georgia"/>
          <w:sz w:val="24"/>
          <w:szCs w:val="24"/>
        </w:rPr>
        <w:t>.</w:t>
      </w:r>
      <w:r w:rsidR="00A116C6">
        <w:rPr>
          <w:rStyle w:val="FootnoteReference"/>
          <w:rFonts w:ascii="Georgia" w:hAnsi="Georgia"/>
          <w:sz w:val="24"/>
          <w:szCs w:val="24"/>
        </w:rPr>
        <w:footnoteReference w:id="7"/>
      </w:r>
      <w:r w:rsidR="007B67F5">
        <w:rPr>
          <w:rFonts w:ascii="Georgia" w:hAnsi="Georgia"/>
          <w:sz w:val="24"/>
          <w:szCs w:val="24"/>
        </w:rPr>
        <w:t xml:space="preserve"> </w:t>
      </w:r>
      <w:r w:rsidR="007B67F5" w:rsidRPr="007B67F5">
        <w:rPr>
          <w:rFonts w:ascii="Georgia" w:hAnsi="Georgia"/>
          <w:sz w:val="24"/>
          <w:szCs w:val="24"/>
        </w:rPr>
        <w:t>Section 50151 (</w:t>
      </w:r>
      <w:r w:rsidR="007B67F5" w:rsidRPr="007B67F5">
        <w:rPr>
          <w:rFonts w:ascii="Georgia" w:hAnsi="Georgia"/>
          <w:i/>
          <w:iCs/>
          <w:sz w:val="24"/>
          <w:szCs w:val="24"/>
        </w:rPr>
        <w:t>Transmission Facility Financing</w:t>
      </w:r>
      <w:r w:rsidR="007B67F5" w:rsidRPr="007B67F5">
        <w:rPr>
          <w:rFonts w:ascii="Georgia" w:hAnsi="Georgia"/>
          <w:sz w:val="24"/>
          <w:szCs w:val="24"/>
        </w:rPr>
        <w:t xml:space="preserve">) </w:t>
      </w:r>
      <w:r w:rsidR="002061CA">
        <w:rPr>
          <w:rFonts w:ascii="Georgia" w:hAnsi="Georgia"/>
          <w:sz w:val="24"/>
          <w:szCs w:val="24"/>
        </w:rPr>
        <w:t xml:space="preserve">of the IRA </w:t>
      </w:r>
      <w:r w:rsidR="007B67F5" w:rsidRPr="007B67F5">
        <w:rPr>
          <w:rFonts w:ascii="Georgia" w:hAnsi="Georgia"/>
          <w:sz w:val="24"/>
          <w:szCs w:val="24"/>
        </w:rPr>
        <w:t>appropriate</w:t>
      </w:r>
      <w:r w:rsidR="007B67F5">
        <w:rPr>
          <w:rFonts w:ascii="Georgia" w:hAnsi="Georgia"/>
          <w:sz w:val="24"/>
          <w:szCs w:val="24"/>
        </w:rPr>
        <w:t>s</w:t>
      </w:r>
      <w:r w:rsidR="007B67F5" w:rsidRPr="007B67F5">
        <w:rPr>
          <w:rFonts w:ascii="Georgia" w:hAnsi="Georgia"/>
          <w:sz w:val="24"/>
          <w:szCs w:val="24"/>
        </w:rPr>
        <w:t xml:space="preserve"> $2 billion for a direct loan program for</w:t>
      </w:r>
      <w:r w:rsidR="00DD00C6">
        <w:rPr>
          <w:rFonts w:ascii="Georgia" w:hAnsi="Georgia"/>
          <w:sz w:val="24"/>
          <w:szCs w:val="24"/>
        </w:rPr>
        <w:t xml:space="preserve"> the development of</w:t>
      </w:r>
      <w:r w:rsidR="007B67F5" w:rsidRPr="007B67F5">
        <w:rPr>
          <w:rFonts w:ascii="Georgia" w:hAnsi="Georgia"/>
          <w:sz w:val="24"/>
          <w:szCs w:val="24"/>
        </w:rPr>
        <w:t xml:space="preserve"> transmission project</w:t>
      </w:r>
      <w:r w:rsidR="00DD00C6">
        <w:rPr>
          <w:rFonts w:ascii="Georgia" w:hAnsi="Georgia"/>
          <w:sz w:val="24"/>
          <w:szCs w:val="24"/>
        </w:rPr>
        <w:t>s</w:t>
      </w:r>
      <w:r w:rsidR="002061CA">
        <w:rPr>
          <w:rFonts w:ascii="Georgia" w:hAnsi="Georgia"/>
          <w:sz w:val="24"/>
          <w:szCs w:val="24"/>
        </w:rPr>
        <w:t xml:space="preserve">, and </w:t>
      </w:r>
      <w:r w:rsidR="002061CA" w:rsidRPr="002061CA">
        <w:rPr>
          <w:rFonts w:ascii="Georgia" w:hAnsi="Georgia"/>
          <w:sz w:val="24"/>
          <w:szCs w:val="24"/>
        </w:rPr>
        <w:t>Section 50152 (</w:t>
      </w:r>
      <w:r w:rsidR="002061CA" w:rsidRPr="002061CA">
        <w:rPr>
          <w:rFonts w:ascii="Georgia" w:hAnsi="Georgia"/>
          <w:i/>
          <w:iCs/>
          <w:sz w:val="24"/>
          <w:szCs w:val="24"/>
        </w:rPr>
        <w:t>Grants to Facilitate the Siting of Interstate Electricity Transmission Lines)</w:t>
      </w:r>
      <w:r w:rsidR="002061CA" w:rsidRPr="002061CA">
        <w:rPr>
          <w:rFonts w:ascii="Georgia" w:hAnsi="Georgia"/>
          <w:sz w:val="24"/>
          <w:szCs w:val="24"/>
        </w:rPr>
        <w:t xml:space="preserve"> </w:t>
      </w:r>
      <w:r w:rsidR="00E92E72">
        <w:rPr>
          <w:rFonts w:ascii="Georgia" w:hAnsi="Georgia"/>
          <w:sz w:val="24"/>
          <w:szCs w:val="24"/>
        </w:rPr>
        <w:t>spends</w:t>
      </w:r>
      <w:r w:rsidR="002061CA" w:rsidRPr="002061CA">
        <w:rPr>
          <w:rFonts w:ascii="Georgia" w:hAnsi="Georgia"/>
          <w:sz w:val="24"/>
          <w:szCs w:val="24"/>
        </w:rPr>
        <w:t xml:space="preserve"> $760 million for</w:t>
      </w:r>
      <w:r w:rsidR="00E92E72">
        <w:rPr>
          <w:rFonts w:ascii="Georgia" w:hAnsi="Georgia"/>
          <w:sz w:val="24"/>
          <w:szCs w:val="24"/>
        </w:rPr>
        <w:t xml:space="preserve"> </w:t>
      </w:r>
      <w:r w:rsidR="002061CA" w:rsidRPr="002061CA">
        <w:rPr>
          <w:rFonts w:ascii="Georgia" w:hAnsi="Georgia"/>
          <w:sz w:val="24"/>
          <w:szCs w:val="24"/>
        </w:rPr>
        <w:t>grants aimed at</w:t>
      </w:r>
      <w:r w:rsidR="00E92E72">
        <w:rPr>
          <w:rFonts w:ascii="Georgia" w:hAnsi="Georgia"/>
          <w:sz w:val="24"/>
          <w:szCs w:val="24"/>
        </w:rPr>
        <w:t xml:space="preserve"> </w:t>
      </w:r>
      <w:r w:rsidR="002061CA" w:rsidRPr="002061CA">
        <w:rPr>
          <w:rFonts w:ascii="Georgia" w:hAnsi="Georgia"/>
          <w:sz w:val="24"/>
          <w:szCs w:val="24"/>
        </w:rPr>
        <w:t>facilitating the siting of transmission lines</w:t>
      </w:r>
      <w:r w:rsidR="00E92E72">
        <w:rPr>
          <w:rFonts w:ascii="Georgia" w:hAnsi="Georgia"/>
          <w:sz w:val="24"/>
          <w:szCs w:val="24"/>
        </w:rPr>
        <w:t>.</w:t>
      </w:r>
      <w:r w:rsidR="002061CA">
        <w:rPr>
          <w:rFonts w:ascii="Georgia" w:hAnsi="Georgia"/>
          <w:sz w:val="24"/>
          <w:szCs w:val="24"/>
        </w:rPr>
        <w:t xml:space="preserve"> </w:t>
      </w:r>
    </w:p>
    <w:p w14:paraId="40395CB4" w14:textId="77777777" w:rsidR="005E339A" w:rsidRDefault="005E339A" w:rsidP="005E339A">
      <w:pPr>
        <w:spacing w:line="360" w:lineRule="auto"/>
        <w:ind w:firstLine="720"/>
        <w:rPr>
          <w:rFonts w:ascii="Georgia" w:hAnsi="Georgia"/>
          <w:sz w:val="24"/>
          <w:szCs w:val="24"/>
        </w:rPr>
      </w:pPr>
    </w:p>
    <w:p w14:paraId="4ADD573A" w14:textId="66789ED3" w:rsidR="005E339A" w:rsidRDefault="005E339A" w:rsidP="005E339A">
      <w:pPr>
        <w:spacing w:line="360" w:lineRule="auto"/>
        <w:rPr>
          <w:rFonts w:ascii="Georgia" w:hAnsi="Georgia"/>
          <w:sz w:val="24"/>
          <w:szCs w:val="24"/>
        </w:rPr>
      </w:pPr>
      <w:r>
        <w:rPr>
          <w:rFonts w:ascii="Georgia" w:hAnsi="Georgia"/>
          <w:sz w:val="24"/>
          <w:szCs w:val="24"/>
        </w:rPr>
        <w:tab/>
        <w:t xml:space="preserve">In conclusion, we ask that the Commission disallow the use of </w:t>
      </w:r>
      <w:r>
        <w:rPr>
          <w:rFonts w:ascii="Georgia" w:hAnsi="Georgia"/>
          <w:sz w:val="24"/>
          <w:szCs w:val="24"/>
        </w:rPr>
        <w:t xml:space="preserve">Construction Work in Progress in </w:t>
      </w:r>
      <w:r>
        <w:rPr>
          <w:rFonts w:ascii="Georgia" w:hAnsi="Georgia"/>
          <w:sz w:val="24"/>
          <w:szCs w:val="24"/>
        </w:rPr>
        <w:t>Dayton Power’s</w:t>
      </w:r>
      <w:r>
        <w:rPr>
          <w:rFonts w:ascii="Georgia" w:hAnsi="Georgia"/>
          <w:sz w:val="24"/>
          <w:szCs w:val="24"/>
        </w:rPr>
        <w:t xml:space="preserve"> rate base</w:t>
      </w:r>
      <w:r>
        <w:rPr>
          <w:rFonts w:ascii="Georgia" w:hAnsi="Georgia"/>
          <w:sz w:val="24"/>
          <w:szCs w:val="24"/>
        </w:rPr>
        <w:t>.</w:t>
      </w:r>
    </w:p>
    <w:p w14:paraId="7A93555C" w14:textId="77777777" w:rsidR="005E339A" w:rsidRDefault="005E339A" w:rsidP="005E339A">
      <w:pPr>
        <w:rPr>
          <w:rFonts w:ascii="Georgia" w:hAnsi="Georgia"/>
          <w:sz w:val="24"/>
          <w:szCs w:val="24"/>
        </w:rPr>
      </w:pPr>
    </w:p>
    <w:p w14:paraId="41B4561C" w14:textId="77777777" w:rsidR="005E339A" w:rsidRDefault="005E339A" w:rsidP="005E339A">
      <w:pPr>
        <w:rPr>
          <w:rFonts w:ascii="Georgia" w:hAnsi="Georgia"/>
          <w:sz w:val="24"/>
          <w:szCs w:val="24"/>
        </w:rPr>
      </w:pPr>
      <w:r>
        <w:rPr>
          <w:rFonts w:ascii="Georgia" w:hAnsi="Georgia"/>
          <w:sz w:val="24"/>
          <w:szCs w:val="24"/>
        </w:rPr>
        <w:tab/>
      </w:r>
      <w:r>
        <w:rPr>
          <w:rFonts w:ascii="Georgia" w:hAnsi="Georgia"/>
          <w:sz w:val="24"/>
          <w:szCs w:val="24"/>
        </w:rPr>
        <w:tab/>
      </w:r>
    </w:p>
    <w:p w14:paraId="5C3E6CA2" w14:textId="308D8F04" w:rsidR="005E339A" w:rsidRDefault="005E339A" w:rsidP="005E339A">
      <w:pPr>
        <w:ind w:left="720" w:firstLine="720"/>
        <w:rPr>
          <w:rFonts w:ascii="Georgia" w:hAnsi="Georgia"/>
          <w:sz w:val="24"/>
          <w:szCs w:val="24"/>
        </w:rPr>
      </w:pPr>
      <w:r>
        <w:rPr>
          <w:rFonts w:ascii="Georgia" w:hAnsi="Georgia"/>
          <w:sz w:val="24"/>
          <w:szCs w:val="24"/>
        </w:rPr>
        <w:t>Respectfully submitted,</w:t>
      </w:r>
    </w:p>
    <w:p w14:paraId="0EB9F68D" w14:textId="77777777" w:rsidR="005E339A" w:rsidRDefault="005E339A" w:rsidP="005E339A">
      <w:pPr>
        <w:rPr>
          <w:rFonts w:ascii="Georgia" w:hAnsi="Georgia"/>
          <w:sz w:val="24"/>
          <w:szCs w:val="24"/>
        </w:rPr>
      </w:pPr>
    </w:p>
    <w:p w14:paraId="5F7B9ADB" w14:textId="6A3F6B50" w:rsidR="005E339A" w:rsidRDefault="005E339A" w:rsidP="005E339A">
      <w:pPr>
        <w:rPr>
          <w:rFonts w:ascii="Georgia" w:hAnsi="Georgia"/>
          <w:sz w:val="24"/>
          <w:szCs w:val="24"/>
        </w:rPr>
      </w:pPr>
      <w:r>
        <w:rPr>
          <w:rFonts w:ascii="Georgia" w:hAnsi="Georgia"/>
          <w:sz w:val="24"/>
          <w:szCs w:val="24"/>
        </w:rPr>
        <w:tab/>
      </w:r>
      <w:r>
        <w:rPr>
          <w:rFonts w:ascii="Georgia" w:hAnsi="Georgia"/>
          <w:sz w:val="24"/>
          <w:szCs w:val="24"/>
        </w:rPr>
        <w:tab/>
        <w:t>Tyson Slocum, Energy Program Director</w:t>
      </w:r>
    </w:p>
    <w:p w14:paraId="37473F22" w14:textId="7282B250" w:rsidR="005E339A" w:rsidRDefault="005E339A" w:rsidP="005E339A">
      <w:pPr>
        <w:rPr>
          <w:rFonts w:ascii="Georgia" w:hAnsi="Georgia"/>
          <w:sz w:val="24"/>
          <w:szCs w:val="24"/>
        </w:rPr>
      </w:pPr>
      <w:r>
        <w:rPr>
          <w:rFonts w:ascii="Georgia" w:hAnsi="Georgia"/>
          <w:sz w:val="24"/>
          <w:szCs w:val="24"/>
        </w:rPr>
        <w:tab/>
      </w:r>
      <w:r>
        <w:rPr>
          <w:rFonts w:ascii="Georgia" w:hAnsi="Georgia"/>
          <w:sz w:val="24"/>
          <w:szCs w:val="24"/>
        </w:rPr>
        <w:tab/>
        <w:t>Public Citizen, Inc.</w:t>
      </w:r>
    </w:p>
    <w:p w14:paraId="5998F1DD" w14:textId="0CBAE515" w:rsidR="005E339A" w:rsidRDefault="005E339A" w:rsidP="005E339A">
      <w:pPr>
        <w:rPr>
          <w:rFonts w:ascii="Georgia" w:hAnsi="Georgia"/>
          <w:sz w:val="24"/>
          <w:szCs w:val="24"/>
        </w:rPr>
      </w:pPr>
      <w:r>
        <w:rPr>
          <w:rFonts w:ascii="Georgia" w:hAnsi="Georgia"/>
          <w:sz w:val="24"/>
          <w:szCs w:val="24"/>
        </w:rPr>
        <w:tab/>
      </w:r>
      <w:r>
        <w:rPr>
          <w:rFonts w:ascii="Georgia" w:hAnsi="Georgia"/>
          <w:sz w:val="24"/>
          <w:szCs w:val="24"/>
        </w:rPr>
        <w:tab/>
        <w:t>215 Pennsylvania Ave SE</w:t>
      </w:r>
    </w:p>
    <w:p w14:paraId="209ACB2E" w14:textId="310706A2" w:rsidR="005E339A" w:rsidRDefault="005E339A" w:rsidP="005E339A">
      <w:pPr>
        <w:rPr>
          <w:rFonts w:ascii="Georgia" w:hAnsi="Georgia"/>
          <w:sz w:val="24"/>
          <w:szCs w:val="24"/>
        </w:rPr>
      </w:pPr>
      <w:r>
        <w:rPr>
          <w:rFonts w:ascii="Georgia" w:hAnsi="Georgia"/>
          <w:sz w:val="24"/>
          <w:szCs w:val="24"/>
        </w:rPr>
        <w:tab/>
      </w:r>
      <w:r>
        <w:rPr>
          <w:rFonts w:ascii="Georgia" w:hAnsi="Georgia"/>
          <w:sz w:val="24"/>
          <w:szCs w:val="24"/>
        </w:rPr>
        <w:tab/>
        <w:t>Washington, DC  20003</w:t>
      </w:r>
    </w:p>
    <w:p w14:paraId="1FCEEB13" w14:textId="28A4E6FA" w:rsidR="005E339A" w:rsidRDefault="005E339A" w:rsidP="005E339A">
      <w:pPr>
        <w:rPr>
          <w:rFonts w:ascii="Georgia" w:hAnsi="Georgia"/>
          <w:sz w:val="24"/>
          <w:szCs w:val="24"/>
        </w:rPr>
      </w:pPr>
      <w:r>
        <w:rPr>
          <w:rFonts w:ascii="Georgia" w:hAnsi="Georgia"/>
          <w:sz w:val="24"/>
          <w:szCs w:val="24"/>
        </w:rPr>
        <w:tab/>
      </w:r>
      <w:r>
        <w:rPr>
          <w:rFonts w:ascii="Georgia" w:hAnsi="Georgia"/>
          <w:sz w:val="24"/>
          <w:szCs w:val="24"/>
        </w:rPr>
        <w:tab/>
        <w:t>(202) 454-5191</w:t>
      </w:r>
    </w:p>
    <w:p w14:paraId="3423DB9F" w14:textId="6FE45C34" w:rsidR="005E339A" w:rsidRPr="00EF0F60" w:rsidRDefault="005E339A" w:rsidP="005E339A">
      <w:pPr>
        <w:rPr>
          <w:rFonts w:ascii="Georgia" w:hAnsi="Georgia"/>
          <w:sz w:val="24"/>
          <w:szCs w:val="24"/>
        </w:rPr>
      </w:pPr>
      <w:r>
        <w:rPr>
          <w:rFonts w:ascii="Georgia" w:hAnsi="Georgia"/>
          <w:sz w:val="24"/>
          <w:szCs w:val="24"/>
        </w:rPr>
        <w:tab/>
      </w:r>
      <w:r>
        <w:rPr>
          <w:rFonts w:ascii="Georgia" w:hAnsi="Georgia"/>
          <w:sz w:val="24"/>
          <w:szCs w:val="24"/>
        </w:rPr>
        <w:tab/>
        <w:t>tslocum@citizen.org</w:t>
      </w:r>
    </w:p>
    <w:sectPr w:rsidR="005E339A" w:rsidRPr="00EF0F60" w:rsidSect="00C3138E">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45CA" w14:textId="77777777" w:rsidR="001C15D7" w:rsidRDefault="001C15D7" w:rsidP="0055633E">
      <w:r>
        <w:separator/>
      </w:r>
    </w:p>
  </w:endnote>
  <w:endnote w:type="continuationSeparator" w:id="0">
    <w:p w14:paraId="4B073446" w14:textId="77777777" w:rsidR="001C15D7" w:rsidRDefault="001C15D7" w:rsidP="0055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38659"/>
      <w:docPartObj>
        <w:docPartGallery w:val="Page Numbers (Bottom of Page)"/>
        <w:docPartUnique/>
      </w:docPartObj>
    </w:sdtPr>
    <w:sdtEndPr>
      <w:rPr>
        <w:color w:val="7F7F7F" w:themeColor="background1" w:themeShade="7F"/>
        <w:spacing w:val="60"/>
      </w:rPr>
    </w:sdtEndPr>
    <w:sdtContent>
      <w:p w14:paraId="3662B546" w14:textId="081E3AEC" w:rsidR="00C3138E" w:rsidRDefault="00C3138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B80DB23" w14:textId="77777777" w:rsidR="00C3138E" w:rsidRDefault="00C31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B96B9" w14:textId="77777777" w:rsidR="001C15D7" w:rsidRDefault="001C15D7" w:rsidP="0055633E">
      <w:r>
        <w:separator/>
      </w:r>
    </w:p>
  </w:footnote>
  <w:footnote w:type="continuationSeparator" w:id="0">
    <w:p w14:paraId="2ABA251A" w14:textId="77777777" w:rsidR="001C15D7" w:rsidRDefault="001C15D7" w:rsidP="0055633E">
      <w:r>
        <w:continuationSeparator/>
      </w:r>
    </w:p>
  </w:footnote>
  <w:footnote w:id="1">
    <w:p w14:paraId="734E0549" w14:textId="1650F20F" w:rsidR="0055633E" w:rsidRDefault="0055633E">
      <w:pPr>
        <w:pStyle w:val="FootnoteText"/>
      </w:pPr>
      <w:r>
        <w:rPr>
          <w:rStyle w:val="FootnoteReference"/>
        </w:rPr>
        <w:footnoteRef/>
      </w:r>
      <w:r>
        <w:t xml:space="preserve"> </w:t>
      </w:r>
      <w:r w:rsidRPr="0055633E">
        <w:rPr>
          <w:rFonts w:ascii="Georgia" w:hAnsi="Georgia"/>
        </w:rPr>
        <w:t>Application, at page 1.</w:t>
      </w:r>
    </w:p>
  </w:footnote>
  <w:footnote w:id="2">
    <w:p w14:paraId="4ACC4E28" w14:textId="6444AF7F" w:rsidR="004F61EE" w:rsidRDefault="004F61EE">
      <w:pPr>
        <w:pStyle w:val="FootnoteText"/>
      </w:pPr>
      <w:r>
        <w:rPr>
          <w:rStyle w:val="FootnoteReference"/>
        </w:rPr>
        <w:footnoteRef/>
      </w:r>
      <w:r>
        <w:t xml:space="preserve"> </w:t>
      </w:r>
      <w:r w:rsidRPr="004F61EE">
        <w:rPr>
          <w:rFonts w:ascii="Georgia" w:hAnsi="Georgia"/>
        </w:rPr>
        <w:t>www.citizen.org/about/annual-report/</w:t>
      </w:r>
    </w:p>
  </w:footnote>
  <w:footnote w:id="3">
    <w:p w14:paraId="097D076F" w14:textId="13A84A4E" w:rsidR="00C46616" w:rsidRDefault="00C46616">
      <w:pPr>
        <w:pStyle w:val="FootnoteText"/>
      </w:pPr>
      <w:r>
        <w:rPr>
          <w:rStyle w:val="FootnoteReference"/>
        </w:rPr>
        <w:footnoteRef/>
      </w:r>
      <w:r>
        <w:t xml:space="preserve"> </w:t>
      </w:r>
      <w:r w:rsidR="00F16EA6" w:rsidRPr="00F16EA6">
        <w:rPr>
          <w:rFonts w:ascii="Georgia" w:hAnsi="Georgia"/>
        </w:rPr>
        <w:t>Docket No. RM21-17, at 5.</w:t>
      </w:r>
    </w:p>
  </w:footnote>
  <w:footnote w:id="4">
    <w:p w14:paraId="4778D3B7" w14:textId="158CEE3D" w:rsidR="00A310A9" w:rsidRDefault="00A310A9">
      <w:pPr>
        <w:pStyle w:val="FootnoteText"/>
      </w:pPr>
      <w:r>
        <w:rPr>
          <w:rStyle w:val="FootnoteReference"/>
        </w:rPr>
        <w:footnoteRef/>
      </w:r>
      <w:r>
        <w:t xml:space="preserve"> </w:t>
      </w:r>
      <w:r w:rsidRPr="006E5FA7">
        <w:rPr>
          <w:rFonts w:ascii="Georgia" w:hAnsi="Georgia"/>
        </w:rPr>
        <w:t xml:space="preserve">Commissioner Christie concurring statement, </w:t>
      </w:r>
      <w:r w:rsidRPr="006E5FA7">
        <w:rPr>
          <w:rFonts w:ascii="Georgia" w:hAnsi="Georgia"/>
          <w:i/>
          <w:iCs/>
        </w:rPr>
        <w:t>Order Granting Abandoned Plant Incentive</w:t>
      </w:r>
      <w:r w:rsidRPr="006E5FA7">
        <w:rPr>
          <w:rFonts w:ascii="Georgia" w:hAnsi="Georgia"/>
        </w:rPr>
        <w:t>, Docket No. ER22-1886, Issued July 15, 2022.</w:t>
      </w:r>
    </w:p>
  </w:footnote>
  <w:footnote w:id="5">
    <w:p w14:paraId="2BD48274" w14:textId="77777777" w:rsidR="00342482" w:rsidRDefault="00342482" w:rsidP="00342482">
      <w:pPr>
        <w:pStyle w:val="FootnoteText"/>
      </w:pPr>
      <w:r>
        <w:rPr>
          <w:rStyle w:val="FootnoteReference"/>
        </w:rPr>
        <w:footnoteRef/>
      </w:r>
      <w:r>
        <w:t xml:space="preserve"> </w:t>
      </w:r>
      <w:r w:rsidRPr="00872F6E">
        <w:rPr>
          <w:rFonts w:ascii="Georgia" w:hAnsi="Georgia"/>
          <w:i/>
          <w:iCs/>
        </w:rPr>
        <w:t>Promoting Transmission Investment through Pricing Reform</w:t>
      </w:r>
      <w:r w:rsidRPr="007B61E7">
        <w:rPr>
          <w:rFonts w:ascii="Georgia" w:hAnsi="Georgia"/>
        </w:rPr>
        <w:t xml:space="preserve">, Docket No. RM06-4, issued July 20, 2006, at </w:t>
      </w:r>
      <w:r>
        <w:rPr>
          <w:rFonts w:ascii="Georgia" w:hAnsi="Georgia"/>
        </w:rPr>
        <w:t>paragraphs 6, 26, 2 and 116</w:t>
      </w:r>
      <w:r w:rsidRPr="007B61E7">
        <w:rPr>
          <w:rFonts w:ascii="Georgia" w:hAnsi="Georgia"/>
        </w:rPr>
        <w:t>, www.ferc.gov/sites/default/files/2020-05/E-3_69.pdf</w:t>
      </w:r>
    </w:p>
  </w:footnote>
  <w:footnote w:id="6">
    <w:p w14:paraId="2991FAB3" w14:textId="77777777" w:rsidR="00C46854" w:rsidRDefault="00C46854" w:rsidP="00C46854">
      <w:pPr>
        <w:pStyle w:val="FootnoteText"/>
      </w:pPr>
      <w:r>
        <w:rPr>
          <w:rStyle w:val="FootnoteReference"/>
        </w:rPr>
        <w:footnoteRef/>
      </w:r>
      <w:r>
        <w:t xml:space="preserve"> </w:t>
      </w:r>
      <w:r w:rsidRPr="00207333">
        <w:rPr>
          <w:rFonts w:ascii="Georgia" w:hAnsi="Georgia"/>
        </w:rPr>
        <w:t>www.congress.gov/bill/117th-congress/house-bill/3684/text</w:t>
      </w:r>
    </w:p>
  </w:footnote>
  <w:footnote w:id="7">
    <w:p w14:paraId="57D69A86" w14:textId="5EF751D5" w:rsidR="00A116C6" w:rsidRDefault="00A116C6">
      <w:pPr>
        <w:pStyle w:val="FootnoteText"/>
      </w:pPr>
      <w:r>
        <w:rPr>
          <w:rStyle w:val="FootnoteReference"/>
        </w:rPr>
        <w:footnoteRef/>
      </w:r>
      <w:r>
        <w:t xml:space="preserve"> </w:t>
      </w:r>
      <w:r w:rsidRPr="00A116C6">
        <w:rPr>
          <w:rFonts w:ascii="Georgia" w:hAnsi="Georgia"/>
        </w:rPr>
        <w:t>www.congress.gov/bill/117th-congress/house-bill/5376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2EEF" w14:textId="74D0177B" w:rsidR="00CB44E8" w:rsidRPr="00CB44E8" w:rsidRDefault="00CB44E8" w:rsidP="00CB44E8">
    <w:pPr>
      <w:pStyle w:val="Header"/>
      <w:jc w:val="center"/>
      <w:rPr>
        <w:rFonts w:ascii="Georgia" w:hAnsi="Georgia"/>
        <w:i/>
        <w:iCs/>
      </w:rPr>
    </w:pPr>
    <w:r w:rsidRPr="00CB44E8">
      <w:rPr>
        <w:rFonts w:ascii="Georgia" w:hAnsi="Georgia"/>
        <w:i/>
        <w:iCs/>
      </w:rPr>
      <w:t xml:space="preserve">Public Citizen Comment • January 19, </w:t>
    </w:r>
    <w:proofErr w:type="gramStart"/>
    <w:r w:rsidRPr="00CB44E8">
      <w:rPr>
        <w:rFonts w:ascii="Georgia" w:hAnsi="Georgia"/>
        <w:i/>
        <w:iCs/>
      </w:rPr>
      <w:t>2023</w:t>
    </w:r>
    <w:proofErr w:type="gramEnd"/>
    <w:r w:rsidRPr="00CB44E8">
      <w:rPr>
        <w:rFonts w:ascii="Georgia" w:hAnsi="Georgia"/>
        <w:i/>
        <w:iCs/>
      </w:rPr>
      <w:t xml:space="preserve"> • Docket No. ER23-764</w:t>
    </w:r>
  </w:p>
  <w:p w14:paraId="48947763" w14:textId="77777777" w:rsidR="00CB44E8" w:rsidRDefault="00CB44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60"/>
    <w:rsid w:val="00043052"/>
    <w:rsid w:val="000F4965"/>
    <w:rsid w:val="00125B50"/>
    <w:rsid w:val="001C15D7"/>
    <w:rsid w:val="001D38C2"/>
    <w:rsid w:val="001F673E"/>
    <w:rsid w:val="002061CA"/>
    <w:rsid w:val="0024577C"/>
    <w:rsid w:val="0027390A"/>
    <w:rsid w:val="002A769C"/>
    <w:rsid w:val="00301524"/>
    <w:rsid w:val="00327CF1"/>
    <w:rsid w:val="00342482"/>
    <w:rsid w:val="003C3040"/>
    <w:rsid w:val="004133F0"/>
    <w:rsid w:val="004D03BD"/>
    <w:rsid w:val="004F61EE"/>
    <w:rsid w:val="00513D3D"/>
    <w:rsid w:val="00536CDE"/>
    <w:rsid w:val="0055633E"/>
    <w:rsid w:val="005E339A"/>
    <w:rsid w:val="006443BB"/>
    <w:rsid w:val="007116D6"/>
    <w:rsid w:val="00713346"/>
    <w:rsid w:val="007B67F5"/>
    <w:rsid w:val="008141CE"/>
    <w:rsid w:val="008C1FFD"/>
    <w:rsid w:val="009378B8"/>
    <w:rsid w:val="00A116C6"/>
    <w:rsid w:val="00A310A9"/>
    <w:rsid w:val="00AB35F3"/>
    <w:rsid w:val="00AB6F9A"/>
    <w:rsid w:val="00B62FF8"/>
    <w:rsid w:val="00BA04C0"/>
    <w:rsid w:val="00BA7F06"/>
    <w:rsid w:val="00BD5F48"/>
    <w:rsid w:val="00C3138E"/>
    <w:rsid w:val="00C46616"/>
    <w:rsid w:val="00C46854"/>
    <w:rsid w:val="00CB44E8"/>
    <w:rsid w:val="00D43809"/>
    <w:rsid w:val="00DB6CC9"/>
    <w:rsid w:val="00DD00C6"/>
    <w:rsid w:val="00E92E72"/>
    <w:rsid w:val="00EC5069"/>
    <w:rsid w:val="00EF0F60"/>
    <w:rsid w:val="00F1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0F4F"/>
  <w15:chartTrackingRefBased/>
  <w15:docId w15:val="{F1E06088-2AAC-4422-8ABA-F4902638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633E"/>
    <w:rPr>
      <w:sz w:val="20"/>
      <w:szCs w:val="20"/>
    </w:rPr>
  </w:style>
  <w:style w:type="character" w:customStyle="1" w:styleId="FootnoteTextChar">
    <w:name w:val="Footnote Text Char"/>
    <w:basedOn w:val="DefaultParagraphFont"/>
    <w:link w:val="FootnoteText"/>
    <w:uiPriority w:val="99"/>
    <w:semiHidden/>
    <w:rsid w:val="0055633E"/>
    <w:rPr>
      <w:sz w:val="20"/>
      <w:szCs w:val="20"/>
    </w:rPr>
  </w:style>
  <w:style w:type="character" w:styleId="FootnoteReference">
    <w:name w:val="footnote reference"/>
    <w:basedOn w:val="DefaultParagraphFont"/>
    <w:uiPriority w:val="99"/>
    <w:semiHidden/>
    <w:unhideWhenUsed/>
    <w:rsid w:val="0055633E"/>
    <w:rPr>
      <w:vertAlign w:val="superscript"/>
    </w:rPr>
  </w:style>
  <w:style w:type="paragraph" w:styleId="Header">
    <w:name w:val="header"/>
    <w:basedOn w:val="Normal"/>
    <w:link w:val="HeaderChar"/>
    <w:uiPriority w:val="99"/>
    <w:unhideWhenUsed/>
    <w:rsid w:val="00C3138E"/>
    <w:pPr>
      <w:tabs>
        <w:tab w:val="center" w:pos="4680"/>
        <w:tab w:val="right" w:pos="9360"/>
      </w:tabs>
    </w:pPr>
  </w:style>
  <w:style w:type="character" w:customStyle="1" w:styleId="HeaderChar">
    <w:name w:val="Header Char"/>
    <w:basedOn w:val="DefaultParagraphFont"/>
    <w:link w:val="Header"/>
    <w:uiPriority w:val="99"/>
    <w:rsid w:val="00C3138E"/>
  </w:style>
  <w:style w:type="paragraph" w:styleId="Footer">
    <w:name w:val="footer"/>
    <w:basedOn w:val="Normal"/>
    <w:link w:val="FooterChar"/>
    <w:uiPriority w:val="99"/>
    <w:unhideWhenUsed/>
    <w:rsid w:val="00C3138E"/>
    <w:pPr>
      <w:tabs>
        <w:tab w:val="center" w:pos="4680"/>
        <w:tab w:val="right" w:pos="9360"/>
      </w:tabs>
    </w:pPr>
  </w:style>
  <w:style w:type="character" w:customStyle="1" w:styleId="FooterChar">
    <w:name w:val="Footer Char"/>
    <w:basedOn w:val="DefaultParagraphFont"/>
    <w:link w:val="Footer"/>
    <w:uiPriority w:val="99"/>
    <w:rsid w:val="00C31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D34F-A4E4-4DD2-8B5C-1808E80A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42</cp:revision>
  <dcterms:created xsi:type="dcterms:W3CDTF">2023-01-19T17:12:00Z</dcterms:created>
  <dcterms:modified xsi:type="dcterms:W3CDTF">2023-01-19T19:07:00Z</dcterms:modified>
</cp:coreProperties>
</file>