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64A5" w14:textId="5634A491" w:rsidR="00E67478" w:rsidRPr="009D4CD1" w:rsidRDefault="00E67478" w:rsidP="00683A6A">
      <w:pPr>
        <w:jc w:val="center"/>
        <w:rPr>
          <w:rFonts w:ascii="Georgia" w:hAnsi="Georgia"/>
          <w:sz w:val="24"/>
          <w:szCs w:val="24"/>
        </w:rPr>
      </w:pPr>
      <w:r w:rsidRPr="009D4CD1">
        <w:rPr>
          <w:rFonts w:ascii="Georgia" w:hAnsi="Georgia"/>
          <w:sz w:val="24"/>
          <w:szCs w:val="24"/>
        </w:rPr>
        <w:t>UNITED STATES OF AMERICA</w:t>
      </w:r>
    </w:p>
    <w:p w14:paraId="3C9A236C" w14:textId="696F8056" w:rsidR="00E67478" w:rsidRPr="009D4CD1" w:rsidRDefault="00E67478" w:rsidP="00683A6A">
      <w:pPr>
        <w:jc w:val="center"/>
        <w:rPr>
          <w:rFonts w:ascii="Georgia" w:hAnsi="Georgia"/>
          <w:sz w:val="24"/>
          <w:szCs w:val="24"/>
        </w:rPr>
      </w:pPr>
      <w:r w:rsidRPr="009D4CD1">
        <w:rPr>
          <w:rFonts w:ascii="Georgia" w:hAnsi="Georgia"/>
          <w:sz w:val="24"/>
          <w:szCs w:val="24"/>
        </w:rPr>
        <w:t>BEFORE THE</w:t>
      </w:r>
    </w:p>
    <w:p w14:paraId="759B61DE" w14:textId="50934D5B" w:rsidR="00E67478" w:rsidRPr="009D4CD1" w:rsidRDefault="00E67478" w:rsidP="00683A6A">
      <w:pPr>
        <w:jc w:val="center"/>
        <w:rPr>
          <w:rFonts w:ascii="Georgia" w:hAnsi="Georgia"/>
          <w:sz w:val="24"/>
          <w:szCs w:val="24"/>
        </w:rPr>
      </w:pPr>
      <w:r w:rsidRPr="009D4CD1">
        <w:rPr>
          <w:rFonts w:ascii="Georgia" w:hAnsi="Georgia"/>
          <w:sz w:val="24"/>
          <w:szCs w:val="24"/>
        </w:rPr>
        <w:t>FEDERAL ENERGY REGULATORY COMMISSION</w:t>
      </w:r>
    </w:p>
    <w:p w14:paraId="3E0B899B" w14:textId="5BAAC836" w:rsidR="00E67478" w:rsidRPr="009D4CD1" w:rsidRDefault="00E67478">
      <w:pPr>
        <w:rPr>
          <w:rFonts w:ascii="Georgia" w:hAnsi="Georgia"/>
          <w:sz w:val="24"/>
          <w:szCs w:val="24"/>
        </w:rPr>
      </w:pPr>
    </w:p>
    <w:p w14:paraId="41CFB5B4" w14:textId="451CBCEE" w:rsidR="00E67478" w:rsidRPr="009D4CD1" w:rsidRDefault="00E67478">
      <w:pPr>
        <w:rPr>
          <w:rFonts w:ascii="Georgia" w:hAnsi="Georgia"/>
          <w:sz w:val="24"/>
          <w:szCs w:val="24"/>
        </w:rPr>
      </w:pPr>
      <w:r w:rsidRPr="009D4CD1">
        <w:rPr>
          <w:rFonts w:ascii="Georgia" w:eastAsia="Times New Roman" w:hAnsi="Georgia" w:cs="Times New Roman"/>
          <w:sz w:val="24"/>
          <w:szCs w:val="24"/>
        </w:rPr>
        <w:t>DTE Electric Company</w:t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>Docket Nos.</w:t>
      </w:r>
      <w:r w:rsidR="00A2559A"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>ER13-738-008</w:t>
      </w:r>
    </w:p>
    <w:p w14:paraId="626F200F" w14:textId="6D3EB08E" w:rsidR="00E67478" w:rsidRPr="009D4CD1" w:rsidRDefault="00A2559A">
      <w:pPr>
        <w:rPr>
          <w:rFonts w:ascii="Georgia" w:hAnsi="Georgia"/>
          <w:sz w:val="24"/>
          <w:szCs w:val="24"/>
        </w:rPr>
      </w:pPr>
      <w:r w:rsidRPr="009D4CD1">
        <w:rPr>
          <w:rFonts w:ascii="Georgia" w:eastAsia="Times New Roman" w:hAnsi="Georgia" w:cs="Times New Roman"/>
          <w:sz w:val="24"/>
          <w:szCs w:val="24"/>
        </w:rPr>
        <w:t>DTE Energy Trading, Inc.</w:t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>ER10-1186-011</w:t>
      </w:r>
    </w:p>
    <w:p w14:paraId="665D01AD" w14:textId="6BB88D79" w:rsidR="00E67478" w:rsidRPr="009D4CD1" w:rsidRDefault="00A2559A">
      <w:pPr>
        <w:rPr>
          <w:rFonts w:ascii="Georgia" w:hAnsi="Georgia"/>
          <w:sz w:val="24"/>
          <w:szCs w:val="24"/>
        </w:rPr>
      </w:pPr>
      <w:r w:rsidRPr="009D4CD1">
        <w:rPr>
          <w:rFonts w:ascii="Georgia" w:eastAsia="Times New Roman" w:hAnsi="Georgia" w:cs="Times New Roman"/>
          <w:sz w:val="24"/>
          <w:szCs w:val="24"/>
        </w:rPr>
        <w:t>DTE Energy Supply, LLC</w:t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>ER10-1329-011</w:t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</w:p>
    <w:p w14:paraId="78FC3BFD" w14:textId="176BD3E3" w:rsidR="00A2559A" w:rsidRPr="009D4CD1" w:rsidRDefault="00EE58C0">
      <w:pPr>
        <w:rPr>
          <w:rFonts w:ascii="Georgia" w:hAnsi="Georgia"/>
          <w:sz w:val="24"/>
          <w:szCs w:val="24"/>
        </w:rPr>
      </w:pPr>
      <w:r w:rsidRPr="009D4CD1">
        <w:rPr>
          <w:rFonts w:ascii="Georgia" w:eastAsia="Times New Roman" w:hAnsi="Georgia" w:cs="Times New Roman"/>
          <w:sz w:val="24"/>
          <w:szCs w:val="24"/>
        </w:rPr>
        <w:t>DTE Garden Wind Farm, LLC</w:t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>ER11-2731-004</w:t>
      </w:r>
    </w:p>
    <w:p w14:paraId="5550B682" w14:textId="59CB06CB" w:rsidR="00EE58C0" w:rsidRPr="009D4CD1" w:rsidRDefault="00EE58C0">
      <w:pPr>
        <w:rPr>
          <w:rFonts w:ascii="Georgia" w:hAnsi="Georgia"/>
          <w:sz w:val="24"/>
          <w:szCs w:val="24"/>
        </w:rPr>
      </w:pPr>
      <w:r w:rsidRPr="009D4CD1">
        <w:rPr>
          <w:rFonts w:ascii="Georgia" w:eastAsia="Times New Roman" w:hAnsi="Georgia" w:cs="Times New Roman"/>
          <w:sz w:val="24"/>
          <w:szCs w:val="24"/>
        </w:rPr>
        <w:t>DTE Stoney Corners Wind Farm, LLC</w:t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>ER11-3097-012</w:t>
      </w:r>
    </w:p>
    <w:p w14:paraId="5717E466" w14:textId="465ED71A" w:rsidR="00AC343E" w:rsidRPr="009D4CD1" w:rsidRDefault="00EE58C0">
      <w:pPr>
        <w:rPr>
          <w:rFonts w:ascii="Georgia" w:eastAsia="Times New Roman" w:hAnsi="Georgia" w:cs="Times New Roman"/>
          <w:sz w:val="24"/>
          <w:szCs w:val="24"/>
        </w:rPr>
      </w:pPr>
      <w:r w:rsidRPr="009D4CD1">
        <w:rPr>
          <w:rFonts w:ascii="Georgia" w:eastAsia="Times New Roman" w:hAnsi="Georgia" w:cs="Times New Roman"/>
          <w:sz w:val="24"/>
          <w:szCs w:val="24"/>
        </w:rPr>
        <w:t>St. Paul Cogeneration, LLC</w:t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ab/>
      </w:r>
      <w:r w:rsidRPr="009D4CD1">
        <w:rPr>
          <w:rFonts w:ascii="Georgia" w:eastAsia="Times New Roman" w:hAnsi="Georgia" w:cs="Times New Roman"/>
          <w:sz w:val="24"/>
          <w:szCs w:val="24"/>
        </w:rPr>
        <w:t>ER12-421-004</w:t>
      </w:r>
    </w:p>
    <w:p w14:paraId="6E31EEEE" w14:textId="6C431A6D" w:rsidR="00080F55" w:rsidRDefault="00080F55">
      <w:pPr>
        <w:rPr>
          <w:rFonts w:ascii="Georgia" w:eastAsia="Times New Roman" w:hAnsi="Georgia" w:cs="Times New Roman"/>
          <w:sz w:val="24"/>
          <w:szCs w:val="24"/>
        </w:rPr>
      </w:pPr>
    </w:p>
    <w:p w14:paraId="6559C5DA" w14:textId="77777777" w:rsidR="00727564" w:rsidRPr="009D4CD1" w:rsidRDefault="00727564">
      <w:pPr>
        <w:rPr>
          <w:rFonts w:ascii="Georgia" w:eastAsia="Times New Roman" w:hAnsi="Georgia" w:cs="Times New Roman"/>
          <w:sz w:val="24"/>
          <w:szCs w:val="24"/>
        </w:rPr>
      </w:pPr>
    </w:p>
    <w:p w14:paraId="28927029" w14:textId="1E5961D7" w:rsidR="00080F55" w:rsidRPr="009D4CD1" w:rsidRDefault="00080F55" w:rsidP="009D4CD1">
      <w:pPr>
        <w:jc w:val="center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9D4CD1">
        <w:rPr>
          <w:rFonts w:ascii="Georgia" w:eastAsia="Times New Roman" w:hAnsi="Georgia" w:cs="Times New Roman"/>
          <w:b/>
          <w:bCs/>
          <w:sz w:val="24"/>
          <w:szCs w:val="24"/>
        </w:rPr>
        <w:t>Comment of Public Citizen, Inc.</w:t>
      </w:r>
    </w:p>
    <w:p w14:paraId="660B4547" w14:textId="40081895" w:rsidR="00080F55" w:rsidRDefault="00080F55">
      <w:pPr>
        <w:rPr>
          <w:rFonts w:ascii="Georgia" w:eastAsia="Times New Roman" w:hAnsi="Georgia" w:cs="Times New Roman"/>
          <w:sz w:val="24"/>
          <w:szCs w:val="24"/>
        </w:rPr>
      </w:pPr>
    </w:p>
    <w:p w14:paraId="11A3E48C" w14:textId="77777777" w:rsidR="00727564" w:rsidRPr="009D4CD1" w:rsidRDefault="00727564">
      <w:pPr>
        <w:rPr>
          <w:rFonts w:ascii="Georgia" w:eastAsia="Times New Roman" w:hAnsi="Georgia" w:cs="Times New Roman"/>
          <w:sz w:val="24"/>
          <w:szCs w:val="24"/>
        </w:rPr>
      </w:pPr>
    </w:p>
    <w:p w14:paraId="60834F48" w14:textId="7A42DACD" w:rsidR="00080F55" w:rsidRPr="009D4CD1" w:rsidRDefault="00080F55" w:rsidP="005137E2">
      <w:pPr>
        <w:spacing w:line="360" w:lineRule="auto"/>
        <w:rPr>
          <w:rFonts w:ascii="Georgia" w:eastAsia="Times New Roman" w:hAnsi="Georgia" w:cs="Times New Roman"/>
          <w:sz w:val="24"/>
          <w:szCs w:val="24"/>
        </w:rPr>
      </w:pPr>
      <w:r w:rsidRPr="009D4CD1">
        <w:rPr>
          <w:rFonts w:ascii="Georgia" w:eastAsia="Times New Roman" w:hAnsi="Georgia" w:cs="Times New Roman"/>
          <w:sz w:val="24"/>
          <w:szCs w:val="24"/>
        </w:rPr>
        <w:tab/>
        <w:t xml:space="preserve">On May 14, various market-based rate </w:t>
      </w:r>
      <w:r w:rsidR="00683A6A" w:rsidRPr="009D4CD1">
        <w:rPr>
          <w:rFonts w:ascii="Georgia" w:eastAsia="Times New Roman" w:hAnsi="Georgia" w:cs="Times New Roman"/>
          <w:sz w:val="24"/>
          <w:szCs w:val="24"/>
        </w:rPr>
        <w:t xml:space="preserve">subsidiaries of DTE Energy filed a </w:t>
      </w:r>
      <w:r w:rsidR="001A63DB" w:rsidRPr="009D4CD1">
        <w:rPr>
          <w:rFonts w:ascii="Georgia" w:eastAsia="Times New Roman" w:hAnsi="Georgia" w:cs="Times New Roman"/>
          <w:sz w:val="24"/>
          <w:szCs w:val="24"/>
        </w:rPr>
        <w:t>notice of change in status</w:t>
      </w:r>
      <w:r w:rsidR="00830160" w:rsidRPr="009D4CD1">
        <w:rPr>
          <w:rFonts w:ascii="Georgia" w:eastAsia="Times New Roman" w:hAnsi="Georgia" w:cs="Times New Roman"/>
          <w:sz w:val="24"/>
          <w:szCs w:val="24"/>
        </w:rPr>
        <w:t xml:space="preserve"> reporting an addition of 462 MW of generation in MISO.</w:t>
      </w:r>
    </w:p>
    <w:p w14:paraId="2E42E046" w14:textId="1D9105E6" w:rsidR="00B61BDD" w:rsidRDefault="00330E0B" w:rsidP="005137E2">
      <w:pPr>
        <w:spacing w:line="360" w:lineRule="auto"/>
        <w:rPr>
          <w:rFonts w:ascii="Georgia" w:eastAsia="Times New Roman" w:hAnsi="Georgia" w:cs="Times New Roman"/>
          <w:sz w:val="24"/>
          <w:szCs w:val="24"/>
        </w:rPr>
      </w:pPr>
      <w:r w:rsidRPr="009D4CD1">
        <w:rPr>
          <w:rFonts w:ascii="Georgia" w:eastAsia="Times New Roman" w:hAnsi="Georgia" w:cs="Times New Roman"/>
          <w:sz w:val="24"/>
          <w:szCs w:val="24"/>
        </w:rPr>
        <w:tab/>
        <w:t xml:space="preserve">But the change in status </w:t>
      </w:r>
      <w:r w:rsidR="009D4CD1" w:rsidRPr="009D4CD1">
        <w:rPr>
          <w:rFonts w:ascii="Georgia" w:eastAsia="Times New Roman" w:hAnsi="Georgia" w:cs="Times New Roman"/>
          <w:sz w:val="24"/>
          <w:szCs w:val="24"/>
        </w:rPr>
        <w:t xml:space="preserve">fails to </w:t>
      </w:r>
      <w:r w:rsidR="0038311F">
        <w:rPr>
          <w:rFonts w:ascii="Georgia" w:eastAsia="Times New Roman" w:hAnsi="Georgia" w:cs="Times New Roman"/>
          <w:sz w:val="24"/>
          <w:szCs w:val="24"/>
        </w:rPr>
        <w:t>disclose</w:t>
      </w:r>
      <w:r w:rsidRPr="009D4CD1">
        <w:rPr>
          <w:rFonts w:ascii="Georgia" w:eastAsia="Times New Roman" w:hAnsi="Georgia" w:cs="Times New Roman"/>
          <w:sz w:val="24"/>
          <w:szCs w:val="24"/>
        </w:rPr>
        <w:t xml:space="preserve"> DTE’s </w:t>
      </w:r>
      <w:r w:rsidR="0038311F">
        <w:rPr>
          <w:rFonts w:ascii="Georgia" w:eastAsia="Times New Roman" w:hAnsi="Georgia" w:cs="Times New Roman"/>
          <w:sz w:val="24"/>
          <w:szCs w:val="24"/>
        </w:rPr>
        <w:t xml:space="preserve">probable </w:t>
      </w:r>
      <w:r w:rsidRPr="009D4CD1">
        <w:rPr>
          <w:rFonts w:ascii="Georgia" w:eastAsia="Times New Roman" w:hAnsi="Georgia" w:cs="Times New Roman"/>
          <w:sz w:val="24"/>
          <w:szCs w:val="24"/>
        </w:rPr>
        <w:t>affiliation with Elliott Management</w:t>
      </w:r>
      <w:r w:rsidR="009D4CD1" w:rsidRPr="009D4CD1">
        <w:rPr>
          <w:rFonts w:ascii="Georgia" w:eastAsia="Times New Roman" w:hAnsi="Georgia" w:cs="Times New Roman"/>
          <w:sz w:val="24"/>
          <w:szCs w:val="24"/>
        </w:rPr>
        <w:t xml:space="preserve">, per </w:t>
      </w:r>
      <w:r w:rsidR="009D4CD1" w:rsidRPr="009D4CD1">
        <w:rPr>
          <w:rFonts w:ascii="Georgia" w:eastAsia="Times New Roman" w:hAnsi="Georgia" w:cs="Times New Roman"/>
          <w:sz w:val="24"/>
          <w:szCs w:val="24"/>
        </w:rPr>
        <w:t>18 CFR § 35.42</w:t>
      </w:r>
      <w:r w:rsidRPr="009D4CD1">
        <w:rPr>
          <w:rFonts w:ascii="Georgia" w:eastAsia="Times New Roman" w:hAnsi="Georgia" w:cs="Times New Roman"/>
          <w:sz w:val="24"/>
          <w:szCs w:val="24"/>
        </w:rPr>
        <w:t xml:space="preserve">. </w:t>
      </w:r>
      <w:r w:rsidR="00D92F8A" w:rsidRPr="009D4CD1">
        <w:rPr>
          <w:rFonts w:ascii="Georgia" w:eastAsia="Times New Roman" w:hAnsi="Georgia" w:cs="Times New Roman"/>
          <w:sz w:val="24"/>
          <w:szCs w:val="24"/>
        </w:rPr>
        <w:t xml:space="preserve">Elliott Management’s involvement with DTE Energy, combined with </w:t>
      </w:r>
      <w:r w:rsidR="00405017" w:rsidRPr="009D4CD1">
        <w:rPr>
          <w:rFonts w:ascii="Georgia" w:eastAsia="Times New Roman" w:hAnsi="Georgia" w:cs="Times New Roman"/>
          <w:sz w:val="24"/>
          <w:szCs w:val="24"/>
        </w:rPr>
        <w:t xml:space="preserve">non-public agreements Elliott Management </w:t>
      </w:r>
      <w:r w:rsidR="00B61BDD" w:rsidRPr="009D4CD1">
        <w:rPr>
          <w:rFonts w:ascii="Georgia" w:eastAsia="Times New Roman" w:hAnsi="Georgia" w:cs="Times New Roman"/>
          <w:sz w:val="24"/>
          <w:szCs w:val="24"/>
        </w:rPr>
        <w:t>has with at least two of DTE’s competitors</w:t>
      </w:r>
      <w:r w:rsidR="00824633">
        <w:rPr>
          <w:rFonts w:ascii="Georgia" w:eastAsia="Times New Roman" w:hAnsi="Georgia" w:cs="Times New Roman"/>
          <w:sz w:val="24"/>
          <w:szCs w:val="24"/>
        </w:rPr>
        <w:t xml:space="preserve"> and a fuel supply contract </w:t>
      </w:r>
      <w:r w:rsidR="0038311F">
        <w:rPr>
          <w:rFonts w:ascii="Georgia" w:eastAsia="Times New Roman" w:hAnsi="Georgia" w:cs="Times New Roman"/>
          <w:sz w:val="24"/>
          <w:szCs w:val="24"/>
        </w:rPr>
        <w:t>between DTE and</w:t>
      </w:r>
      <w:r w:rsidR="00824633">
        <w:rPr>
          <w:rFonts w:ascii="Georgia" w:eastAsia="Times New Roman" w:hAnsi="Georgia" w:cs="Times New Roman"/>
          <w:sz w:val="24"/>
          <w:szCs w:val="24"/>
        </w:rPr>
        <w:t xml:space="preserve"> a</w:t>
      </w:r>
      <w:r w:rsidR="0038311F">
        <w:rPr>
          <w:rFonts w:ascii="Georgia" w:eastAsia="Times New Roman" w:hAnsi="Georgia" w:cs="Times New Roman"/>
          <w:sz w:val="24"/>
          <w:szCs w:val="24"/>
        </w:rPr>
        <w:t>n</w:t>
      </w:r>
      <w:r w:rsidR="00824633">
        <w:rPr>
          <w:rFonts w:ascii="Georgia" w:eastAsia="Times New Roman" w:hAnsi="Georgia" w:cs="Times New Roman"/>
          <w:sz w:val="24"/>
          <w:szCs w:val="24"/>
        </w:rPr>
        <w:t xml:space="preserve"> Elliott Management affiliate</w:t>
      </w:r>
      <w:r w:rsidR="00B61BDD" w:rsidRPr="009D4CD1">
        <w:rPr>
          <w:rFonts w:ascii="Georgia" w:eastAsia="Times New Roman" w:hAnsi="Georgia" w:cs="Times New Roman"/>
          <w:sz w:val="24"/>
          <w:szCs w:val="24"/>
        </w:rPr>
        <w:t>, raise serious anti-</w:t>
      </w:r>
      <w:r w:rsidR="002D0D9B" w:rsidRPr="009D4CD1">
        <w:rPr>
          <w:rFonts w:ascii="Georgia" w:eastAsia="Times New Roman" w:hAnsi="Georgia" w:cs="Times New Roman"/>
          <w:sz w:val="24"/>
          <w:szCs w:val="24"/>
        </w:rPr>
        <w:t>competitive</w:t>
      </w:r>
      <w:r w:rsidR="00B61BDD" w:rsidRPr="009D4CD1">
        <w:rPr>
          <w:rFonts w:ascii="Georgia" w:eastAsia="Times New Roman" w:hAnsi="Georgia" w:cs="Times New Roman"/>
          <w:sz w:val="24"/>
          <w:szCs w:val="24"/>
        </w:rPr>
        <w:t xml:space="preserve"> concerns regarding DTE’s MBR authority.</w:t>
      </w:r>
    </w:p>
    <w:p w14:paraId="339E226F" w14:textId="6AA944B0" w:rsidR="00432274" w:rsidRPr="009D4CD1" w:rsidRDefault="00432274" w:rsidP="005137E2">
      <w:pPr>
        <w:spacing w:line="36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  <w:r w:rsidRPr="00432274">
        <w:rPr>
          <w:rFonts w:ascii="Georgia" w:eastAsia="Times New Roman" w:hAnsi="Georgia" w:cs="Times New Roman"/>
          <w:sz w:val="24"/>
          <w:szCs w:val="24"/>
        </w:rPr>
        <w:t>Elliott Management is an activist investor that acquires a company’s voting shares for the sole purpose of influencing management and investment decisions of companies that it targets. Elliott’s takeover tactics consistently result in m</w:t>
      </w:r>
      <w:r w:rsidR="007803F2">
        <w:rPr>
          <w:rFonts w:ascii="Georgia" w:eastAsia="Times New Roman" w:hAnsi="Georgia" w:cs="Times New Roman"/>
          <w:sz w:val="24"/>
          <w:szCs w:val="24"/>
        </w:rPr>
        <w:t>aterial</w:t>
      </w:r>
      <w:r w:rsidRPr="00432274">
        <w:rPr>
          <w:rFonts w:ascii="Georgia" w:eastAsia="Times New Roman" w:hAnsi="Georgia" w:cs="Times New Roman"/>
          <w:sz w:val="24"/>
          <w:szCs w:val="24"/>
        </w:rPr>
        <w:t xml:space="preserve"> changes in the investment strategies of the target company—despite the fact that Elliott rarely acquires voting shares anywhere close to 10%.</w:t>
      </w:r>
      <w:r w:rsidR="00F154FC">
        <w:rPr>
          <w:rStyle w:val="FootnoteReference"/>
          <w:rFonts w:ascii="Georgia" w:eastAsia="Times New Roman" w:hAnsi="Georgia" w:cs="Times New Roman"/>
          <w:sz w:val="24"/>
          <w:szCs w:val="24"/>
        </w:rPr>
        <w:footnoteReference w:id="1"/>
      </w:r>
      <w:r w:rsidRPr="00432274">
        <w:rPr>
          <w:rFonts w:ascii="Georgia" w:eastAsia="Times New Roman" w:hAnsi="Georgia" w:cs="Times New Roman"/>
          <w:sz w:val="24"/>
          <w:szCs w:val="24"/>
        </w:rPr>
        <w:t xml:space="preserve"> The hedge fund engages in a unique form of influence and control of publicly traded companies that evades regulatory review</w:t>
      </w:r>
      <w:r w:rsidR="00F154FC">
        <w:rPr>
          <w:rFonts w:ascii="Georgia" w:eastAsia="Times New Roman" w:hAnsi="Georgia" w:cs="Times New Roman"/>
          <w:sz w:val="24"/>
          <w:szCs w:val="24"/>
        </w:rPr>
        <w:t xml:space="preserve">, including the use of non-public agreements and </w:t>
      </w:r>
      <w:r w:rsidR="007803F2">
        <w:rPr>
          <w:rFonts w:ascii="Georgia" w:eastAsia="Times New Roman" w:hAnsi="Georgia" w:cs="Times New Roman"/>
          <w:sz w:val="24"/>
          <w:szCs w:val="24"/>
        </w:rPr>
        <w:t xml:space="preserve">private </w:t>
      </w:r>
      <w:r w:rsidR="00F154FC">
        <w:rPr>
          <w:rFonts w:ascii="Georgia" w:eastAsia="Times New Roman" w:hAnsi="Georgia" w:cs="Times New Roman"/>
          <w:sz w:val="24"/>
          <w:szCs w:val="24"/>
        </w:rPr>
        <w:t xml:space="preserve">negotiations with </w:t>
      </w:r>
      <w:r w:rsidR="003E6CE1">
        <w:rPr>
          <w:rFonts w:ascii="Georgia" w:eastAsia="Times New Roman" w:hAnsi="Georgia" w:cs="Times New Roman"/>
          <w:sz w:val="24"/>
          <w:szCs w:val="24"/>
        </w:rPr>
        <w:t xml:space="preserve">the target company’s </w:t>
      </w:r>
      <w:r w:rsidR="007803F2">
        <w:rPr>
          <w:rFonts w:ascii="Georgia" w:eastAsia="Times New Roman" w:hAnsi="Georgia" w:cs="Times New Roman"/>
          <w:sz w:val="24"/>
          <w:szCs w:val="24"/>
        </w:rPr>
        <w:t>management</w:t>
      </w:r>
      <w:r w:rsidRPr="00432274">
        <w:rPr>
          <w:rFonts w:ascii="Georgia" w:eastAsia="Times New Roman" w:hAnsi="Georgia" w:cs="Times New Roman"/>
          <w:sz w:val="24"/>
          <w:szCs w:val="24"/>
        </w:rPr>
        <w:t>.</w:t>
      </w:r>
    </w:p>
    <w:p w14:paraId="71D0E414" w14:textId="35514927" w:rsidR="00330E0B" w:rsidRDefault="00330E0B" w:rsidP="005137E2">
      <w:pPr>
        <w:spacing w:line="360" w:lineRule="auto"/>
        <w:ind w:firstLine="720"/>
        <w:rPr>
          <w:rFonts w:ascii="Georgia" w:eastAsia="Times New Roman" w:hAnsi="Georgia" w:cs="Times New Roman"/>
          <w:sz w:val="24"/>
          <w:szCs w:val="24"/>
        </w:rPr>
      </w:pPr>
      <w:r w:rsidRPr="009D4CD1">
        <w:rPr>
          <w:rFonts w:ascii="Georgia" w:eastAsia="Times New Roman" w:hAnsi="Georgia" w:cs="Times New Roman"/>
          <w:sz w:val="24"/>
          <w:szCs w:val="24"/>
        </w:rPr>
        <w:t xml:space="preserve">On October 27, 2020, </w:t>
      </w:r>
      <w:r w:rsidR="00B61BDD" w:rsidRPr="009D4CD1">
        <w:rPr>
          <w:rFonts w:ascii="Georgia" w:eastAsia="Times New Roman" w:hAnsi="Georgia" w:cs="Times New Roman"/>
          <w:sz w:val="24"/>
          <w:szCs w:val="24"/>
        </w:rPr>
        <w:t>Elliott Management announc</w:t>
      </w:r>
      <w:r w:rsidR="002D0D9B">
        <w:rPr>
          <w:rFonts w:ascii="Georgia" w:eastAsia="Times New Roman" w:hAnsi="Georgia" w:cs="Times New Roman"/>
          <w:sz w:val="24"/>
          <w:szCs w:val="24"/>
        </w:rPr>
        <w:t>ed</w:t>
      </w:r>
      <w:r w:rsidR="00B61BDD" w:rsidRPr="009D4CD1">
        <w:rPr>
          <w:rFonts w:ascii="Georgia" w:eastAsia="Times New Roman" w:hAnsi="Georgia" w:cs="Times New Roman"/>
          <w:sz w:val="24"/>
          <w:szCs w:val="24"/>
        </w:rPr>
        <w:t xml:space="preserve"> that </w:t>
      </w:r>
      <w:r w:rsidR="00976166" w:rsidRPr="009D4CD1">
        <w:rPr>
          <w:rFonts w:ascii="Georgia" w:eastAsia="Times New Roman" w:hAnsi="Georgia" w:cs="Times New Roman"/>
          <w:sz w:val="24"/>
          <w:szCs w:val="24"/>
        </w:rPr>
        <w:t>it owned “</w:t>
      </w:r>
      <w:r w:rsidR="00976166" w:rsidRPr="009D4CD1">
        <w:rPr>
          <w:rFonts w:ascii="Georgia" w:eastAsia="Times New Roman" w:hAnsi="Georgia" w:cs="Times New Roman"/>
          <w:sz w:val="24"/>
          <w:szCs w:val="24"/>
        </w:rPr>
        <w:t>a significant interest in DTE Energy Co</w:t>
      </w:r>
      <w:r w:rsidR="006D5829" w:rsidRPr="009D4CD1">
        <w:rPr>
          <w:rFonts w:ascii="Georgia" w:eastAsia="Times New Roman" w:hAnsi="Georgia" w:cs="Times New Roman"/>
          <w:sz w:val="24"/>
          <w:szCs w:val="24"/>
        </w:rPr>
        <w:t xml:space="preserve">.” </w:t>
      </w:r>
      <w:r w:rsidR="00DB01FE">
        <w:rPr>
          <w:rFonts w:ascii="Georgia" w:eastAsia="Times New Roman" w:hAnsi="Georgia" w:cs="Times New Roman"/>
          <w:sz w:val="24"/>
          <w:szCs w:val="24"/>
        </w:rPr>
        <w:t>that i</w:t>
      </w:r>
      <w:r w:rsidR="00D66F0A">
        <w:rPr>
          <w:rFonts w:ascii="Georgia" w:eastAsia="Times New Roman" w:hAnsi="Georgia" w:cs="Times New Roman"/>
          <w:sz w:val="24"/>
          <w:szCs w:val="24"/>
        </w:rPr>
        <w:t>t</w:t>
      </w:r>
      <w:r w:rsidR="00DB01FE">
        <w:rPr>
          <w:rFonts w:ascii="Georgia" w:eastAsia="Times New Roman" w:hAnsi="Georgia" w:cs="Times New Roman"/>
          <w:sz w:val="24"/>
          <w:szCs w:val="24"/>
        </w:rPr>
        <w:t xml:space="preserve"> used to </w:t>
      </w:r>
      <w:r w:rsidR="00CB1934">
        <w:rPr>
          <w:rFonts w:ascii="Georgia" w:eastAsia="Times New Roman" w:hAnsi="Georgia" w:cs="Times New Roman"/>
          <w:sz w:val="24"/>
          <w:szCs w:val="24"/>
        </w:rPr>
        <w:t xml:space="preserve">privately </w:t>
      </w:r>
      <w:r w:rsidR="00DB01FE">
        <w:rPr>
          <w:rFonts w:ascii="Georgia" w:eastAsia="Times New Roman" w:hAnsi="Georgia" w:cs="Times New Roman"/>
          <w:sz w:val="24"/>
          <w:szCs w:val="24"/>
        </w:rPr>
        <w:t xml:space="preserve">engage DTE’s </w:t>
      </w:r>
      <w:r w:rsidR="005114D7">
        <w:rPr>
          <w:rFonts w:ascii="Georgia" w:eastAsia="Times New Roman" w:hAnsi="Georgia" w:cs="Times New Roman"/>
          <w:sz w:val="24"/>
          <w:szCs w:val="24"/>
        </w:rPr>
        <w:t>CEO for “</w:t>
      </w:r>
      <w:r w:rsidR="005114D7" w:rsidRPr="005114D7">
        <w:rPr>
          <w:rFonts w:ascii="Georgia" w:eastAsia="Times New Roman" w:hAnsi="Georgia" w:cs="Times New Roman"/>
          <w:sz w:val="24"/>
          <w:szCs w:val="24"/>
        </w:rPr>
        <w:t xml:space="preserve">several </w:t>
      </w:r>
      <w:r w:rsidR="005114D7" w:rsidRPr="005114D7">
        <w:rPr>
          <w:rFonts w:ascii="Georgia" w:eastAsia="Times New Roman" w:hAnsi="Georgia" w:cs="Times New Roman"/>
          <w:sz w:val="24"/>
          <w:szCs w:val="24"/>
        </w:rPr>
        <w:lastRenderedPageBreak/>
        <w:t>months</w:t>
      </w:r>
      <w:r w:rsidR="005114D7">
        <w:rPr>
          <w:rFonts w:ascii="Georgia" w:eastAsia="Times New Roman" w:hAnsi="Georgia" w:cs="Times New Roman"/>
          <w:sz w:val="24"/>
          <w:szCs w:val="24"/>
        </w:rPr>
        <w:t>”</w:t>
      </w:r>
      <w:r w:rsidR="008853E6">
        <w:rPr>
          <w:rFonts w:ascii="Georgia" w:eastAsia="Times New Roman" w:hAnsi="Georgia" w:cs="Times New Roman"/>
          <w:sz w:val="24"/>
          <w:szCs w:val="24"/>
        </w:rPr>
        <w:t xml:space="preserve"> to </w:t>
      </w:r>
      <w:r w:rsidR="000D4C46">
        <w:rPr>
          <w:rFonts w:ascii="Georgia" w:eastAsia="Times New Roman" w:hAnsi="Georgia" w:cs="Times New Roman"/>
          <w:sz w:val="24"/>
          <w:szCs w:val="24"/>
        </w:rPr>
        <w:t>spin off</w:t>
      </w:r>
      <w:r w:rsidR="008853E6">
        <w:rPr>
          <w:rFonts w:ascii="Georgia" w:eastAsia="Times New Roman" w:hAnsi="Georgia" w:cs="Times New Roman"/>
          <w:sz w:val="24"/>
          <w:szCs w:val="24"/>
        </w:rPr>
        <w:t xml:space="preserve"> its </w:t>
      </w:r>
      <w:r w:rsidR="00781F07">
        <w:rPr>
          <w:rFonts w:ascii="Georgia" w:eastAsia="Times New Roman" w:hAnsi="Georgia" w:cs="Times New Roman"/>
          <w:sz w:val="24"/>
          <w:szCs w:val="24"/>
        </w:rPr>
        <w:t xml:space="preserve">midstream gas </w:t>
      </w:r>
      <w:r w:rsidR="000D4C46">
        <w:rPr>
          <w:rFonts w:ascii="Georgia" w:eastAsia="Times New Roman" w:hAnsi="Georgia" w:cs="Times New Roman"/>
          <w:sz w:val="24"/>
          <w:szCs w:val="24"/>
        </w:rPr>
        <w:t>operations into a separately listed company</w:t>
      </w:r>
      <w:r w:rsidR="00781F07">
        <w:rPr>
          <w:rFonts w:ascii="Georgia" w:eastAsia="Times New Roman" w:hAnsi="Georgia" w:cs="Times New Roman"/>
          <w:sz w:val="24"/>
          <w:szCs w:val="24"/>
        </w:rPr>
        <w:t>.</w:t>
      </w:r>
      <w:r w:rsidR="009C6E21">
        <w:rPr>
          <w:rStyle w:val="FootnoteReference"/>
          <w:rFonts w:ascii="Georgia" w:eastAsia="Times New Roman" w:hAnsi="Georgia" w:cs="Times New Roman"/>
          <w:sz w:val="24"/>
          <w:szCs w:val="24"/>
        </w:rPr>
        <w:footnoteReference w:id="2"/>
      </w:r>
      <w:r w:rsidR="000D4C46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D91333">
        <w:rPr>
          <w:rFonts w:ascii="Georgia" w:eastAsia="Times New Roman" w:hAnsi="Georgia" w:cs="Times New Roman"/>
          <w:sz w:val="24"/>
          <w:szCs w:val="24"/>
        </w:rPr>
        <w:t>DTE Energy</w:t>
      </w:r>
      <w:r w:rsidR="000D4C46">
        <w:rPr>
          <w:rFonts w:ascii="Georgia" w:eastAsia="Times New Roman" w:hAnsi="Georgia" w:cs="Times New Roman"/>
          <w:sz w:val="24"/>
          <w:szCs w:val="24"/>
        </w:rPr>
        <w:t xml:space="preserve"> recently reported </w:t>
      </w:r>
      <w:r w:rsidR="006E1327">
        <w:rPr>
          <w:rFonts w:ascii="Georgia" w:eastAsia="Times New Roman" w:hAnsi="Georgia" w:cs="Times New Roman"/>
          <w:sz w:val="24"/>
          <w:szCs w:val="24"/>
        </w:rPr>
        <w:t>“significant progress” towards this goal, with a target of separating the companies by the middle of 2021.</w:t>
      </w:r>
      <w:r w:rsidR="006F4632">
        <w:rPr>
          <w:rStyle w:val="FootnoteReference"/>
          <w:rFonts w:ascii="Georgia" w:eastAsia="Times New Roman" w:hAnsi="Georgia" w:cs="Times New Roman"/>
          <w:sz w:val="24"/>
          <w:szCs w:val="24"/>
        </w:rPr>
        <w:footnoteReference w:id="3"/>
      </w:r>
      <w:r w:rsidR="006F4632">
        <w:rPr>
          <w:rFonts w:ascii="Georgia" w:eastAsia="Times New Roman" w:hAnsi="Georgia" w:cs="Times New Roman"/>
          <w:sz w:val="24"/>
          <w:szCs w:val="24"/>
        </w:rPr>
        <w:t xml:space="preserve"> Elliott Management’s clear influence over DTE’s business </w:t>
      </w:r>
      <w:r w:rsidR="00911297">
        <w:rPr>
          <w:rFonts w:ascii="Georgia" w:eastAsia="Times New Roman" w:hAnsi="Georgia" w:cs="Times New Roman"/>
          <w:sz w:val="24"/>
          <w:szCs w:val="24"/>
        </w:rPr>
        <w:t xml:space="preserve">should </w:t>
      </w:r>
      <w:r w:rsidR="00B9200F">
        <w:rPr>
          <w:rFonts w:ascii="Georgia" w:eastAsia="Times New Roman" w:hAnsi="Georgia" w:cs="Times New Roman"/>
          <w:sz w:val="24"/>
          <w:szCs w:val="24"/>
        </w:rPr>
        <w:t>render Elliott Management as an affiliate of DTE Energy.</w:t>
      </w:r>
      <w:r w:rsidR="00B9200F">
        <w:rPr>
          <w:rStyle w:val="FootnoteReference"/>
          <w:rFonts w:ascii="Georgia" w:eastAsia="Times New Roman" w:hAnsi="Georgia" w:cs="Times New Roman"/>
          <w:sz w:val="24"/>
          <w:szCs w:val="24"/>
        </w:rPr>
        <w:footnoteReference w:id="4"/>
      </w:r>
    </w:p>
    <w:p w14:paraId="326CAC04" w14:textId="77777777" w:rsidR="00901554" w:rsidRDefault="00D66F0A" w:rsidP="005137E2">
      <w:pPr>
        <w:spacing w:line="360" w:lineRule="auto"/>
        <w:ind w:firstLine="7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Furthermore</w:t>
      </w:r>
      <w:r w:rsidR="00B24D32">
        <w:rPr>
          <w:rFonts w:ascii="Georgia" w:eastAsia="Times New Roman" w:hAnsi="Georgia" w:cs="Times New Roman"/>
          <w:sz w:val="24"/>
          <w:szCs w:val="24"/>
        </w:rPr>
        <w:t xml:space="preserve">, Elliott Management is currently a significant investor and </w:t>
      </w:r>
      <w:r w:rsidR="0017050A">
        <w:rPr>
          <w:rFonts w:ascii="Georgia" w:eastAsia="Times New Roman" w:hAnsi="Georgia" w:cs="Times New Roman"/>
          <w:sz w:val="24"/>
          <w:szCs w:val="24"/>
        </w:rPr>
        <w:t>wields</w:t>
      </w:r>
      <w:r w:rsidR="00B24D32">
        <w:rPr>
          <w:rFonts w:ascii="Georgia" w:eastAsia="Times New Roman" w:hAnsi="Georgia" w:cs="Times New Roman"/>
          <w:sz w:val="24"/>
          <w:szCs w:val="24"/>
        </w:rPr>
        <w:t xml:space="preserve"> influence in at least three other</w:t>
      </w:r>
      <w:r w:rsidR="004C157B">
        <w:rPr>
          <w:rFonts w:ascii="Georgia" w:eastAsia="Times New Roman" w:hAnsi="Georgia" w:cs="Times New Roman"/>
          <w:sz w:val="24"/>
          <w:szCs w:val="24"/>
        </w:rPr>
        <w:t xml:space="preserve"> utilities</w:t>
      </w:r>
      <w:r w:rsidR="00E5724C">
        <w:rPr>
          <w:rFonts w:ascii="Georgia" w:eastAsia="Times New Roman" w:hAnsi="Georgia" w:cs="Times New Roman"/>
          <w:sz w:val="24"/>
          <w:szCs w:val="24"/>
        </w:rPr>
        <w:t xml:space="preserve"> with MBR authority</w:t>
      </w:r>
      <w:r w:rsidR="004C157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17050A">
        <w:rPr>
          <w:rFonts w:ascii="Georgia" w:eastAsia="Times New Roman" w:hAnsi="Georgia" w:cs="Times New Roman"/>
          <w:sz w:val="24"/>
          <w:szCs w:val="24"/>
        </w:rPr>
        <w:t>which</w:t>
      </w:r>
      <w:r w:rsidR="004C157B">
        <w:rPr>
          <w:rFonts w:ascii="Georgia" w:eastAsia="Times New Roman" w:hAnsi="Georgia" w:cs="Times New Roman"/>
          <w:sz w:val="24"/>
          <w:szCs w:val="24"/>
        </w:rPr>
        <w:t xml:space="preserve"> compete with DTE Energy: CenterPoint Energy, Evergy Inc. and Duke Energy. </w:t>
      </w:r>
      <w:r w:rsidR="00D97EA6">
        <w:rPr>
          <w:rFonts w:ascii="Georgia" w:eastAsia="Times New Roman" w:hAnsi="Georgia" w:cs="Times New Roman"/>
          <w:sz w:val="24"/>
          <w:szCs w:val="24"/>
        </w:rPr>
        <w:t>Through the terms of a non-public agreement with CenterPoint</w:t>
      </w:r>
      <w:r w:rsidR="00E5724C">
        <w:rPr>
          <w:rFonts w:ascii="Georgia" w:eastAsia="Times New Roman" w:hAnsi="Georgia" w:cs="Times New Roman"/>
          <w:sz w:val="24"/>
          <w:szCs w:val="24"/>
        </w:rPr>
        <w:t xml:space="preserve"> obtained by Public Citizen</w:t>
      </w:r>
      <w:r w:rsidR="00D97EA6">
        <w:rPr>
          <w:rFonts w:ascii="Georgia" w:eastAsia="Times New Roman" w:hAnsi="Georgia" w:cs="Times New Roman"/>
          <w:sz w:val="24"/>
          <w:szCs w:val="24"/>
        </w:rPr>
        <w:t xml:space="preserve">, Elliott Management </w:t>
      </w:r>
      <w:r w:rsidR="00C92BDA">
        <w:rPr>
          <w:rFonts w:ascii="Georgia" w:eastAsia="Times New Roman" w:hAnsi="Georgia" w:cs="Times New Roman"/>
          <w:sz w:val="24"/>
          <w:szCs w:val="24"/>
        </w:rPr>
        <w:t>is entitled to material, non-public business information</w:t>
      </w:r>
      <w:r w:rsidR="00DB1B56">
        <w:rPr>
          <w:rFonts w:ascii="Georgia" w:eastAsia="Times New Roman" w:hAnsi="Georgia" w:cs="Times New Roman"/>
          <w:sz w:val="24"/>
          <w:szCs w:val="24"/>
        </w:rPr>
        <w:t xml:space="preserve"> about CenterPoint Energy</w:t>
      </w:r>
      <w:r w:rsidR="00C92BDA">
        <w:rPr>
          <w:rFonts w:ascii="Georgia" w:eastAsia="Times New Roman" w:hAnsi="Georgia" w:cs="Times New Roman"/>
          <w:sz w:val="24"/>
          <w:szCs w:val="24"/>
        </w:rPr>
        <w:t>.</w:t>
      </w:r>
      <w:r w:rsidR="00084DB3">
        <w:rPr>
          <w:rStyle w:val="FootnoteReference"/>
          <w:rFonts w:ascii="Georgia" w:eastAsia="Times New Roman" w:hAnsi="Georgia" w:cs="Times New Roman"/>
          <w:sz w:val="24"/>
          <w:szCs w:val="24"/>
        </w:rPr>
        <w:footnoteReference w:id="5"/>
      </w:r>
      <w:r w:rsidR="00C27F55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23508F">
        <w:rPr>
          <w:rFonts w:ascii="Georgia" w:eastAsia="Times New Roman" w:hAnsi="Georgia" w:cs="Times New Roman"/>
          <w:sz w:val="24"/>
          <w:szCs w:val="24"/>
        </w:rPr>
        <w:t xml:space="preserve">Elliott Management </w:t>
      </w:r>
      <w:r w:rsidR="00DB1B56">
        <w:rPr>
          <w:rFonts w:ascii="Georgia" w:eastAsia="Times New Roman" w:hAnsi="Georgia" w:cs="Times New Roman"/>
          <w:sz w:val="24"/>
          <w:szCs w:val="24"/>
        </w:rPr>
        <w:t>has also negotiated a non-public agreement with Evergy, Inc.</w:t>
      </w:r>
      <w:r w:rsidR="00505133">
        <w:rPr>
          <w:rFonts w:ascii="Georgia" w:eastAsia="Times New Roman" w:hAnsi="Georgia" w:cs="Times New Roman"/>
          <w:sz w:val="24"/>
          <w:szCs w:val="24"/>
        </w:rPr>
        <w:t xml:space="preserve"> that likely contains similar access to material, non-public business information.</w:t>
      </w:r>
      <w:r w:rsidR="00F529C7">
        <w:rPr>
          <w:rStyle w:val="FootnoteReference"/>
          <w:rFonts w:ascii="Georgia" w:eastAsia="Times New Roman" w:hAnsi="Georgia" w:cs="Times New Roman"/>
          <w:sz w:val="24"/>
          <w:szCs w:val="24"/>
        </w:rPr>
        <w:footnoteReference w:id="6"/>
      </w:r>
      <w:r w:rsidR="001721CF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14:paraId="2BA037BD" w14:textId="20976EB9" w:rsidR="0079384C" w:rsidRDefault="0079384C" w:rsidP="005137E2">
      <w:pPr>
        <w:spacing w:line="360" w:lineRule="auto"/>
        <w:ind w:firstLine="720"/>
        <w:rPr>
          <w:rFonts w:ascii="Georgia" w:eastAsia="Times New Roman" w:hAnsi="Georgia" w:cs="Times New Roman"/>
          <w:sz w:val="24"/>
          <w:szCs w:val="24"/>
        </w:rPr>
      </w:pPr>
      <w:r w:rsidRPr="0079384C">
        <w:rPr>
          <w:rFonts w:ascii="Georgia" w:eastAsia="Times New Roman" w:hAnsi="Georgia" w:cs="Times New Roman"/>
          <w:sz w:val="24"/>
          <w:szCs w:val="24"/>
        </w:rPr>
        <w:t>Access to material, nonpublic information for any publicly-traded company is highly coveted, and possession of this information bestows enormous leverage and power for any party able to access it.</w:t>
      </w:r>
      <w:r w:rsidR="004D45FE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4D45FE" w:rsidRPr="004D45FE">
        <w:rPr>
          <w:rFonts w:ascii="Georgia" w:eastAsia="Times New Roman" w:hAnsi="Georgia" w:cs="Times New Roman"/>
          <w:sz w:val="24"/>
          <w:szCs w:val="24"/>
        </w:rPr>
        <w:t>The Federal Trade Commission (FTC) warned FERC about an investor using privileged information as a means to control and influence companies. In comments submitted to FERC on April 29, 2009, the FTC cautioned: “Even a non-controlling partial acquisition by a private-equity firm of a competitor to a portfolio company that the private equity firm already owns in whole or in part can lead to anticompetitive effects if it . . . facilitates the exchange of competitively sensitive information . . . This concern can arise even in situations where the private equity firm does not own a controlling interest”.</w:t>
      </w:r>
      <w:r w:rsidR="00A03C4B">
        <w:rPr>
          <w:rStyle w:val="FootnoteReference"/>
          <w:rFonts w:ascii="Georgia" w:eastAsia="Times New Roman" w:hAnsi="Georgia" w:cs="Times New Roman"/>
          <w:sz w:val="24"/>
          <w:szCs w:val="24"/>
        </w:rPr>
        <w:footnoteReference w:id="7"/>
      </w:r>
    </w:p>
    <w:p w14:paraId="358B610A" w14:textId="269B11AB" w:rsidR="00D66F0A" w:rsidRDefault="00880BA5" w:rsidP="005137E2">
      <w:pPr>
        <w:spacing w:line="360" w:lineRule="auto"/>
        <w:ind w:firstLine="7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In addition to CenterPoint and Evergy, t</w:t>
      </w:r>
      <w:r w:rsidR="001721CF" w:rsidRPr="001721CF">
        <w:rPr>
          <w:rFonts w:ascii="Georgia" w:eastAsia="Times New Roman" w:hAnsi="Georgia" w:cs="Times New Roman"/>
          <w:sz w:val="24"/>
          <w:szCs w:val="24"/>
        </w:rPr>
        <w:t xml:space="preserve">he </w:t>
      </w:r>
      <w:r w:rsidR="001721CF" w:rsidRPr="001721CF">
        <w:rPr>
          <w:rFonts w:ascii="Georgia" w:eastAsia="Times New Roman" w:hAnsi="Georgia" w:cs="Times New Roman"/>
          <w:i/>
          <w:iCs/>
          <w:sz w:val="24"/>
          <w:szCs w:val="24"/>
        </w:rPr>
        <w:t>Wall Street Journal</w:t>
      </w:r>
      <w:r w:rsidR="001721CF" w:rsidRPr="001721CF">
        <w:rPr>
          <w:rFonts w:ascii="Georgia" w:eastAsia="Times New Roman" w:hAnsi="Georgia" w:cs="Times New Roman"/>
          <w:sz w:val="24"/>
          <w:szCs w:val="24"/>
        </w:rPr>
        <w:t xml:space="preserve"> reports that “</w:t>
      </w:r>
      <w:r>
        <w:rPr>
          <w:rFonts w:ascii="Georgia" w:eastAsia="Times New Roman" w:hAnsi="Georgia" w:cs="Times New Roman"/>
          <w:sz w:val="24"/>
          <w:szCs w:val="24"/>
        </w:rPr>
        <w:t>a</w:t>
      </w:r>
      <w:r w:rsidR="001721CF" w:rsidRPr="001721CF">
        <w:rPr>
          <w:rFonts w:ascii="Georgia" w:eastAsia="Times New Roman" w:hAnsi="Georgia" w:cs="Times New Roman"/>
          <w:sz w:val="24"/>
          <w:szCs w:val="24"/>
        </w:rPr>
        <w:t>ctivist investor Elliott Management Corp. has a stake in Duke Energy Corp. and is pushing the utility giant to add directors to its board and possibly take other actions”.</w:t>
      </w:r>
      <w:r w:rsidR="0028673E">
        <w:rPr>
          <w:rStyle w:val="FootnoteReference"/>
          <w:rFonts w:ascii="Georgia" w:eastAsia="Times New Roman" w:hAnsi="Georgia" w:cs="Times New Roman"/>
          <w:sz w:val="24"/>
          <w:szCs w:val="24"/>
        </w:rPr>
        <w:footnoteReference w:id="8"/>
      </w:r>
    </w:p>
    <w:p w14:paraId="6368621D" w14:textId="115618B3" w:rsidR="00D705DE" w:rsidRDefault="00D705DE" w:rsidP="005137E2">
      <w:pPr>
        <w:spacing w:line="360" w:lineRule="auto"/>
        <w:ind w:firstLine="7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lastRenderedPageBreak/>
        <w:t xml:space="preserve">Finally, </w:t>
      </w:r>
      <w:r w:rsidR="004A40C7" w:rsidRPr="004A40C7">
        <w:rPr>
          <w:rFonts w:ascii="Georgia" w:eastAsia="Times New Roman" w:hAnsi="Georgia" w:cs="Times New Roman"/>
          <w:sz w:val="24"/>
          <w:szCs w:val="24"/>
        </w:rPr>
        <w:t xml:space="preserve">Elliott Management owns 29 million shares of Peabody Energy, or 29.42% of </w:t>
      </w:r>
      <w:r w:rsidR="004A40C7">
        <w:rPr>
          <w:rFonts w:ascii="Georgia" w:eastAsia="Times New Roman" w:hAnsi="Georgia" w:cs="Times New Roman"/>
          <w:sz w:val="24"/>
          <w:szCs w:val="24"/>
        </w:rPr>
        <w:t>its</w:t>
      </w:r>
      <w:r w:rsidR="004A40C7" w:rsidRPr="004A40C7">
        <w:rPr>
          <w:rFonts w:ascii="Georgia" w:eastAsia="Times New Roman" w:hAnsi="Georgia" w:cs="Times New Roman"/>
          <w:sz w:val="24"/>
          <w:szCs w:val="24"/>
        </w:rPr>
        <w:t xml:space="preserve"> voting shares.</w:t>
      </w:r>
      <w:r w:rsidR="004A40C7">
        <w:rPr>
          <w:rStyle w:val="FootnoteReference"/>
          <w:rFonts w:ascii="Georgia" w:eastAsia="Times New Roman" w:hAnsi="Georgia" w:cs="Times New Roman"/>
          <w:sz w:val="24"/>
          <w:szCs w:val="24"/>
        </w:rPr>
        <w:footnoteReference w:id="9"/>
      </w:r>
      <w:r w:rsidR="00DD57DF">
        <w:rPr>
          <w:rFonts w:ascii="Georgia" w:eastAsia="Times New Roman" w:hAnsi="Georgia" w:cs="Times New Roman"/>
          <w:sz w:val="24"/>
          <w:szCs w:val="24"/>
        </w:rPr>
        <w:t xml:space="preserve"> According to March 2021 U.S. Energy Information Administration </w:t>
      </w:r>
      <w:r w:rsidR="00DD57DF" w:rsidRPr="00DD57DF">
        <w:rPr>
          <w:rFonts w:ascii="Georgia" w:eastAsia="Times New Roman" w:hAnsi="Georgia" w:cs="Times New Roman"/>
          <w:sz w:val="24"/>
          <w:szCs w:val="24"/>
        </w:rPr>
        <w:t>Form EIA-923</w:t>
      </w:r>
      <w:r w:rsidR="00DD57DF">
        <w:rPr>
          <w:rFonts w:ascii="Georgia" w:eastAsia="Times New Roman" w:hAnsi="Georgia" w:cs="Times New Roman"/>
          <w:sz w:val="24"/>
          <w:szCs w:val="24"/>
        </w:rPr>
        <w:t xml:space="preserve"> data, </w:t>
      </w:r>
      <w:r w:rsidR="00FA1C39">
        <w:rPr>
          <w:rFonts w:ascii="Georgia" w:eastAsia="Times New Roman" w:hAnsi="Georgia" w:cs="Times New Roman"/>
          <w:sz w:val="24"/>
          <w:szCs w:val="24"/>
        </w:rPr>
        <w:t xml:space="preserve">Peabody’s </w:t>
      </w:r>
      <w:r w:rsidR="00FA1C39" w:rsidRPr="00FA1C39">
        <w:rPr>
          <w:rFonts w:ascii="Georgia" w:eastAsia="Times New Roman" w:hAnsi="Georgia" w:cs="Times New Roman"/>
          <w:sz w:val="24"/>
          <w:szCs w:val="24"/>
        </w:rPr>
        <w:t>North Antelope Rochelle Mine</w:t>
      </w:r>
      <w:r w:rsidR="00FA1C39">
        <w:rPr>
          <w:rFonts w:ascii="Georgia" w:eastAsia="Times New Roman" w:hAnsi="Georgia" w:cs="Times New Roman"/>
          <w:sz w:val="24"/>
          <w:szCs w:val="24"/>
        </w:rPr>
        <w:t xml:space="preserve"> supplies</w:t>
      </w:r>
      <w:r w:rsidR="00DD57DF">
        <w:rPr>
          <w:rFonts w:ascii="Georgia" w:eastAsia="Times New Roman" w:hAnsi="Georgia" w:cs="Times New Roman"/>
          <w:sz w:val="24"/>
          <w:szCs w:val="24"/>
        </w:rPr>
        <w:t xml:space="preserve"> coal to two of DTE Energy’s</w:t>
      </w:r>
      <w:r w:rsidR="00FA1C39">
        <w:rPr>
          <w:rFonts w:ascii="Georgia" w:eastAsia="Times New Roman" w:hAnsi="Georgia" w:cs="Times New Roman"/>
          <w:sz w:val="24"/>
          <w:szCs w:val="24"/>
        </w:rPr>
        <w:t xml:space="preserve"> generation units, </w:t>
      </w:r>
      <w:r w:rsidR="0051162C">
        <w:rPr>
          <w:rFonts w:ascii="Georgia" w:eastAsia="Times New Roman" w:hAnsi="Georgia" w:cs="Times New Roman"/>
          <w:sz w:val="24"/>
          <w:szCs w:val="24"/>
        </w:rPr>
        <w:t xml:space="preserve">Monroe and </w:t>
      </w:r>
      <w:r w:rsidR="0051162C" w:rsidRPr="0051162C">
        <w:rPr>
          <w:rFonts w:ascii="Georgia" w:eastAsia="Times New Roman" w:hAnsi="Georgia" w:cs="Times New Roman"/>
          <w:sz w:val="24"/>
          <w:szCs w:val="24"/>
        </w:rPr>
        <w:t>Trenton Channel</w:t>
      </w:r>
      <w:r w:rsidR="0051162C">
        <w:rPr>
          <w:rFonts w:ascii="Georgia" w:eastAsia="Times New Roman" w:hAnsi="Georgia" w:cs="Times New Roman"/>
          <w:sz w:val="24"/>
          <w:szCs w:val="24"/>
        </w:rPr>
        <w:t>, both in Michigan.</w:t>
      </w:r>
      <w:r w:rsidR="00801AAE">
        <w:rPr>
          <w:rStyle w:val="FootnoteReference"/>
          <w:rFonts w:ascii="Georgia" w:eastAsia="Times New Roman" w:hAnsi="Georgia" w:cs="Times New Roman"/>
          <w:sz w:val="24"/>
          <w:szCs w:val="24"/>
        </w:rPr>
        <w:footnoteReference w:id="10"/>
      </w:r>
      <w:r w:rsidR="00880BA5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ED2CE9">
        <w:rPr>
          <w:rFonts w:ascii="Georgia" w:eastAsia="Times New Roman" w:hAnsi="Georgia" w:cs="Times New Roman"/>
          <w:sz w:val="24"/>
          <w:szCs w:val="24"/>
        </w:rPr>
        <w:t>The fact that Elliott Management is a “significant” investor in DTE at the same time that its affiliate Peabody sells fuel to DTE Energy’s power facilities raise additional anti-competitive concerns.</w:t>
      </w:r>
    </w:p>
    <w:p w14:paraId="2EFE48FF" w14:textId="77777777" w:rsidR="00727564" w:rsidRPr="009D4CD1" w:rsidRDefault="00727564" w:rsidP="005137E2">
      <w:pPr>
        <w:spacing w:line="360" w:lineRule="auto"/>
        <w:ind w:firstLine="720"/>
        <w:rPr>
          <w:rFonts w:ascii="Georgia" w:hAnsi="Georgia"/>
          <w:sz w:val="24"/>
          <w:szCs w:val="24"/>
        </w:rPr>
      </w:pPr>
    </w:p>
    <w:p w14:paraId="25F85527" w14:textId="42E79268" w:rsidR="006F66EA" w:rsidRPr="009D4CD1" w:rsidRDefault="006F66EA">
      <w:pPr>
        <w:rPr>
          <w:rFonts w:ascii="Georgia" w:hAnsi="Georgia"/>
          <w:sz w:val="24"/>
          <w:szCs w:val="24"/>
        </w:rPr>
      </w:pPr>
    </w:p>
    <w:p w14:paraId="48E8866F" w14:textId="1C62C315" w:rsidR="006F66EA" w:rsidRDefault="00824633">
      <w:pPr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ab/>
        <w:t>Respectfully submitted,</w:t>
      </w:r>
    </w:p>
    <w:p w14:paraId="13E2C04B" w14:textId="7CF7B18B" w:rsidR="00824633" w:rsidRDefault="00824633">
      <w:pPr>
        <w:rPr>
          <w:rFonts w:ascii="Georgia" w:eastAsia="Times New Roman" w:hAnsi="Georgia" w:cs="Times New Roman"/>
          <w:sz w:val="24"/>
          <w:szCs w:val="24"/>
        </w:rPr>
      </w:pPr>
    </w:p>
    <w:p w14:paraId="45631975" w14:textId="23BC78D6" w:rsidR="00824633" w:rsidRDefault="00824633">
      <w:pPr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ab/>
        <w:t>Tyson Slocum, Energy Program Director</w:t>
      </w:r>
    </w:p>
    <w:p w14:paraId="10745C66" w14:textId="1296B890" w:rsidR="00824633" w:rsidRDefault="00824633">
      <w:pPr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ab/>
        <w:t>Public Citizen, Inc.</w:t>
      </w:r>
    </w:p>
    <w:p w14:paraId="3B33179F" w14:textId="3046ADE7" w:rsidR="00824633" w:rsidRDefault="00824633">
      <w:pPr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ab/>
      </w:r>
      <w:r w:rsidR="005137E2">
        <w:rPr>
          <w:rFonts w:ascii="Georgia" w:eastAsia="Times New Roman" w:hAnsi="Georgia" w:cs="Times New Roman"/>
          <w:sz w:val="24"/>
          <w:szCs w:val="24"/>
        </w:rPr>
        <w:t>215 Pennsylvania Ave SE</w:t>
      </w:r>
    </w:p>
    <w:p w14:paraId="228A3B2E" w14:textId="1AE1B11B" w:rsidR="005137E2" w:rsidRDefault="005137E2">
      <w:pPr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ab/>
        <w:t>Washington, DC  20003</w:t>
      </w:r>
    </w:p>
    <w:p w14:paraId="5F5409BC" w14:textId="5C86A22C" w:rsidR="005137E2" w:rsidRDefault="005137E2">
      <w:pPr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ab/>
        <w:t>(202) 454-5191</w:t>
      </w:r>
    </w:p>
    <w:p w14:paraId="340857AA" w14:textId="1764B8CF" w:rsidR="005137E2" w:rsidRPr="005137E2" w:rsidRDefault="005137E2">
      <w:pPr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ab/>
      </w:r>
      <w:hyperlink r:id="rId7" w:history="1">
        <w:r w:rsidRPr="005137E2">
          <w:rPr>
            <w:rStyle w:val="Hyperlink"/>
            <w:rFonts w:ascii="Georgia" w:eastAsia="Times New Roman" w:hAnsi="Georgia" w:cs="Times New Roman"/>
            <w:color w:val="auto"/>
            <w:sz w:val="24"/>
            <w:szCs w:val="24"/>
            <w:u w:val="none"/>
          </w:rPr>
          <w:t>tslocum@citizen.org</w:t>
        </w:r>
      </w:hyperlink>
    </w:p>
    <w:p w14:paraId="47443F30" w14:textId="0258D7BE" w:rsidR="005137E2" w:rsidRDefault="005137E2">
      <w:pPr>
        <w:rPr>
          <w:rFonts w:ascii="Georgia" w:eastAsia="Times New Roman" w:hAnsi="Georgia" w:cs="Times New Roman"/>
          <w:sz w:val="24"/>
          <w:szCs w:val="24"/>
        </w:rPr>
      </w:pPr>
    </w:p>
    <w:p w14:paraId="62A28F08" w14:textId="77777777" w:rsidR="00727564" w:rsidRDefault="00727564">
      <w:pPr>
        <w:rPr>
          <w:rFonts w:ascii="Georgia" w:eastAsia="Times New Roman" w:hAnsi="Georgia" w:cs="Times New Roman"/>
          <w:sz w:val="24"/>
          <w:szCs w:val="24"/>
        </w:rPr>
      </w:pPr>
    </w:p>
    <w:p w14:paraId="25594A6D" w14:textId="192CB182" w:rsidR="005137E2" w:rsidRPr="009D4CD1" w:rsidRDefault="005137E2">
      <w:pPr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Filed June 4, 2021</w:t>
      </w:r>
    </w:p>
    <w:sectPr w:rsidR="005137E2" w:rsidRPr="009D4CD1" w:rsidSect="00727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C3FE" w14:textId="77777777" w:rsidR="00646684" w:rsidRDefault="00646684" w:rsidP="009C6E21">
      <w:r>
        <w:separator/>
      </w:r>
    </w:p>
  </w:endnote>
  <w:endnote w:type="continuationSeparator" w:id="0">
    <w:p w14:paraId="309CBD61" w14:textId="77777777" w:rsidR="00646684" w:rsidRDefault="00646684" w:rsidP="009C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B6CE" w14:textId="77777777" w:rsidR="00727564" w:rsidRDefault="00727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3615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96B287" w14:textId="0E9BCDA1" w:rsidR="00727564" w:rsidRDefault="0072756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EAD5DA" w14:textId="77777777" w:rsidR="00727564" w:rsidRDefault="00727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3101" w14:textId="77777777" w:rsidR="00727564" w:rsidRDefault="00727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5F3F" w14:textId="77777777" w:rsidR="00646684" w:rsidRDefault="00646684" w:rsidP="009C6E21">
      <w:r>
        <w:separator/>
      </w:r>
    </w:p>
  </w:footnote>
  <w:footnote w:type="continuationSeparator" w:id="0">
    <w:p w14:paraId="469C5ADE" w14:textId="77777777" w:rsidR="00646684" w:rsidRDefault="00646684" w:rsidP="009C6E21">
      <w:r>
        <w:continuationSeparator/>
      </w:r>
    </w:p>
  </w:footnote>
  <w:footnote w:id="1">
    <w:p w14:paraId="09409A2D" w14:textId="03629FCA" w:rsidR="00F154FC" w:rsidRDefault="00F154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1934">
        <w:rPr>
          <w:rFonts w:ascii="Georgia" w:hAnsi="Georgia"/>
        </w:rPr>
        <w:t xml:space="preserve">Sheelah Kolhatkar, </w:t>
      </w:r>
      <w:r w:rsidRPr="00CB1934">
        <w:rPr>
          <w:rFonts w:ascii="Georgia" w:hAnsi="Georgia"/>
        </w:rPr>
        <w:t>“</w:t>
      </w:r>
      <w:r w:rsidRPr="00CB1934">
        <w:rPr>
          <w:rFonts w:ascii="Georgia" w:hAnsi="Georgia"/>
        </w:rPr>
        <w:t>Paul Singer, Doomsday Investor: The head of Elliott Management has developed a uniquely adversarial, and immensely profitable, way of doing business,</w:t>
      </w:r>
      <w:r w:rsidRPr="00CB1934">
        <w:rPr>
          <w:rFonts w:ascii="Georgia" w:hAnsi="Georgia"/>
        </w:rPr>
        <w:t>”</w:t>
      </w:r>
      <w:r w:rsidRPr="00CB1934">
        <w:rPr>
          <w:rFonts w:ascii="Georgia" w:hAnsi="Georgia"/>
        </w:rPr>
        <w:t xml:space="preserve"> </w:t>
      </w:r>
      <w:r w:rsidRPr="00CB1934">
        <w:rPr>
          <w:rFonts w:ascii="Georgia" w:hAnsi="Georgia"/>
          <w:i/>
          <w:iCs/>
        </w:rPr>
        <w:t>The New Yorker</w:t>
      </w:r>
      <w:r w:rsidRPr="00CB1934">
        <w:rPr>
          <w:rFonts w:ascii="Georgia" w:hAnsi="Georgia"/>
        </w:rPr>
        <w:t>, August 20, 2018, www.newyorker.com/magazine/2018/08/27/paul-singer-doomsday-investor</w:t>
      </w:r>
    </w:p>
  </w:footnote>
  <w:footnote w:id="2">
    <w:p w14:paraId="20BA2E4B" w14:textId="68601F15" w:rsidR="009C6E21" w:rsidRDefault="009C6E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6E21">
        <w:rPr>
          <w:rFonts w:ascii="Georgia" w:hAnsi="Georgia"/>
        </w:rPr>
        <w:t>www.prnewswire.com/news-releases/elliott-management-supportive-of-dte-energys-intent-to-spin-off-midstream-business-301160697.html</w:t>
      </w:r>
    </w:p>
  </w:footnote>
  <w:footnote w:id="3">
    <w:p w14:paraId="42166D33" w14:textId="486DDADB" w:rsidR="006F4632" w:rsidRDefault="006F46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4632">
        <w:rPr>
          <w:rFonts w:ascii="Georgia" w:hAnsi="Georgia"/>
        </w:rPr>
        <w:t>https://ir.dteenergy.com/news/press-release-details/2021/DTE-energy-reports-significant-progress-toward-completing-spin-off-of-its-midstream-business-DT-Midstream/default.aspx</w:t>
      </w:r>
    </w:p>
  </w:footnote>
  <w:footnote w:id="4">
    <w:p w14:paraId="2E047305" w14:textId="130DAF38" w:rsidR="00B9200F" w:rsidRDefault="00B920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5D01">
        <w:rPr>
          <w:rFonts w:ascii="Georgia" w:hAnsi="Georgia"/>
        </w:rPr>
        <w:t xml:space="preserve">Per </w:t>
      </w:r>
      <w:r w:rsidRPr="003C5D01">
        <w:rPr>
          <w:rFonts w:ascii="Georgia" w:hAnsi="Georgia"/>
        </w:rPr>
        <w:t>18 CFR § 35.36(a)(9)(iii).</w:t>
      </w:r>
    </w:p>
  </w:footnote>
  <w:footnote w:id="5">
    <w:p w14:paraId="066E9D8E" w14:textId="4FE7A543" w:rsidR="00084DB3" w:rsidRDefault="00084D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4DB3">
        <w:rPr>
          <w:rFonts w:ascii="Georgia" w:hAnsi="Georgia"/>
        </w:rPr>
        <w:t xml:space="preserve">See </w:t>
      </w:r>
      <w:r w:rsidRPr="00084DB3">
        <w:rPr>
          <w:rFonts w:ascii="Georgia" w:hAnsi="Georgia"/>
          <w:i/>
          <w:iCs/>
        </w:rPr>
        <w:t>Public Citizen v. Center</w:t>
      </w:r>
      <w:r>
        <w:rPr>
          <w:rFonts w:ascii="Georgia" w:hAnsi="Georgia"/>
          <w:i/>
          <w:iCs/>
        </w:rPr>
        <w:t>P</w:t>
      </w:r>
      <w:r w:rsidRPr="00084DB3">
        <w:rPr>
          <w:rFonts w:ascii="Georgia" w:hAnsi="Georgia"/>
          <w:i/>
          <w:iCs/>
        </w:rPr>
        <w:t>oint</w:t>
      </w:r>
      <w:r w:rsidRPr="00084DB3">
        <w:rPr>
          <w:rFonts w:ascii="Georgia" w:hAnsi="Georgia"/>
        </w:rPr>
        <w:t>, FERC Docket No. EL21-2.</w:t>
      </w:r>
    </w:p>
  </w:footnote>
  <w:footnote w:id="6">
    <w:p w14:paraId="22B0A814" w14:textId="50084D1F" w:rsidR="00F529C7" w:rsidRDefault="00F529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529C7">
        <w:rPr>
          <w:rFonts w:ascii="Georgia" w:hAnsi="Georgia"/>
        </w:rPr>
        <w:t>See October 19</w:t>
      </w:r>
      <w:r w:rsidR="00F631E1">
        <w:rPr>
          <w:rFonts w:ascii="Georgia" w:hAnsi="Georgia"/>
        </w:rPr>
        <w:t>, 2020</w:t>
      </w:r>
      <w:r w:rsidRPr="00F529C7">
        <w:rPr>
          <w:rFonts w:ascii="Georgia" w:hAnsi="Georgia"/>
        </w:rPr>
        <w:t xml:space="preserve"> Public Citizen </w:t>
      </w:r>
      <w:r w:rsidRPr="00F631E1">
        <w:rPr>
          <w:rFonts w:ascii="Georgia" w:hAnsi="Georgia"/>
          <w:i/>
          <w:iCs/>
        </w:rPr>
        <w:t>Protest</w:t>
      </w:r>
      <w:r w:rsidRPr="00F529C7">
        <w:rPr>
          <w:rFonts w:ascii="Georgia" w:hAnsi="Georgia"/>
        </w:rPr>
        <w:t>, FERC Docket Nos. ER20-67-001, ER20-116-001 and ER20-113-001.</w:t>
      </w:r>
    </w:p>
  </w:footnote>
  <w:footnote w:id="7">
    <w:p w14:paraId="6C7F81DA" w14:textId="27B6BC81" w:rsidR="00A03C4B" w:rsidRDefault="00A03C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03C4B">
        <w:rPr>
          <w:rFonts w:ascii="Georgia" w:hAnsi="Georgia"/>
        </w:rPr>
        <w:t>FERC Docket No. PL09-3, at pages 6-7 and 13.</w:t>
      </w:r>
    </w:p>
  </w:footnote>
  <w:footnote w:id="8">
    <w:p w14:paraId="0762A5D1" w14:textId="0C81CA01" w:rsidR="0028673E" w:rsidRDefault="002867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673E">
        <w:rPr>
          <w:rFonts w:ascii="Georgia" w:hAnsi="Georgia"/>
        </w:rPr>
        <w:t>Cara Lombardo, “Duke Energy Faces Push by Activist to Expand Its Board,”</w:t>
      </w:r>
      <w:r w:rsidRPr="0028673E">
        <w:rPr>
          <w:rFonts w:ascii="Georgia" w:hAnsi="Georgia"/>
        </w:rPr>
        <w:t xml:space="preserve"> </w:t>
      </w:r>
      <w:r w:rsidRPr="0028673E">
        <w:rPr>
          <w:rFonts w:ascii="Georgia" w:hAnsi="Georgia"/>
        </w:rPr>
        <w:t>May 11, 2021.</w:t>
      </w:r>
    </w:p>
  </w:footnote>
  <w:footnote w:id="9">
    <w:p w14:paraId="06478408" w14:textId="5074E915" w:rsidR="004A40C7" w:rsidRDefault="004A40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A40C7">
        <w:rPr>
          <w:rFonts w:ascii="Georgia" w:hAnsi="Georgia"/>
        </w:rPr>
        <w:t>https://finance.yahoo.com/quote/BTU/holders?p=BTU</w:t>
      </w:r>
    </w:p>
  </w:footnote>
  <w:footnote w:id="10">
    <w:p w14:paraId="528D7623" w14:textId="6D1A58AB" w:rsidR="00801AAE" w:rsidRDefault="00801A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37B06">
        <w:rPr>
          <w:rFonts w:ascii="Georgia" w:hAnsi="Georgia"/>
          <w:i/>
          <w:iCs/>
        </w:rPr>
        <w:t xml:space="preserve">Fuel </w:t>
      </w:r>
      <w:r w:rsidR="00727564" w:rsidRPr="00937B06">
        <w:rPr>
          <w:rFonts w:ascii="Georgia" w:hAnsi="Georgia"/>
          <w:i/>
          <w:iCs/>
        </w:rPr>
        <w:t>Receipts</w:t>
      </w:r>
      <w:r w:rsidRPr="00937B06">
        <w:rPr>
          <w:rFonts w:ascii="Georgia" w:hAnsi="Georgia"/>
          <w:i/>
          <w:iCs/>
        </w:rPr>
        <w:t xml:space="preserve"> and Costs</w:t>
      </w:r>
      <w:r w:rsidRPr="00801AAE">
        <w:rPr>
          <w:rFonts w:ascii="Georgia" w:hAnsi="Georgia"/>
        </w:rPr>
        <w:t>, www.eia.gov/electricity/data/eia923/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0D26" w14:textId="77777777" w:rsidR="00727564" w:rsidRDefault="00727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EDC4" w14:textId="77777777" w:rsidR="00727564" w:rsidRDefault="00727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EDC3" w14:textId="77777777" w:rsidR="00727564" w:rsidRDefault="007275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E8"/>
    <w:rsid w:val="00080F55"/>
    <w:rsid w:val="00084DB3"/>
    <w:rsid w:val="000D4C46"/>
    <w:rsid w:val="000E15EC"/>
    <w:rsid w:val="0017050A"/>
    <w:rsid w:val="001721CF"/>
    <w:rsid w:val="001A63DB"/>
    <w:rsid w:val="001E68F3"/>
    <w:rsid w:val="0023508F"/>
    <w:rsid w:val="0028673E"/>
    <w:rsid w:val="002D0D9B"/>
    <w:rsid w:val="00330E0B"/>
    <w:rsid w:val="0038311F"/>
    <w:rsid w:val="003C5D01"/>
    <w:rsid w:val="003E6CE1"/>
    <w:rsid w:val="00405017"/>
    <w:rsid w:val="00432274"/>
    <w:rsid w:val="004A0350"/>
    <w:rsid w:val="004A40C7"/>
    <w:rsid w:val="004C157B"/>
    <w:rsid w:val="004D45FE"/>
    <w:rsid w:val="00505133"/>
    <w:rsid w:val="005114D7"/>
    <w:rsid w:val="0051162C"/>
    <w:rsid w:val="005137E2"/>
    <w:rsid w:val="005B7D26"/>
    <w:rsid w:val="00646684"/>
    <w:rsid w:val="00662EDA"/>
    <w:rsid w:val="00683A6A"/>
    <w:rsid w:val="00685F1B"/>
    <w:rsid w:val="006D5829"/>
    <w:rsid w:val="006E1327"/>
    <w:rsid w:val="006F4632"/>
    <w:rsid w:val="006F66EA"/>
    <w:rsid w:val="00727564"/>
    <w:rsid w:val="007803F2"/>
    <w:rsid w:val="00781F07"/>
    <w:rsid w:val="0079384C"/>
    <w:rsid w:val="00801AAE"/>
    <w:rsid w:val="00824633"/>
    <w:rsid w:val="00830160"/>
    <w:rsid w:val="00880BA5"/>
    <w:rsid w:val="008853E6"/>
    <w:rsid w:val="00901554"/>
    <w:rsid w:val="00911297"/>
    <w:rsid w:val="00937B06"/>
    <w:rsid w:val="00976166"/>
    <w:rsid w:val="009C6E21"/>
    <w:rsid w:val="009D4CD1"/>
    <w:rsid w:val="00A03C4B"/>
    <w:rsid w:val="00A2559A"/>
    <w:rsid w:val="00B24D32"/>
    <w:rsid w:val="00B61BDD"/>
    <w:rsid w:val="00B9200F"/>
    <w:rsid w:val="00C27F55"/>
    <w:rsid w:val="00C92BDA"/>
    <w:rsid w:val="00CB1934"/>
    <w:rsid w:val="00CB317B"/>
    <w:rsid w:val="00D66F0A"/>
    <w:rsid w:val="00D705DE"/>
    <w:rsid w:val="00D91333"/>
    <w:rsid w:val="00D92F8A"/>
    <w:rsid w:val="00D97EA6"/>
    <w:rsid w:val="00DB01FE"/>
    <w:rsid w:val="00DB1B56"/>
    <w:rsid w:val="00DD57DF"/>
    <w:rsid w:val="00E5724C"/>
    <w:rsid w:val="00E67478"/>
    <w:rsid w:val="00ED2CE9"/>
    <w:rsid w:val="00EE58C0"/>
    <w:rsid w:val="00EF363E"/>
    <w:rsid w:val="00F01AD3"/>
    <w:rsid w:val="00F154FC"/>
    <w:rsid w:val="00F452E8"/>
    <w:rsid w:val="00F529C7"/>
    <w:rsid w:val="00F631E1"/>
    <w:rsid w:val="00FA1C39"/>
    <w:rsid w:val="00FB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4B02"/>
  <w15:chartTrackingRefBased/>
  <w15:docId w15:val="{34136C35-42A4-4456-8314-C6DABE2D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1E68F3"/>
    <w:pPr>
      <w:keepLines/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8F3"/>
  </w:style>
  <w:style w:type="character" w:styleId="FootnoteReference">
    <w:name w:val="footnote reference"/>
    <w:basedOn w:val="DefaultParagraphFont"/>
    <w:uiPriority w:val="99"/>
    <w:semiHidden/>
    <w:unhideWhenUsed/>
    <w:rsid w:val="009C6E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3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7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564"/>
  </w:style>
  <w:style w:type="paragraph" w:styleId="Footer">
    <w:name w:val="footer"/>
    <w:basedOn w:val="Normal"/>
    <w:link w:val="FooterChar"/>
    <w:uiPriority w:val="99"/>
    <w:unhideWhenUsed/>
    <w:rsid w:val="00727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slocum@citizen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41D17-EA40-4F2B-9740-6EEB9A80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Slocum</dc:creator>
  <cp:keywords/>
  <dc:description/>
  <cp:lastModifiedBy>Tyson Slocum</cp:lastModifiedBy>
  <cp:revision>71</cp:revision>
  <dcterms:created xsi:type="dcterms:W3CDTF">2021-05-29T19:59:00Z</dcterms:created>
  <dcterms:modified xsi:type="dcterms:W3CDTF">2021-06-04T18:53:00Z</dcterms:modified>
</cp:coreProperties>
</file>