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A338" w14:textId="77777777" w:rsidR="00BE1451" w:rsidRPr="008112F0" w:rsidRDefault="00BE1451" w:rsidP="00BE1451">
      <w:pPr>
        <w:jc w:val="center"/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>UNITED STATES OF AMERICA</w:t>
      </w:r>
    </w:p>
    <w:p w14:paraId="58B16DC4" w14:textId="77777777" w:rsidR="00BE1451" w:rsidRPr="008112F0" w:rsidRDefault="00BE1451" w:rsidP="00BE1451">
      <w:pPr>
        <w:jc w:val="center"/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>BEFORE THE</w:t>
      </w:r>
    </w:p>
    <w:p w14:paraId="29CCCA8D" w14:textId="77777777" w:rsidR="00BE1451" w:rsidRDefault="00BE1451" w:rsidP="00BE1451">
      <w:pPr>
        <w:jc w:val="center"/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>FEDERAL ENERGY REGULATORY COMMISSION</w:t>
      </w:r>
    </w:p>
    <w:p w14:paraId="30834E9A" w14:textId="77777777" w:rsidR="00BE1451" w:rsidRPr="008112F0" w:rsidRDefault="00BE1451" w:rsidP="00BE1451">
      <w:pPr>
        <w:jc w:val="center"/>
        <w:rPr>
          <w:rFonts w:ascii="Georgia" w:hAnsi="Georgia"/>
          <w:sz w:val="24"/>
          <w:szCs w:val="24"/>
        </w:rPr>
      </w:pPr>
    </w:p>
    <w:p w14:paraId="386B3972" w14:textId="77777777" w:rsidR="00BE1451" w:rsidRPr="008112F0" w:rsidRDefault="00BE1451" w:rsidP="00BE1451">
      <w:pPr>
        <w:rPr>
          <w:rFonts w:ascii="Georgia" w:hAnsi="Georgia"/>
          <w:sz w:val="24"/>
          <w:szCs w:val="24"/>
        </w:rPr>
      </w:pPr>
    </w:p>
    <w:p w14:paraId="0487998B" w14:textId="66647E10" w:rsidR="00BE1451" w:rsidRPr="008112F0" w:rsidRDefault="00BF157D" w:rsidP="00BE1451">
      <w:pPr>
        <w:rPr>
          <w:rFonts w:ascii="Georgia" w:hAnsi="Georgia"/>
          <w:sz w:val="24"/>
          <w:szCs w:val="24"/>
        </w:rPr>
      </w:pPr>
      <w:r w:rsidRPr="00BF157D">
        <w:rPr>
          <w:rFonts w:ascii="Georgia" w:hAnsi="Georgia"/>
          <w:sz w:val="24"/>
          <w:szCs w:val="24"/>
        </w:rPr>
        <w:t>CNG HOLDING 1 LLC</w:t>
      </w:r>
      <w:r w:rsidR="00BE1451" w:rsidRPr="008112F0">
        <w:rPr>
          <w:rFonts w:ascii="Georgia" w:hAnsi="Georgia"/>
          <w:sz w:val="24"/>
          <w:szCs w:val="24"/>
        </w:rPr>
        <w:tab/>
      </w:r>
      <w:r w:rsidR="00BE1451" w:rsidRPr="008112F0">
        <w:rPr>
          <w:rFonts w:ascii="Georgia" w:hAnsi="Georgia"/>
          <w:sz w:val="24"/>
          <w:szCs w:val="24"/>
        </w:rPr>
        <w:tab/>
      </w:r>
      <w:r w:rsidR="00BE1451" w:rsidRPr="008112F0">
        <w:rPr>
          <w:rFonts w:ascii="Georgia" w:hAnsi="Georgia"/>
          <w:sz w:val="24"/>
          <w:szCs w:val="24"/>
        </w:rPr>
        <w:tab/>
        <w:t xml:space="preserve">               </w:t>
      </w:r>
      <w:r w:rsidR="00BE1451" w:rsidRPr="008112F0">
        <w:rPr>
          <w:rFonts w:ascii="Georgia" w:hAnsi="Georgia"/>
          <w:sz w:val="24"/>
          <w:szCs w:val="24"/>
        </w:rPr>
        <w:tab/>
        <w:t xml:space="preserve">                    Docket No. </w:t>
      </w:r>
      <w:r w:rsidR="00332ABD" w:rsidRPr="00332ABD">
        <w:rPr>
          <w:rFonts w:ascii="Georgia" w:hAnsi="Georgia"/>
          <w:sz w:val="24"/>
          <w:szCs w:val="24"/>
        </w:rPr>
        <w:t>CP22-51</w:t>
      </w:r>
    </w:p>
    <w:p w14:paraId="611A15C7" w14:textId="77777777" w:rsidR="00BE1451" w:rsidRPr="00332ABD" w:rsidRDefault="00BE1451" w:rsidP="00332ABD">
      <w:pPr>
        <w:rPr>
          <w:rFonts w:ascii="Georgia" w:hAnsi="Georgia"/>
          <w:sz w:val="24"/>
          <w:szCs w:val="24"/>
        </w:rPr>
      </w:pPr>
    </w:p>
    <w:p w14:paraId="25303D29" w14:textId="77777777" w:rsidR="004E4198" w:rsidRDefault="004E4198" w:rsidP="0093055B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8941270" w14:textId="2F6A2778" w:rsidR="00D559B7" w:rsidRPr="0093055B" w:rsidRDefault="00D90241" w:rsidP="0093055B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Joint </w:t>
      </w:r>
      <w:r w:rsidR="00332ABD" w:rsidRPr="0093055B">
        <w:rPr>
          <w:rFonts w:ascii="Georgia" w:hAnsi="Georgia"/>
          <w:b/>
          <w:bCs/>
          <w:sz w:val="24"/>
          <w:szCs w:val="24"/>
        </w:rPr>
        <w:t>Protest</w:t>
      </w:r>
      <w:r w:rsidR="00C412E8">
        <w:rPr>
          <w:rFonts w:ascii="Georgia" w:hAnsi="Georgia"/>
          <w:b/>
          <w:bCs/>
          <w:sz w:val="24"/>
          <w:szCs w:val="24"/>
        </w:rPr>
        <w:t xml:space="preserve"> of Public Citizen and </w:t>
      </w:r>
      <w:r w:rsidR="00EF1296">
        <w:rPr>
          <w:rFonts w:ascii="Georgia" w:hAnsi="Georgia"/>
          <w:b/>
          <w:bCs/>
          <w:sz w:val="24"/>
          <w:szCs w:val="24"/>
        </w:rPr>
        <w:t>Louisiana Bucket Brigade</w:t>
      </w:r>
    </w:p>
    <w:p w14:paraId="49E337AE" w14:textId="77777777" w:rsidR="00332ABD" w:rsidRDefault="00332ABD" w:rsidP="00332ABD">
      <w:pPr>
        <w:rPr>
          <w:rFonts w:ascii="Georgia" w:hAnsi="Georgia"/>
          <w:sz w:val="24"/>
          <w:szCs w:val="24"/>
        </w:rPr>
      </w:pPr>
    </w:p>
    <w:p w14:paraId="0D44F6AC" w14:textId="1C29BAD8" w:rsidR="00332ABD" w:rsidRDefault="00E66C4C" w:rsidP="0089478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On </w:t>
      </w:r>
      <w:r w:rsidRPr="00E66C4C">
        <w:rPr>
          <w:rFonts w:ascii="Georgia" w:hAnsi="Georgia"/>
          <w:sz w:val="24"/>
          <w:szCs w:val="24"/>
        </w:rPr>
        <w:t>February 11, 2022</w:t>
      </w:r>
      <w:r>
        <w:rPr>
          <w:rFonts w:ascii="Georgia" w:hAnsi="Georgia"/>
          <w:sz w:val="24"/>
          <w:szCs w:val="24"/>
        </w:rPr>
        <w:t xml:space="preserve">, CNG Holding 1 LLC paid </w:t>
      </w:r>
      <w:r w:rsidR="007A1FCE">
        <w:rPr>
          <w:rFonts w:ascii="Georgia" w:hAnsi="Georgia"/>
          <w:sz w:val="24"/>
          <w:szCs w:val="24"/>
        </w:rPr>
        <w:t>$</w:t>
      </w:r>
      <w:r w:rsidR="007A1FCE" w:rsidRPr="007A1FCE">
        <w:rPr>
          <w:rFonts w:ascii="Georgia" w:hAnsi="Georgia"/>
          <w:sz w:val="24"/>
          <w:szCs w:val="24"/>
        </w:rPr>
        <w:t>31,060</w:t>
      </w:r>
      <w:r w:rsidR="007A1FCE">
        <w:rPr>
          <w:rFonts w:ascii="Georgia" w:hAnsi="Georgia"/>
          <w:sz w:val="24"/>
          <w:szCs w:val="24"/>
        </w:rPr>
        <w:t xml:space="preserve"> to file a Petition for Declaratory Order</w:t>
      </w:r>
      <w:r w:rsidR="009F61C7">
        <w:rPr>
          <w:rFonts w:ascii="Georgia" w:hAnsi="Georgia"/>
          <w:sz w:val="24"/>
          <w:szCs w:val="24"/>
        </w:rPr>
        <w:t xml:space="preserve"> </w:t>
      </w:r>
      <w:r w:rsidR="007F3A73">
        <w:rPr>
          <w:rFonts w:ascii="Georgia" w:hAnsi="Georgia"/>
          <w:sz w:val="24"/>
          <w:szCs w:val="24"/>
        </w:rPr>
        <w:t>asking</w:t>
      </w:r>
      <w:r w:rsidR="007B71B8">
        <w:rPr>
          <w:rFonts w:ascii="Georgia" w:hAnsi="Georgia"/>
          <w:sz w:val="24"/>
          <w:szCs w:val="24"/>
        </w:rPr>
        <w:t xml:space="preserve"> FERC to</w:t>
      </w:r>
      <w:r w:rsidR="00441E8A">
        <w:rPr>
          <w:rFonts w:ascii="Georgia" w:hAnsi="Georgia"/>
          <w:sz w:val="24"/>
          <w:szCs w:val="24"/>
        </w:rPr>
        <w:t xml:space="preserve"> determine that </w:t>
      </w:r>
      <w:r w:rsidR="009F61C7">
        <w:rPr>
          <w:rFonts w:ascii="Georgia" w:hAnsi="Georgia"/>
          <w:sz w:val="24"/>
          <w:szCs w:val="24"/>
        </w:rPr>
        <w:t>its planned natural gas export facility in</w:t>
      </w:r>
      <w:r w:rsidR="00441E8A">
        <w:rPr>
          <w:rFonts w:ascii="Georgia" w:hAnsi="Georgia"/>
          <w:sz w:val="24"/>
          <w:szCs w:val="24"/>
        </w:rPr>
        <w:t xml:space="preserve"> </w:t>
      </w:r>
      <w:r w:rsidR="00914920" w:rsidRPr="00914920">
        <w:rPr>
          <w:rFonts w:ascii="Georgia" w:hAnsi="Georgia"/>
          <w:sz w:val="24"/>
          <w:szCs w:val="24"/>
        </w:rPr>
        <w:t>Plaquemines</w:t>
      </w:r>
      <w:r w:rsidR="00914920">
        <w:rPr>
          <w:rFonts w:ascii="Georgia" w:hAnsi="Georgia"/>
          <w:sz w:val="24"/>
          <w:szCs w:val="24"/>
        </w:rPr>
        <w:t>, Louisiana</w:t>
      </w:r>
      <w:r w:rsidR="00441E8A">
        <w:rPr>
          <w:rFonts w:ascii="Georgia" w:hAnsi="Georgia"/>
          <w:sz w:val="24"/>
          <w:szCs w:val="24"/>
        </w:rPr>
        <w:t xml:space="preserve"> is not </w:t>
      </w:r>
      <w:r w:rsidR="00441E8A" w:rsidRPr="00441E8A">
        <w:rPr>
          <w:rFonts w:ascii="Georgia" w:hAnsi="Georgia"/>
          <w:sz w:val="24"/>
          <w:szCs w:val="24"/>
        </w:rPr>
        <w:t>subject to the Commission’s jurisdiction</w:t>
      </w:r>
      <w:r w:rsidR="00441E8A">
        <w:rPr>
          <w:rFonts w:ascii="Georgia" w:hAnsi="Georgia"/>
          <w:sz w:val="24"/>
          <w:szCs w:val="24"/>
        </w:rPr>
        <w:t>.</w:t>
      </w:r>
      <w:r w:rsidR="009F61C7">
        <w:rPr>
          <w:rFonts w:ascii="Georgia" w:hAnsi="Georgia"/>
          <w:sz w:val="24"/>
          <w:szCs w:val="24"/>
        </w:rPr>
        <w:t xml:space="preserve"> </w:t>
      </w:r>
    </w:p>
    <w:p w14:paraId="5FA6647E" w14:textId="7BC30102" w:rsidR="007B71B8" w:rsidRDefault="007B71B8" w:rsidP="0089478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Commission should reject the petition, as CNG Holding’s proposed natural gas export facility is clearly </w:t>
      </w:r>
      <w:r w:rsidR="00031642">
        <w:rPr>
          <w:rFonts w:ascii="Georgia" w:hAnsi="Georgia"/>
          <w:sz w:val="24"/>
          <w:szCs w:val="24"/>
        </w:rPr>
        <w:t xml:space="preserve">Commission </w:t>
      </w:r>
      <w:r w:rsidR="006A4EDA">
        <w:rPr>
          <w:rFonts w:ascii="Georgia" w:hAnsi="Georgia"/>
          <w:sz w:val="24"/>
          <w:szCs w:val="24"/>
        </w:rPr>
        <w:t>jurisdictio</w:t>
      </w:r>
      <w:r w:rsidR="00EF1296">
        <w:rPr>
          <w:rFonts w:ascii="Georgia" w:hAnsi="Georgia"/>
          <w:sz w:val="24"/>
          <w:szCs w:val="24"/>
        </w:rPr>
        <w:t>nal</w:t>
      </w:r>
      <w:r w:rsidR="006A4EDA">
        <w:rPr>
          <w:rFonts w:ascii="Georgia" w:hAnsi="Georgia"/>
          <w:sz w:val="24"/>
          <w:szCs w:val="24"/>
        </w:rPr>
        <w:t>.</w:t>
      </w:r>
    </w:p>
    <w:p w14:paraId="32C54F87" w14:textId="77777777" w:rsidR="006A4EDA" w:rsidRDefault="006A4EDA" w:rsidP="00332ABD">
      <w:pPr>
        <w:rPr>
          <w:rFonts w:ascii="Georgia" w:hAnsi="Georgia"/>
          <w:sz w:val="24"/>
          <w:szCs w:val="24"/>
        </w:rPr>
      </w:pPr>
    </w:p>
    <w:p w14:paraId="45222FC9" w14:textId="77777777" w:rsidR="00E821FC" w:rsidRDefault="00E821FC" w:rsidP="00332ABD">
      <w:pPr>
        <w:rPr>
          <w:rFonts w:ascii="Georgia" w:hAnsi="Georgia"/>
          <w:sz w:val="24"/>
          <w:szCs w:val="24"/>
        </w:rPr>
      </w:pPr>
    </w:p>
    <w:p w14:paraId="58D355FD" w14:textId="129C737D" w:rsidR="006A4EDA" w:rsidRPr="00E6785D" w:rsidRDefault="006345D0" w:rsidP="00E6785D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Motion To Intervene of Louisiana Bucket Brigade</w:t>
      </w:r>
    </w:p>
    <w:p w14:paraId="2E072B85" w14:textId="77777777" w:rsidR="00FC4C75" w:rsidRDefault="00FC4C75" w:rsidP="00E821FC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56CBFE0C" w14:textId="5FCF161C" w:rsidR="00FC4C75" w:rsidRDefault="00AC6F5D" w:rsidP="004F0889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AC6F5D">
        <w:rPr>
          <w:rFonts w:ascii="Georgia" w:hAnsi="Georgia"/>
          <w:sz w:val="24"/>
          <w:szCs w:val="24"/>
        </w:rPr>
        <w:t xml:space="preserve">The Louisiana Bucket Brigade is a 501(c)(3) environmental health and justice organization working with communities that neighbor the state’s oil refineries, chemical </w:t>
      </w:r>
      <w:proofErr w:type="gramStart"/>
      <w:r w:rsidRPr="00AC6F5D">
        <w:rPr>
          <w:rFonts w:ascii="Georgia" w:hAnsi="Georgia"/>
          <w:sz w:val="24"/>
          <w:szCs w:val="24"/>
        </w:rPr>
        <w:t>plants</w:t>
      </w:r>
      <w:proofErr w:type="gramEnd"/>
      <w:r w:rsidR="004F0889">
        <w:rPr>
          <w:rFonts w:ascii="Georgia" w:hAnsi="Georgia"/>
          <w:sz w:val="24"/>
          <w:szCs w:val="24"/>
        </w:rPr>
        <w:t xml:space="preserve"> </w:t>
      </w:r>
      <w:r w:rsidRPr="00AC6F5D">
        <w:rPr>
          <w:rFonts w:ascii="Georgia" w:hAnsi="Georgia"/>
          <w:sz w:val="24"/>
          <w:szCs w:val="24"/>
        </w:rPr>
        <w:t xml:space="preserve">and fossil fuel infrastructure. </w:t>
      </w:r>
      <w:r w:rsidR="00AC4D4B">
        <w:rPr>
          <w:rFonts w:ascii="Georgia" w:hAnsi="Georgia"/>
          <w:sz w:val="24"/>
          <w:szCs w:val="24"/>
        </w:rPr>
        <w:t>We</w:t>
      </w:r>
      <w:r w:rsidRPr="00AC6F5D">
        <w:rPr>
          <w:rFonts w:ascii="Georgia" w:hAnsi="Georgia"/>
          <w:sz w:val="24"/>
          <w:szCs w:val="24"/>
        </w:rPr>
        <w:t xml:space="preserve"> use grassroots action to create an informed, healthy society that holds the petrochemical industry and government accountable for the true</w:t>
      </w:r>
      <w:r w:rsidR="004F0889">
        <w:rPr>
          <w:rFonts w:ascii="Georgia" w:hAnsi="Georgia"/>
          <w:sz w:val="24"/>
          <w:szCs w:val="24"/>
        </w:rPr>
        <w:t xml:space="preserve"> </w:t>
      </w:r>
      <w:r w:rsidRPr="00AC6F5D">
        <w:rPr>
          <w:rFonts w:ascii="Georgia" w:hAnsi="Georgia"/>
          <w:sz w:val="24"/>
          <w:szCs w:val="24"/>
        </w:rPr>
        <w:t>costs of pollution</w:t>
      </w:r>
      <w:r w:rsidR="004E1FAE">
        <w:rPr>
          <w:rFonts w:ascii="Georgia" w:hAnsi="Georgia"/>
          <w:sz w:val="24"/>
          <w:szCs w:val="24"/>
        </w:rPr>
        <w:t>. We have</w:t>
      </w:r>
      <w:r w:rsidRPr="00AC6F5D">
        <w:rPr>
          <w:rFonts w:ascii="Georgia" w:hAnsi="Georgia"/>
          <w:sz w:val="24"/>
          <w:szCs w:val="24"/>
        </w:rPr>
        <w:t xml:space="preserve"> several hundred members in Louisiana.</w:t>
      </w:r>
      <w:r w:rsidR="004F0889">
        <w:rPr>
          <w:rFonts w:ascii="Georgia" w:hAnsi="Georgia"/>
          <w:sz w:val="24"/>
          <w:szCs w:val="24"/>
        </w:rPr>
        <w:t xml:space="preserve"> Additional details of our o</w:t>
      </w:r>
      <w:r w:rsidR="00453256">
        <w:rPr>
          <w:rFonts w:ascii="Georgia" w:hAnsi="Georgia"/>
          <w:sz w:val="24"/>
          <w:szCs w:val="24"/>
        </w:rPr>
        <w:t>perations</w:t>
      </w:r>
      <w:r w:rsidR="004F0889">
        <w:rPr>
          <w:rFonts w:ascii="Georgia" w:hAnsi="Georgia"/>
          <w:sz w:val="24"/>
          <w:szCs w:val="24"/>
        </w:rPr>
        <w:t xml:space="preserve"> are found at our website.</w:t>
      </w:r>
      <w:r w:rsidR="004F0889"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4C67E498" w14:textId="641D6581" w:rsidR="00E821FC" w:rsidRDefault="00E821FC" w:rsidP="00E821FC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FD54E6">
        <w:rPr>
          <w:rFonts w:ascii="Georgia" w:hAnsi="Georgia"/>
          <w:sz w:val="24"/>
          <w:szCs w:val="24"/>
        </w:rPr>
        <w:t xml:space="preserve">Established in 1971, Public Citizen is a national, not-for-profit, non-partisan, research and advocacy organization representing the interests of household consumers. Public Citizen is active before FERC promoting just and reasonable </w:t>
      </w:r>
      <w:proofErr w:type="gramStart"/>
      <w:r w:rsidRPr="00FD54E6">
        <w:rPr>
          <w:rFonts w:ascii="Georgia" w:hAnsi="Georgia"/>
          <w:sz w:val="24"/>
          <w:szCs w:val="24"/>
        </w:rPr>
        <w:t>rates, and</w:t>
      </w:r>
      <w:proofErr w:type="gramEnd"/>
      <w:r w:rsidRPr="00FD54E6">
        <w:rPr>
          <w:rFonts w:ascii="Georgia" w:hAnsi="Georgia"/>
          <w:sz w:val="24"/>
          <w:szCs w:val="24"/>
        </w:rPr>
        <w:t xml:space="preserve"> supporting efforts for utilities to be accountable to the public interest.</w:t>
      </w:r>
      <w:r>
        <w:rPr>
          <w:rFonts w:ascii="Georgia" w:hAnsi="Georgia"/>
          <w:sz w:val="24"/>
          <w:szCs w:val="24"/>
        </w:rPr>
        <w:t xml:space="preserve"> Financial details of our operations are available at our website.</w:t>
      </w:r>
      <w:r>
        <w:rPr>
          <w:rStyle w:val="FootnoteReference"/>
          <w:rFonts w:ascii="Georgia" w:hAnsi="Georgia"/>
          <w:sz w:val="24"/>
          <w:szCs w:val="24"/>
        </w:rPr>
        <w:footnoteReference w:id="2"/>
      </w:r>
      <w:r w:rsidR="00E6785D">
        <w:rPr>
          <w:rFonts w:ascii="Georgia" w:hAnsi="Georgia"/>
          <w:sz w:val="24"/>
          <w:szCs w:val="24"/>
        </w:rPr>
        <w:t xml:space="preserve"> Public Citizen intervened </w:t>
      </w:r>
      <w:r w:rsidR="006D0A3D">
        <w:rPr>
          <w:rFonts w:ascii="Georgia" w:hAnsi="Georgia"/>
          <w:sz w:val="24"/>
          <w:szCs w:val="24"/>
        </w:rPr>
        <w:t>on February 28, 2022.</w:t>
      </w:r>
    </w:p>
    <w:p w14:paraId="28AF6DF6" w14:textId="77777777" w:rsidR="00CD4F7F" w:rsidRDefault="00CD4F7F" w:rsidP="00E821FC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0A762011" w14:textId="77777777" w:rsidR="00713061" w:rsidRDefault="00713061" w:rsidP="00713061">
      <w:pPr>
        <w:spacing w:line="360" w:lineRule="auto"/>
        <w:rPr>
          <w:rFonts w:ascii="Georgia" w:hAnsi="Georgia"/>
          <w:sz w:val="24"/>
          <w:szCs w:val="24"/>
        </w:rPr>
      </w:pPr>
    </w:p>
    <w:p w14:paraId="3FA12A6C" w14:textId="77777777" w:rsidR="0016598E" w:rsidRDefault="0016598E" w:rsidP="00713061">
      <w:pPr>
        <w:spacing w:line="360" w:lineRule="auto"/>
        <w:rPr>
          <w:rFonts w:ascii="Georgia" w:hAnsi="Georgia"/>
          <w:sz w:val="24"/>
          <w:szCs w:val="24"/>
        </w:rPr>
      </w:pPr>
    </w:p>
    <w:p w14:paraId="73C1FF05" w14:textId="1A3A3841" w:rsidR="00713061" w:rsidRPr="007953E5" w:rsidRDefault="00713061" w:rsidP="007953E5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7953E5">
        <w:rPr>
          <w:rFonts w:ascii="Georgia" w:hAnsi="Georgia"/>
          <w:b/>
          <w:bCs/>
          <w:sz w:val="24"/>
          <w:szCs w:val="24"/>
        </w:rPr>
        <w:lastRenderedPageBreak/>
        <w:t>Protest</w:t>
      </w:r>
    </w:p>
    <w:p w14:paraId="28469633" w14:textId="413E871F" w:rsidR="00260F44" w:rsidRDefault="00713061" w:rsidP="00260F4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260F44">
        <w:rPr>
          <w:rFonts w:ascii="Georgia" w:hAnsi="Georgia"/>
          <w:sz w:val="24"/>
          <w:szCs w:val="24"/>
        </w:rPr>
        <w:t xml:space="preserve">CNG Holding has leased 50 acres within the </w:t>
      </w:r>
      <w:r w:rsidR="00260F44" w:rsidRPr="004A7965">
        <w:rPr>
          <w:rFonts w:ascii="Georgia" w:hAnsi="Georgia"/>
          <w:sz w:val="24"/>
          <w:szCs w:val="24"/>
        </w:rPr>
        <w:t>Port of Plaquemines, Louisiana</w:t>
      </w:r>
      <w:r w:rsidR="00260F44">
        <w:rPr>
          <w:rFonts w:ascii="Georgia" w:hAnsi="Georgia"/>
          <w:sz w:val="24"/>
          <w:szCs w:val="24"/>
        </w:rPr>
        <w:t xml:space="preserve"> to </w:t>
      </w:r>
      <w:r w:rsidR="00260F44" w:rsidRPr="00636A07">
        <w:rPr>
          <w:rFonts w:ascii="Georgia" w:hAnsi="Georgia"/>
          <w:sz w:val="24"/>
          <w:szCs w:val="24"/>
        </w:rPr>
        <w:t>offtake natural gas from a FERC-</w:t>
      </w:r>
      <w:r w:rsidR="009C2E82" w:rsidRPr="00636A07">
        <w:rPr>
          <w:rFonts w:ascii="Georgia" w:hAnsi="Georgia"/>
          <w:sz w:val="24"/>
          <w:szCs w:val="24"/>
        </w:rPr>
        <w:t>jurisdictional</w:t>
      </w:r>
      <w:r w:rsidR="00260F44" w:rsidRPr="00636A07">
        <w:rPr>
          <w:rFonts w:ascii="Georgia" w:hAnsi="Georgia"/>
          <w:sz w:val="24"/>
          <w:szCs w:val="24"/>
        </w:rPr>
        <w:t xml:space="preserve">, interstate pipeline, compress the gas and load it onto International Organization for Standardization (ISO) containers, move </w:t>
      </w:r>
      <w:r w:rsidR="00260F44">
        <w:rPr>
          <w:rFonts w:ascii="Georgia" w:hAnsi="Georgia"/>
          <w:sz w:val="24"/>
          <w:szCs w:val="24"/>
        </w:rPr>
        <w:t>them</w:t>
      </w:r>
      <w:r w:rsidR="00E94E4B">
        <w:rPr>
          <w:rFonts w:ascii="Georgia" w:hAnsi="Georgia"/>
          <w:sz w:val="24"/>
          <w:szCs w:val="24"/>
        </w:rPr>
        <w:t xml:space="preserve"> about 1,320 feet</w:t>
      </w:r>
      <w:r w:rsidR="00260F44" w:rsidRPr="00636A07">
        <w:rPr>
          <w:rFonts w:ascii="Georgia" w:hAnsi="Georgia"/>
          <w:sz w:val="24"/>
          <w:szCs w:val="24"/>
        </w:rPr>
        <w:t xml:space="preserve"> to a dock, where </w:t>
      </w:r>
      <w:r w:rsidR="001E019A">
        <w:rPr>
          <w:rFonts w:ascii="Georgia" w:hAnsi="Georgia"/>
          <w:sz w:val="24"/>
          <w:szCs w:val="24"/>
        </w:rPr>
        <w:t>they will be</w:t>
      </w:r>
      <w:r w:rsidR="00260F44" w:rsidRPr="00636A07">
        <w:rPr>
          <w:rFonts w:ascii="Georgia" w:hAnsi="Georgia"/>
          <w:sz w:val="24"/>
          <w:szCs w:val="24"/>
        </w:rPr>
        <w:t xml:space="preserve"> loaded on ships for export out of the United States.</w:t>
      </w:r>
      <w:r w:rsidR="00260F44">
        <w:rPr>
          <w:rStyle w:val="FootnoteReference"/>
          <w:rFonts w:ascii="Georgia" w:hAnsi="Georgia"/>
          <w:sz w:val="24"/>
          <w:szCs w:val="24"/>
        </w:rPr>
        <w:footnoteReference w:id="3"/>
      </w:r>
    </w:p>
    <w:p w14:paraId="3E130ED9" w14:textId="32DEEB37" w:rsidR="00260F44" w:rsidRDefault="00260F44" w:rsidP="00260F44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CNG Holding 1 LLC’s Petition provides sparse information about its upstream ownership, while its application with the U.S. Department of Energy for authorization to export natural gas offers just </w:t>
      </w:r>
      <w:r w:rsidR="0058590C">
        <w:rPr>
          <w:rFonts w:ascii="Georgia" w:hAnsi="Georgia"/>
          <w:sz w:val="24"/>
          <w:szCs w:val="24"/>
        </w:rPr>
        <w:t>a modicum</w:t>
      </w:r>
      <w:r>
        <w:rPr>
          <w:rFonts w:ascii="Georgia" w:hAnsi="Georgia"/>
          <w:sz w:val="24"/>
          <w:szCs w:val="24"/>
        </w:rPr>
        <w:t xml:space="preserve"> more.</w:t>
      </w:r>
      <w:r>
        <w:rPr>
          <w:rStyle w:val="FootnoteReference"/>
          <w:rFonts w:ascii="Georgia" w:hAnsi="Georgia"/>
          <w:sz w:val="24"/>
          <w:szCs w:val="24"/>
        </w:rPr>
        <w:footnoteReference w:id="4"/>
      </w:r>
      <w:r>
        <w:rPr>
          <w:rFonts w:ascii="Georgia" w:hAnsi="Georgia"/>
          <w:sz w:val="24"/>
          <w:szCs w:val="24"/>
        </w:rPr>
        <w:t xml:space="preserve"> CNG Holding has a five-member Board of Managers, with </w:t>
      </w:r>
      <w:r w:rsidRPr="00332ABD">
        <w:rPr>
          <w:rFonts w:ascii="Georgia" w:hAnsi="Georgia"/>
          <w:sz w:val="24"/>
          <w:szCs w:val="24"/>
        </w:rPr>
        <w:t>Nearshore Natural Gas LLC</w:t>
      </w:r>
      <w:r>
        <w:rPr>
          <w:rFonts w:ascii="Georgia" w:hAnsi="Georgia"/>
          <w:sz w:val="24"/>
          <w:szCs w:val="24"/>
        </w:rPr>
        <w:t xml:space="preserve"> controlling two</w:t>
      </w:r>
      <w:r w:rsidR="0053796C">
        <w:rPr>
          <w:rFonts w:ascii="Georgia" w:hAnsi="Georgia"/>
          <w:sz w:val="24"/>
          <w:szCs w:val="24"/>
        </w:rPr>
        <w:t xml:space="preserve"> votes</w:t>
      </w:r>
      <w:r>
        <w:rPr>
          <w:rFonts w:ascii="Georgia" w:hAnsi="Georgia"/>
          <w:sz w:val="24"/>
          <w:szCs w:val="24"/>
        </w:rPr>
        <w:t xml:space="preserve">, and </w:t>
      </w:r>
      <w:r w:rsidRPr="00332ABD">
        <w:rPr>
          <w:rFonts w:ascii="Georgia" w:hAnsi="Georgia"/>
          <w:sz w:val="24"/>
          <w:szCs w:val="24"/>
        </w:rPr>
        <w:t>HBG Investment LLC</w:t>
      </w:r>
      <w:r>
        <w:rPr>
          <w:rFonts w:ascii="Georgia" w:hAnsi="Georgia"/>
          <w:sz w:val="24"/>
          <w:szCs w:val="24"/>
        </w:rPr>
        <w:t xml:space="preserve"> and </w:t>
      </w:r>
      <w:r w:rsidRPr="00332ABD">
        <w:rPr>
          <w:rFonts w:ascii="Georgia" w:hAnsi="Georgia"/>
          <w:sz w:val="24"/>
          <w:szCs w:val="24"/>
        </w:rPr>
        <w:t xml:space="preserve">Capital Ventures Worldwide S.A. </w:t>
      </w:r>
      <w:r>
        <w:rPr>
          <w:rFonts w:ascii="Georgia" w:hAnsi="Georgia"/>
          <w:sz w:val="24"/>
          <w:szCs w:val="24"/>
        </w:rPr>
        <w:t xml:space="preserve">each </w:t>
      </w:r>
      <w:r w:rsidR="00507B11">
        <w:rPr>
          <w:rFonts w:ascii="Georgia" w:hAnsi="Georgia"/>
          <w:sz w:val="24"/>
          <w:szCs w:val="24"/>
        </w:rPr>
        <w:t>with</w:t>
      </w:r>
      <w:r>
        <w:rPr>
          <w:rFonts w:ascii="Georgia" w:hAnsi="Georgia"/>
          <w:sz w:val="24"/>
          <w:szCs w:val="24"/>
        </w:rPr>
        <w:t xml:space="preserve"> one. The fifth seat is determined through mutual agreement of the four other Managers. The only human owner identified is </w:t>
      </w:r>
      <w:r w:rsidRPr="00332ABD">
        <w:rPr>
          <w:rFonts w:ascii="Georgia" w:hAnsi="Georgia"/>
          <w:sz w:val="24"/>
          <w:szCs w:val="24"/>
        </w:rPr>
        <w:t>Pedro Santos</w:t>
      </w:r>
      <w:r>
        <w:rPr>
          <w:rFonts w:ascii="Georgia" w:hAnsi="Georgia"/>
          <w:sz w:val="24"/>
          <w:szCs w:val="24"/>
        </w:rPr>
        <w:t xml:space="preserve"> as controlling 43% of CNG Holding. The ownership structures of the three entities, as well as the identities of the five CNG Holding managers, remain unknown.</w:t>
      </w:r>
    </w:p>
    <w:p w14:paraId="434323D7" w14:textId="77777777" w:rsidR="000B0531" w:rsidRDefault="008679B4" w:rsidP="00260F4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00FA788" w14:textId="77777777" w:rsidR="00053718" w:rsidRDefault="008679B4" w:rsidP="004F29F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CNG Holding’s petition clearly states that </w:t>
      </w:r>
      <w:r w:rsidR="00A82A7A">
        <w:rPr>
          <w:rFonts w:ascii="Georgia" w:hAnsi="Georgia"/>
          <w:sz w:val="24"/>
          <w:szCs w:val="24"/>
        </w:rPr>
        <w:t xml:space="preserve">it </w:t>
      </w:r>
      <w:r>
        <w:rPr>
          <w:rFonts w:ascii="Georgia" w:hAnsi="Georgia"/>
          <w:sz w:val="24"/>
          <w:szCs w:val="24"/>
        </w:rPr>
        <w:t>will construct and operate a facility that receives natural gas from an interstate, FERC-jurisdictional pipeline</w:t>
      </w:r>
      <w:r w:rsidR="000B0531">
        <w:rPr>
          <w:rFonts w:ascii="Georgia" w:hAnsi="Georgia"/>
          <w:sz w:val="24"/>
          <w:szCs w:val="24"/>
        </w:rPr>
        <w:t>, compress that gas</w:t>
      </w:r>
      <w:r w:rsidR="00805D24">
        <w:rPr>
          <w:rFonts w:ascii="Georgia" w:hAnsi="Georgia"/>
          <w:sz w:val="24"/>
          <w:szCs w:val="24"/>
        </w:rPr>
        <w:t xml:space="preserve"> into ISO containers to be loaded on ships </w:t>
      </w:r>
      <w:r w:rsidR="00053718">
        <w:rPr>
          <w:rFonts w:ascii="Georgia" w:hAnsi="Georgia"/>
          <w:sz w:val="24"/>
          <w:szCs w:val="24"/>
        </w:rPr>
        <w:t>for</w:t>
      </w:r>
      <w:r w:rsidR="00805D24">
        <w:rPr>
          <w:rFonts w:ascii="Georgia" w:hAnsi="Georgia"/>
          <w:sz w:val="24"/>
          <w:szCs w:val="24"/>
        </w:rPr>
        <w:t xml:space="preserve"> export out of the United States. CNG Holding has applied for authorization from the U.S. Department of Energy to export that gas. </w:t>
      </w:r>
    </w:p>
    <w:p w14:paraId="4FCCAB11" w14:textId="60030CD1" w:rsidR="00A3045C" w:rsidRDefault="00FF1DB6" w:rsidP="004F29F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A4429D">
        <w:rPr>
          <w:rFonts w:ascii="Georgia" w:hAnsi="Georgia"/>
          <w:sz w:val="24"/>
          <w:szCs w:val="24"/>
        </w:rPr>
        <w:t>Section 3 of the Natural Gas Act states that “no person shall export any natural</w:t>
      </w:r>
      <w:r>
        <w:rPr>
          <w:rFonts w:ascii="Georgia" w:hAnsi="Georgia"/>
          <w:sz w:val="24"/>
          <w:szCs w:val="24"/>
        </w:rPr>
        <w:t xml:space="preserve"> </w:t>
      </w:r>
      <w:r w:rsidRPr="00A4429D">
        <w:rPr>
          <w:rFonts w:ascii="Georgia" w:hAnsi="Georgia"/>
          <w:sz w:val="24"/>
          <w:szCs w:val="24"/>
        </w:rPr>
        <w:t xml:space="preserve">gas from the United States to a foreign country </w:t>
      </w:r>
      <w:r>
        <w:rPr>
          <w:rFonts w:ascii="Georgia" w:hAnsi="Georgia"/>
          <w:sz w:val="24"/>
          <w:szCs w:val="24"/>
        </w:rPr>
        <w:t>. . .</w:t>
      </w:r>
      <w:r w:rsidRPr="00A4429D">
        <w:rPr>
          <w:rFonts w:ascii="Georgia" w:hAnsi="Georgia"/>
          <w:sz w:val="24"/>
          <w:szCs w:val="24"/>
        </w:rPr>
        <w:t xml:space="preserve"> without first having secured an order of the Commission authorizing it to do</w:t>
      </w:r>
      <w:r>
        <w:rPr>
          <w:rFonts w:ascii="Georgia" w:hAnsi="Georgia"/>
          <w:sz w:val="24"/>
          <w:szCs w:val="24"/>
        </w:rPr>
        <w:t xml:space="preserve"> </w:t>
      </w:r>
      <w:r w:rsidRPr="00A4429D">
        <w:rPr>
          <w:rFonts w:ascii="Georgia" w:hAnsi="Georgia"/>
          <w:sz w:val="24"/>
          <w:szCs w:val="24"/>
        </w:rPr>
        <w:t>so”</w:t>
      </w:r>
      <w:r>
        <w:rPr>
          <w:rFonts w:ascii="Georgia" w:hAnsi="Georgia"/>
          <w:sz w:val="24"/>
          <w:szCs w:val="24"/>
        </w:rPr>
        <w:t>.</w:t>
      </w:r>
      <w:r>
        <w:rPr>
          <w:rStyle w:val="FootnoteReference"/>
          <w:rFonts w:ascii="Georgia" w:hAnsi="Georgia"/>
          <w:sz w:val="24"/>
          <w:szCs w:val="24"/>
        </w:rPr>
        <w:footnoteReference w:id="5"/>
      </w:r>
      <w:r>
        <w:rPr>
          <w:rFonts w:ascii="Georgia" w:hAnsi="Georgia"/>
          <w:sz w:val="24"/>
          <w:szCs w:val="24"/>
        </w:rPr>
        <w:t xml:space="preserve"> </w:t>
      </w:r>
      <w:r w:rsidRPr="00CE62C6">
        <w:rPr>
          <w:rFonts w:ascii="Georgia" w:hAnsi="Georgia"/>
          <w:sz w:val="24"/>
          <w:szCs w:val="24"/>
        </w:rPr>
        <w:t xml:space="preserve">Federal law defines </w:t>
      </w:r>
      <w:r w:rsidRPr="006F7357">
        <w:rPr>
          <w:rFonts w:ascii="Georgia" w:hAnsi="Georgia"/>
          <w:i/>
          <w:iCs/>
          <w:sz w:val="24"/>
          <w:szCs w:val="24"/>
        </w:rPr>
        <w:t>LNG terminal</w:t>
      </w:r>
      <w:r w:rsidRPr="00CE62C6">
        <w:rPr>
          <w:rFonts w:ascii="Georgia" w:hAnsi="Georgia"/>
          <w:sz w:val="24"/>
          <w:szCs w:val="24"/>
        </w:rPr>
        <w:t xml:space="preserve"> as </w:t>
      </w:r>
      <w:r>
        <w:rPr>
          <w:rFonts w:ascii="Georgia" w:hAnsi="Georgia"/>
          <w:sz w:val="24"/>
          <w:szCs w:val="24"/>
        </w:rPr>
        <w:t>“</w:t>
      </w:r>
      <w:r w:rsidRPr="00CE62C6">
        <w:rPr>
          <w:rFonts w:ascii="Georgia" w:hAnsi="Georgia"/>
          <w:sz w:val="24"/>
          <w:szCs w:val="24"/>
        </w:rPr>
        <w:t>all natural gas facilities located onshore or in State waters that are used to receive, unload, load, store, transport, gasify, liquefy, or process natural gas that is . . . exported to a foreign country from the United States</w:t>
      </w:r>
      <w:r>
        <w:rPr>
          <w:rFonts w:ascii="Georgia" w:hAnsi="Georgia"/>
          <w:sz w:val="24"/>
          <w:szCs w:val="24"/>
        </w:rPr>
        <w:t>”</w:t>
      </w:r>
      <w:r>
        <w:rPr>
          <w:rStyle w:val="FootnoteReference"/>
          <w:rFonts w:ascii="Georgia" w:hAnsi="Georgia"/>
          <w:sz w:val="24"/>
          <w:szCs w:val="24"/>
        </w:rPr>
        <w:footnoteReference w:id="6"/>
      </w:r>
      <w:r>
        <w:rPr>
          <w:rFonts w:ascii="Georgia" w:hAnsi="Georgia"/>
          <w:sz w:val="24"/>
          <w:szCs w:val="24"/>
        </w:rPr>
        <w:t>, and further states that FERC</w:t>
      </w:r>
      <w:r w:rsidRPr="0005729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“</w:t>
      </w:r>
      <w:r w:rsidRPr="0005729F">
        <w:rPr>
          <w:rFonts w:ascii="Georgia" w:hAnsi="Georgia"/>
          <w:sz w:val="24"/>
          <w:szCs w:val="24"/>
        </w:rPr>
        <w:t xml:space="preserve">shall have the </w:t>
      </w:r>
      <w:r w:rsidRPr="0005729F">
        <w:rPr>
          <w:rFonts w:ascii="Georgia" w:hAnsi="Georgia"/>
          <w:sz w:val="24"/>
          <w:szCs w:val="24"/>
        </w:rPr>
        <w:lastRenderedPageBreak/>
        <w:t>exclusive authority to approve or deny an application for the siting, construction, expansion, or operation of an LNG terminal</w:t>
      </w:r>
      <w:r>
        <w:rPr>
          <w:rFonts w:ascii="Georgia" w:hAnsi="Georgia"/>
          <w:sz w:val="24"/>
          <w:szCs w:val="24"/>
        </w:rPr>
        <w:t>”.</w:t>
      </w:r>
      <w:r>
        <w:rPr>
          <w:rStyle w:val="FootnoteReference"/>
          <w:rFonts w:ascii="Georgia" w:hAnsi="Georgia"/>
          <w:sz w:val="24"/>
          <w:szCs w:val="24"/>
        </w:rPr>
        <w:footnoteReference w:id="7"/>
      </w:r>
      <w:r>
        <w:rPr>
          <w:rFonts w:ascii="Georgia" w:hAnsi="Georgia"/>
          <w:sz w:val="24"/>
          <w:szCs w:val="24"/>
        </w:rPr>
        <w:t xml:space="preserve"> </w:t>
      </w:r>
    </w:p>
    <w:p w14:paraId="4536F8F9" w14:textId="77777777" w:rsidR="00844198" w:rsidRDefault="00FF1DB6" w:rsidP="004F29F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2F1D73">
        <w:rPr>
          <w:rFonts w:ascii="Georgia" w:hAnsi="Georgia"/>
          <w:sz w:val="24"/>
          <w:szCs w:val="24"/>
        </w:rPr>
        <w:t>Section 7 of the Natural Gas Act states that “No natural-gas company or person</w:t>
      </w:r>
      <w:r>
        <w:rPr>
          <w:rFonts w:ascii="Georgia" w:hAnsi="Georgia"/>
          <w:sz w:val="24"/>
          <w:szCs w:val="24"/>
        </w:rPr>
        <w:t xml:space="preserve"> </w:t>
      </w:r>
      <w:r w:rsidRPr="002F1D73">
        <w:rPr>
          <w:rFonts w:ascii="Georgia" w:hAnsi="Georgia"/>
          <w:sz w:val="24"/>
          <w:szCs w:val="24"/>
        </w:rPr>
        <w:t>which will be a natural-gas company upon completion of any proposed construction or</w:t>
      </w:r>
      <w:r>
        <w:rPr>
          <w:rFonts w:ascii="Georgia" w:hAnsi="Georgia"/>
          <w:sz w:val="24"/>
          <w:szCs w:val="24"/>
        </w:rPr>
        <w:t xml:space="preserve"> </w:t>
      </w:r>
      <w:r w:rsidRPr="002F1D73">
        <w:rPr>
          <w:rFonts w:ascii="Georgia" w:hAnsi="Georgia"/>
          <w:sz w:val="24"/>
          <w:szCs w:val="24"/>
        </w:rPr>
        <w:t>extension shall engage in the transportation or sale of natural gas, subject to the</w:t>
      </w:r>
      <w:r>
        <w:rPr>
          <w:rFonts w:ascii="Georgia" w:hAnsi="Georgia"/>
          <w:sz w:val="24"/>
          <w:szCs w:val="24"/>
        </w:rPr>
        <w:t xml:space="preserve"> </w:t>
      </w:r>
      <w:r w:rsidRPr="002F1D73">
        <w:rPr>
          <w:rFonts w:ascii="Georgia" w:hAnsi="Georgia"/>
          <w:sz w:val="24"/>
          <w:szCs w:val="24"/>
        </w:rPr>
        <w:t>jurisdiction of the Commission, or undertake the construction or extension of any</w:t>
      </w:r>
      <w:r>
        <w:rPr>
          <w:rFonts w:ascii="Georgia" w:hAnsi="Georgia"/>
          <w:sz w:val="24"/>
          <w:szCs w:val="24"/>
        </w:rPr>
        <w:t xml:space="preserve"> </w:t>
      </w:r>
      <w:r w:rsidRPr="002F1D73">
        <w:rPr>
          <w:rFonts w:ascii="Georgia" w:hAnsi="Georgia"/>
          <w:sz w:val="24"/>
          <w:szCs w:val="24"/>
        </w:rPr>
        <w:t>facilities therefor, or acquire or operate any such facilities or extensions thereof, unless</w:t>
      </w:r>
      <w:r>
        <w:rPr>
          <w:rFonts w:ascii="Georgia" w:hAnsi="Georgia"/>
          <w:sz w:val="24"/>
          <w:szCs w:val="24"/>
        </w:rPr>
        <w:t xml:space="preserve"> </w:t>
      </w:r>
      <w:r w:rsidRPr="002F1D73">
        <w:rPr>
          <w:rFonts w:ascii="Georgia" w:hAnsi="Georgia"/>
          <w:sz w:val="24"/>
          <w:szCs w:val="24"/>
        </w:rPr>
        <w:t>there is in force with respect to such natural-gas company a certificate of public</w:t>
      </w:r>
      <w:r>
        <w:rPr>
          <w:rFonts w:ascii="Georgia" w:hAnsi="Georgia"/>
          <w:sz w:val="24"/>
          <w:szCs w:val="24"/>
        </w:rPr>
        <w:t xml:space="preserve"> </w:t>
      </w:r>
      <w:r w:rsidRPr="002F1D73">
        <w:rPr>
          <w:rFonts w:ascii="Georgia" w:hAnsi="Georgia"/>
          <w:sz w:val="24"/>
          <w:szCs w:val="24"/>
        </w:rPr>
        <w:t>convenience and necessity issued by the Commission authorizing such acts or</w:t>
      </w:r>
      <w:r>
        <w:rPr>
          <w:rFonts w:ascii="Georgia" w:hAnsi="Georgia"/>
          <w:sz w:val="24"/>
          <w:szCs w:val="24"/>
        </w:rPr>
        <w:t xml:space="preserve"> </w:t>
      </w:r>
      <w:r w:rsidRPr="002F1D73">
        <w:rPr>
          <w:rFonts w:ascii="Georgia" w:hAnsi="Georgia"/>
          <w:sz w:val="24"/>
          <w:szCs w:val="24"/>
        </w:rPr>
        <w:t>operations.”</w:t>
      </w:r>
      <w:r>
        <w:rPr>
          <w:rStyle w:val="FootnoteReference"/>
          <w:rFonts w:ascii="Georgia" w:hAnsi="Georgia"/>
          <w:sz w:val="24"/>
          <w:szCs w:val="24"/>
        </w:rPr>
        <w:footnoteReference w:id="8"/>
      </w:r>
      <w:r w:rsidR="006516EA">
        <w:rPr>
          <w:rFonts w:ascii="Georgia" w:hAnsi="Georgia"/>
          <w:sz w:val="24"/>
          <w:szCs w:val="24"/>
        </w:rPr>
        <w:t xml:space="preserve"> </w:t>
      </w:r>
    </w:p>
    <w:p w14:paraId="273291DD" w14:textId="04EADAD5" w:rsidR="006F457C" w:rsidRDefault="006516EA" w:rsidP="004F29F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plain reading of the statute </w:t>
      </w:r>
      <w:r w:rsidR="005423A6">
        <w:rPr>
          <w:rFonts w:ascii="Georgia" w:hAnsi="Georgia"/>
          <w:sz w:val="24"/>
          <w:szCs w:val="24"/>
        </w:rPr>
        <w:t>provides the Commission jurisdiction over CNG Holding’s proposed export terminal.</w:t>
      </w:r>
      <w:r w:rsidR="002E5E89">
        <w:rPr>
          <w:rFonts w:ascii="Georgia" w:hAnsi="Georgia"/>
          <w:sz w:val="24"/>
          <w:szCs w:val="24"/>
        </w:rPr>
        <w:t xml:space="preserve"> CNG Holding has made explicit in its application with the U.S. Department of Energy that its proposed facility in </w:t>
      </w:r>
      <w:r w:rsidR="008B62A5" w:rsidRPr="00914920">
        <w:rPr>
          <w:rFonts w:ascii="Georgia" w:hAnsi="Georgia"/>
          <w:sz w:val="24"/>
          <w:szCs w:val="24"/>
        </w:rPr>
        <w:t>Plaquemines</w:t>
      </w:r>
      <w:r w:rsidR="008B62A5">
        <w:rPr>
          <w:rFonts w:ascii="Georgia" w:hAnsi="Georgia"/>
          <w:sz w:val="24"/>
          <w:szCs w:val="24"/>
        </w:rPr>
        <w:t>, Louisiana</w:t>
      </w:r>
      <w:r w:rsidR="004F29FA">
        <w:rPr>
          <w:rFonts w:ascii="Georgia" w:hAnsi="Georgia"/>
          <w:sz w:val="24"/>
          <w:szCs w:val="24"/>
        </w:rPr>
        <w:t xml:space="preserve"> will export “</w:t>
      </w:r>
      <w:r w:rsidR="004F29FA" w:rsidRPr="004F29FA">
        <w:rPr>
          <w:rFonts w:ascii="Georgia" w:hAnsi="Georgia"/>
          <w:sz w:val="24"/>
          <w:szCs w:val="24"/>
        </w:rPr>
        <w:t>0.14 billion cubic feet of natural gas per day (or</w:t>
      </w:r>
      <w:r w:rsidR="004F29FA">
        <w:rPr>
          <w:rFonts w:ascii="Georgia" w:hAnsi="Georgia"/>
          <w:sz w:val="24"/>
          <w:szCs w:val="24"/>
        </w:rPr>
        <w:t xml:space="preserve"> </w:t>
      </w:r>
      <w:r w:rsidR="004F29FA" w:rsidRPr="004F29FA">
        <w:rPr>
          <w:rFonts w:ascii="Georgia" w:hAnsi="Georgia"/>
          <w:sz w:val="24"/>
          <w:szCs w:val="24"/>
        </w:rPr>
        <w:t>approximately 53.14 trillion Btu per annum</w:t>
      </w:r>
      <w:r w:rsidR="004F29FA">
        <w:rPr>
          <w:rFonts w:ascii="Georgia" w:hAnsi="Georgia"/>
          <w:sz w:val="24"/>
          <w:szCs w:val="24"/>
        </w:rPr>
        <w:t>).”</w:t>
      </w:r>
      <w:r w:rsidR="00AC3273">
        <w:rPr>
          <w:rStyle w:val="FootnoteReference"/>
          <w:rFonts w:ascii="Georgia" w:hAnsi="Georgia"/>
          <w:sz w:val="24"/>
          <w:szCs w:val="24"/>
        </w:rPr>
        <w:footnoteReference w:id="9"/>
      </w:r>
    </w:p>
    <w:p w14:paraId="3D182863" w14:textId="4EFA96A5" w:rsidR="00BD7EEF" w:rsidRDefault="00CA50C8" w:rsidP="00C5061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 jurisdiction over this proposed facility is essential, in part, because</w:t>
      </w:r>
      <w:r w:rsidR="005364DA">
        <w:rPr>
          <w:rFonts w:ascii="Georgia" w:hAnsi="Georgia"/>
          <w:sz w:val="24"/>
          <w:szCs w:val="24"/>
        </w:rPr>
        <w:t xml:space="preserve"> it may serve as the only comprehensive environmental and environmental justice review for the proposed export terminal.</w:t>
      </w:r>
    </w:p>
    <w:p w14:paraId="0D6A6A73" w14:textId="3A5B39FE" w:rsidR="00EB1A24" w:rsidRDefault="003A71D6" w:rsidP="00C5061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Prior Commission orders </w:t>
      </w:r>
      <w:r w:rsidR="00F55B05">
        <w:rPr>
          <w:rFonts w:ascii="Georgia" w:hAnsi="Georgia"/>
          <w:sz w:val="24"/>
          <w:szCs w:val="24"/>
        </w:rPr>
        <w:t xml:space="preserve">providing exemptive relief </w:t>
      </w:r>
      <w:r w:rsidR="00F30597">
        <w:rPr>
          <w:rFonts w:ascii="Georgia" w:hAnsi="Georgia"/>
          <w:sz w:val="24"/>
          <w:szCs w:val="24"/>
        </w:rPr>
        <w:t>do not appear to apply to the specific circumstances as described by</w:t>
      </w:r>
      <w:r w:rsidR="006D02B6">
        <w:rPr>
          <w:rFonts w:ascii="Georgia" w:hAnsi="Georgia"/>
          <w:sz w:val="24"/>
          <w:szCs w:val="24"/>
        </w:rPr>
        <w:t xml:space="preserve"> CNG Holding. CNG Holding’s proposed natural gas export terminal</w:t>
      </w:r>
      <w:r w:rsidR="00C650BD">
        <w:rPr>
          <w:rFonts w:ascii="Georgia" w:hAnsi="Georgia"/>
          <w:sz w:val="24"/>
          <w:szCs w:val="24"/>
        </w:rPr>
        <w:t xml:space="preserve"> is serviced via a Commission-jurisdictional interstate pipeline</w:t>
      </w:r>
      <w:r w:rsidR="00DB140C">
        <w:rPr>
          <w:rFonts w:ascii="Georgia" w:hAnsi="Georgia"/>
          <w:sz w:val="24"/>
          <w:szCs w:val="24"/>
        </w:rPr>
        <w:t>, and the compressed gas will be directly loaded and moved to marine vessels for export out of the United States.</w:t>
      </w:r>
    </w:p>
    <w:p w14:paraId="1805D1D1" w14:textId="07246DD9" w:rsidR="00B9797C" w:rsidRDefault="00472231" w:rsidP="00C5061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Regardless of whether </w:t>
      </w:r>
      <w:r w:rsidR="003D1D36">
        <w:rPr>
          <w:rFonts w:ascii="Georgia" w:hAnsi="Georgia"/>
          <w:sz w:val="24"/>
          <w:szCs w:val="24"/>
        </w:rPr>
        <w:t xml:space="preserve">any prior Commission orders granting exemptive relief could be construed to apply to CNG Holding, </w:t>
      </w:r>
      <w:r w:rsidR="00B21C03">
        <w:rPr>
          <w:rFonts w:ascii="Georgia" w:hAnsi="Georgia"/>
          <w:sz w:val="24"/>
          <w:szCs w:val="24"/>
        </w:rPr>
        <w:t xml:space="preserve">the </w:t>
      </w:r>
      <w:r w:rsidR="00F90002">
        <w:rPr>
          <w:rFonts w:ascii="Georgia" w:hAnsi="Georgia"/>
          <w:sz w:val="24"/>
          <w:szCs w:val="24"/>
        </w:rPr>
        <w:t>dramatic rise of natural gas exports is upending</w:t>
      </w:r>
      <w:r w:rsidR="003C6348">
        <w:rPr>
          <w:rFonts w:ascii="Georgia" w:hAnsi="Georgia"/>
          <w:sz w:val="24"/>
          <w:szCs w:val="24"/>
        </w:rPr>
        <w:t xml:space="preserve"> domestic energy markets, necessitating Commission scrutiny over</w:t>
      </w:r>
      <w:r w:rsidR="00334A7C">
        <w:rPr>
          <w:rFonts w:ascii="Georgia" w:hAnsi="Georgia"/>
          <w:sz w:val="24"/>
          <w:szCs w:val="24"/>
        </w:rPr>
        <w:t xml:space="preserve"> all relevant natural gas export </w:t>
      </w:r>
      <w:r w:rsidR="0041367C">
        <w:rPr>
          <w:rFonts w:ascii="Georgia" w:hAnsi="Georgia"/>
          <w:sz w:val="24"/>
          <w:szCs w:val="24"/>
        </w:rPr>
        <w:t>terminals</w:t>
      </w:r>
      <w:r w:rsidR="00334A7C">
        <w:rPr>
          <w:rFonts w:ascii="Georgia" w:hAnsi="Georgia"/>
          <w:sz w:val="24"/>
          <w:szCs w:val="24"/>
        </w:rPr>
        <w:t xml:space="preserve">. Whereas the United States was a marginal gas exporter prior to 2015, today </w:t>
      </w:r>
      <w:r w:rsidR="00E155B6">
        <w:rPr>
          <w:rFonts w:ascii="Georgia" w:hAnsi="Georgia"/>
          <w:sz w:val="24"/>
          <w:szCs w:val="24"/>
        </w:rPr>
        <w:t xml:space="preserve">we are the largest natural gas exporting nation in the world. </w:t>
      </w:r>
      <w:r w:rsidR="006C2FEF">
        <w:rPr>
          <w:rFonts w:ascii="Georgia" w:hAnsi="Georgia"/>
          <w:sz w:val="24"/>
          <w:szCs w:val="24"/>
        </w:rPr>
        <w:t>U.S. natural gas exports are now the third largest source of gas demand, behind only</w:t>
      </w:r>
      <w:r w:rsidR="009A45D6">
        <w:rPr>
          <w:rFonts w:ascii="Georgia" w:hAnsi="Georgia"/>
          <w:sz w:val="24"/>
          <w:szCs w:val="24"/>
        </w:rPr>
        <w:t xml:space="preserve"> </w:t>
      </w:r>
      <w:r w:rsidR="00674769">
        <w:rPr>
          <w:rFonts w:ascii="Georgia" w:hAnsi="Georgia"/>
          <w:sz w:val="24"/>
          <w:szCs w:val="24"/>
        </w:rPr>
        <w:lastRenderedPageBreak/>
        <w:t>domestic</w:t>
      </w:r>
      <w:r w:rsidR="006C2FEF">
        <w:rPr>
          <w:rFonts w:ascii="Georgia" w:hAnsi="Georgia"/>
          <w:sz w:val="24"/>
          <w:szCs w:val="24"/>
        </w:rPr>
        <w:t xml:space="preserve"> </w:t>
      </w:r>
      <w:r w:rsidR="00674769">
        <w:rPr>
          <w:rFonts w:ascii="Georgia" w:hAnsi="Georgia"/>
          <w:sz w:val="24"/>
          <w:szCs w:val="24"/>
        </w:rPr>
        <w:t xml:space="preserve">consumption for </w:t>
      </w:r>
      <w:r w:rsidR="006C2FEF">
        <w:rPr>
          <w:rFonts w:ascii="Georgia" w:hAnsi="Georgia"/>
          <w:sz w:val="24"/>
          <w:szCs w:val="24"/>
        </w:rPr>
        <w:t>electric power and industrial</w:t>
      </w:r>
      <w:r w:rsidR="006F40DD">
        <w:rPr>
          <w:rFonts w:ascii="Georgia" w:hAnsi="Georgia"/>
          <w:sz w:val="24"/>
          <w:szCs w:val="24"/>
        </w:rPr>
        <w:t xml:space="preserve"> consumers</w:t>
      </w:r>
      <w:r w:rsidR="009A45D6">
        <w:rPr>
          <w:rFonts w:ascii="Georgia" w:hAnsi="Georgia"/>
          <w:sz w:val="24"/>
          <w:szCs w:val="24"/>
        </w:rPr>
        <w:t>. More natural gas is exported out of the U.S. today than</w:t>
      </w:r>
      <w:r w:rsidR="009A45D6" w:rsidRPr="009A45D6">
        <w:rPr>
          <w:rFonts w:ascii="Georgia" w:hAnsi="Georgia"/>
          <w:sz w:val="24"/>
          <w:szCs w:val="24"/>
        </w:rPr>
        <w:t xml:space="preserve"> is consumed domestically for the residential, commercial and vehicle fuel sectors</w:t>
      </w:r>
      <w:r w:rsidR="004076BA">
        <w:rPr>
          <w:rFonts w:ascii="Georgia" w:hAnsi="Georgia"/>
          <w:sz w:val="24"/>
          <w:szCs w:val="24"/>
        </w:rPr>
        <w:t xml:space="preserve"> </w:t>
      </w:r>
      <w:r w:rsidR="004076BA" w:rsidRPr="004076BA">
        <w:rPr>
          <w:rFonts w:ascii="Georgia" w:hAnsi="Georgia"/>
          <w:sz w:val="24"/>
          <w:szCs w:val="24"/>
          <w:u w:val="single"/>
        </w:rPr>
        <w:t>combined</w:t>
      </w:r>
      <w:r w:rsidR="009A45D6" w:rsidRPr="009A45D6">
        <w:rPr>
          <w:rFonts w:ascii="Georgia" w:hAnsi="Georgia"/>
          <w:sz w:val="24"/>
          <w:szCs w:val="24"/>
        </w:rPr>
        <w:t>.</w:t>
      </w:r>
      <w:r w:rsidR="005A7DD2">
        <w:rPr>
          <w:rStyle w:val="FootnoteReference"/>
          <w:rFonts w:ascii="Georgia" w:hAnsi="Georgia"/>
          <w:sz w:val="24"/>
          <w:szCs w:val="24"/>
        </w:rPr>
        <w:footnoteReference w:id="10"/>
      </w:r>
      <w:r w:rsidR="009A45D6" w:rsidRPr="009A45D6">
        <w:rPr>
          <w:rFonts w:ascii="Georgia" w:hAnsi="Georgia"/>
          <w:sz w:val="24"/>
          <w:szCs w:val="24"/>
        </w:rPr>
        <w:t xml:space="preserve"> </w:t>
      </w:r>
      <w:r w:rsidR="006A0E5E">
        <w:rPr>
          <w:rFonts w:ascii="Georgia" w:hAnsi="Georgia"/>
          <w:sz w:val="24"/>
          <w:szCs w:val="24"/>
        </w:rPr>
        <w:t xml:space="preserve">The Commission’s October 2021 </w:t>
      </w:r>
      <w:r w:rsidR="000A33A1" w:rsidRPr="007E66A0">
        <w:rPr>
          <w:rFonts w:ascii="Georgia" w:hAnsi="Georgia"/>
          <w:i/>
          <w:iCs/>
          <w:sz w:val="24"/>
          <w:szCs w:val="24"/>
        </w:rPr>
        <w:t>Winter Energy Market and Reliability Assessment</w:t>
      </w:r>
      <w:r w:rsidR="000A33A1">
        <w:rPr>
          <w:rFonts w:ascii="Georgia" w:hAnsi="Georgia"/>
          <w:sz w:val="24"/>
          <w:szCs w:val="24"/>
        </w:rPr>
        <w:t xml:space="preserve"> explicitly links</w:t>
      </w:r>
      <w:r w:rsidR="007E66A0">
        <w:rPr>
          <w:rFonts w:ascii="Georgia" w:hAnsi="Georgia"/>
          <w:sz w:val="24"/>
          <w:szCs w:val="24"/>
        </w:rPr>
        <w:t xml:space="preserve"> </w:t>
      </w:r>
      <w:r w:rsidR="008B4898">
        <w:rPr>
          <w:rFonts w:ascii="Georgia" w:hAnsi="Georgia"/>
          <w:sz w:val="24"/>
          <w:szCs w:val="24"/>
        </w:rPr>
        <w:t xml:space="preserve">these </w:t>
      </w:r>
      <w:r w:rsidR="007E66A0">
        <w:rPr>
          <w:rFonts w:ascii="Georgia" w:hAnsi="Georgia"/>
          <w:sz w:val="24"/>
          <w:szCs w:val="24"/>
        </w:rPr>
        <w:t>record natural gas exports with higher domestic gas prices.</w:t>
      </w:r>
      <w:r w:rsidR="00BA40A5">
        <w:rPr>
          <w:rStyle w:val="FootnoteReference"/>
          <w:rFonts w:ascii="Georgia" w:hAnsi="Georgia"/>
          <w:sz w:val="24"/>
          <w:szCs w:val="24"/>
        </w:rPr>
        <w:footnoteReference w:id="11"/>
      </w:r>
    </w:p>
    <w:p w14:paraId="05E9B1FE" w14:textId="77777777" w:rsidR="00143398" w:rsidRDefault="00F63FD1" w:rsidP="00C5061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Commission must reject the petition, as exempting CNG Holding’s proposed export terminal</w:t>
      </w:r>
      <w:r w:rsidR="00902913">
        <w:rPr>
          <w:rFonts w:ascii="Georgia" w:hAnsi="Georgia"/>
          <w:sz w:val="24"/>
          <w:szCs w:val="24"/>
        </w:rPr>
        <w:t xml:space="preserve"> from Commission </w:t>
      </w:r>
      <w:r w:rsidR="00E64801">
        <w:rPr>
          <w:rFonts w:ascii="Georgia" w:hAnsi="Georgia"/>
          <w:sz w:val="24"/>
          <w:szCs w:val="24"/>
        </w:rPr>
        <w:t>jurisdiction</w:t>
      </w:r>
      <w:r>
        <w:rPr>
          <w:rFonts w:ascii="Georgia" w:hAnsi="Georgia"/>
          <w:sz w:val="24"/>
          <w:szCs w:val="24"/>
        </w:rPr>
        <w:t xml:space="preserve"> </w:t>
      </w:r>
      <w:r w:rsidR="00A415EF">
        <w:rPr>
          <w:rFonts w:ascii="Georgia" w:hAnsi="Georgia"/>
          <w:sz w:val="24"/>
          <w:szCs w:val="24"/>
        </w:rPr>
        <w:t xml:space="preserve">will deprive residents of </w:t>
      </w:r>
      <w:r w:rsidR="00A415EF" w:rsidRPr="004A7965">
        <w:rPr>
          <w:rFonts w:ascii="Georgia" w:hAnsi="Georgia"/>
          <w:sz w:val="24"/>
          <w:szCs w:val="24"/>
        </w:rPr>
        <w:t>Plaquemines, Louisiana</w:t>
      </w:r>
      <w:r w:rsidR="00A415EF">
        <w:rPr>
          <w:rFonts w:ascii="Georgia" w:hAnsi="Georgia"/>
          <w:sz w:val="24"/>
          <w:szCs w:val="24"/>
        </w:rPr>
        <w:t xml:space="preserve"> from protections</w:t>
      </w:r>
      <w:r w:rsidR="00FC29D6">
        <w:rPr>
          <w:rFonts w:ascii="Georgia" w:hAnsi="Georgia"/>
          <w:sz w:val="24"/>
          <w:szCs w:val="24"/>
        </w:rPr>
        <w:t xml:space="preserve"> afforded them</w:t>
      </w:r>
      <w:r w:rsidR="00A415EF">
        <w:rPr>
          <w:rFonts w:ascii="Georgia" w:hAnsi="Georgia"/>
          <w:sz w:val="24"/>
          <w:szCs w:val="24"/>
        </w:rPr>
        <w:t xml:space="preserve"> under the Natural Gas </w:t>
      </w:r>
      <w:proofErr w:type="gramStart"/>
      <w:r w:rsidR="00A415EF">
        <w:rPr>
          <w:rFonts w:ascii="Georgia" w:hAnsi="Georgia"/>
          <w:sz w:val="24"/>
          <w:szCs w:val="24"/>
        </w:rPr>
        <w:t>Act</w:t>
      </w:r>
      <w:r w:rsidR="00902913">
        <w:rPr>
          <w:rFonts w:ascii="Georgia" w:hAnsi="Georgia"/>
          <w:sz w:val="24"/>
          <w:szCs w:val="24"/>
        </w:rPr>
        <w:t>, and</w:t>
      </w:r>
      <w:proofErr w:type="gramEnd"/>
      <w:r w:rsidR="00902913">
        <w:rPr>
          <w:rFonts w:ascii="Georgia" w:hAnsi="Georgia"/>
          <w:sz w:val="24"/>
          <w:szCs w:val="24"/>
        </w:rPr>
        <w:t xml:space="preserve"> will likely encourage similar loophole-driven export terminal proposals</w:t>
      </w:r>
      <w:r w:rsidR="00143398">
        <w:rPr>
          <w:rFonts w:ascii="Georgia" w:hAnsi="Georgia"/>
          <w:sz w:val="24"/>
          <w:szCs w:val="24"/>
        </w:rPr>
        <w:t>.</w:t>
      </w:r>
    </w:p>
    <w:p w14:paraId="42DD4E97" w14:textId="77777777" w:rsidR="00143398" w:rsidRDefault="00143398" w:rsidP="00506676">
      <w:pPr>
        <w:ind w:firstLine="720"/>
        <w:rPr>
          <w:rFonts w:ascii="Georgia" w:hAnsi="Georgia"/>
          <w:sz w:val="24"/>
          <w:szCs w:val="24"/>
        </w:rPr>
      </w:pPr>
    </w:p>
    <w:p w14:paraId="3E48F0AB" w14:textId="77777777" w:rsidR="00506676" w:rsidRDefault="00506676" w:rsidP="00506676">
      <w:pPr>
        <w:rPr>
          <w:rFonts w:ascii="Georgia" w:hAnsi="Georgia"/>
          <w:sz w:val="24"/>
          <w:szCs w:val="24"/>
        </w:rPr>
      </w:pPr>
    </w:p>
    <w:p w14:paraId="176CF341" w14:textId="1CC4A05E" w:rsidR="00F63FD1" w:rsidRDefault="00143398" w:rsidP="00C23BDD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  <w:r w:rsidR="003C2C3B">
        <w:rPr>
          <w:rFonts w:ascii="Georgia" w:hAnsi="Georgia"/>
          <w:sz w:val="24"/>
          <w:szCs w:val="24"/>
        </w:rPr>
        <w:t xml:space="preserve"> </w:t>
      </w:r>
    </w:p>
    <w:p w14:paraId="4D6B9916" w14:textId="77777777" w:rsidR="00684BFC" w:rsidRDefault="00684BFC" w:rsidP="00506676">
      <w:pPr>
        <w:rPr>
          <w:rFonts w:ascii="Georgia" w:hAnsi="Georgia"/>
          <w:sz w:val="24"/>
          <w:szCs w:val="24"/>
        </w:rPr>
      </w:pPr>
    </w:p>
    <w:p w14:paraId="30950092" w14:textId="77777777" w:rsidR="00506676" w:rsidRDefault="00506676" w:rsidP="00506676">
      <w:pPr>
        <w:ind w:firstLine="720"/>
        <w:rPr>
          <w:rFonts w:ascii="Georgia" w:hAnsi="Georgia"/>
          <w:sz w:val="24"/>
          <w:szCs w:val="24"/>
        </w:rPr>
      </w:pPr>
    </w:p>
    <w:p w14:paraId="3FE74F24" w14:textId="378DB49C" w:rsidR="00506676" w:rsidRDefault="00506676" w:rsidP="005066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Tyson Slocum, Energy Program Director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C0317" w:rsidRPr="003C0317">
        <w:rPr>
          <w:rFonts w:ascii="Georgia" w:hAnsi="Georgia"/>
          <w:sz w:val="24"/>
          <w:szCs w:val="24"/>
        </w:rPr>
        <w:t>Anne Rolfes, Director</w:t>
      </w:r>
    </w:p>
    <w:p w14:paraId="5D17F247" w14:textId="365A2E03" w:rsidR="003C0317" w:rsidRDefault="003C0317" w:rsidP="005066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Citizen, Inc.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C1D00" w:rsidRPr="007C1D00">
        <w:rPr>
          <w:rFonts w:ascii="Georgia" w:hAnsi="Georgia"/>
          <w:sz w:val="24"/>
          <w:szCs w:val="24"/>
        </w:rPr>
        <w:t>Louisiana Bucket Brigade</w:t>
      </w:r>
    </w:p>
    <w:p w14:paraId="7B30D4B5" w14:textId="492E2EDB" w:rsidR="007C1D00" w:rsidRDefault="007C1D00" w:rsidP="005066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215 Pennsylvania Ave SE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C1D00">
        <w:rPr>
          <w:rFonts w:ascii="Georgia" w:hAnsi="Georgia"/>
          <w:sz w:val="24"/>
          <w:szCs w:val="24"/>
        </w:rPr>
        <w:t>3416 B Canal St</w:t>
      </w:r>
    </w:p>
    <w:p w14:paraId="1F3F4F65" w14:textId="39239259" w:rsidR="007C1D00" w:rsidRDefault="007C1D00" w:rsidP="005066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Washington, DC  20003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22010" w:rsidRPr="00122010">
        <w:rPr>
          <w:rFonts w:ascii="Georgia" w:hAnsi="Georgia"/>
          <w:sz w:val="24"/>
          <w:szCs w:val="24"/>
        </w:rPr>
        <w:t>New Orleans, LA 70119</w:t>
      </w:r>
    </w:p>
    <w:p w14:paraId="6218968E" w14:textId="322214C7" w:rsidR="00122010" w:rsidRDefault="00122010" w:rsidP="005066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 454-5191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22010">
        <w:rPr>
          <w:rFonts w:ascii="Georgia" w:hAnsi="Georgia"/>
          <w:sz w:val="24"/>
          <w:szCs w:val="24"/>
        </w:rPr>
        <w:t>(504) 484-3433</w:t>
      </w:r>
    </w:p>
    <w:p w14:paraId="56B9A219" w14:textId="53E91F95" w:rsidR="002B593B" w:rsidRPr="00332ABD" w:rsidRDefault="00773A61" w:rsidP="00506676">
      <w:pPr>
        <w:rPr>
          <w:rFonts w:ascii="Georgia" w:hAnsi="Georgia"/>
          <w:sz w:val="24"/>
          <w:szCs w:val="24"/>
        </w:rPr>
      </w:pPr>
      <w:hyperlink r:id="rId7" w:history="1">
        <w:r w:rsidR="002B593B" w:rsidRPr="00684BFC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tslocum@citizen.org</w:t>
        </w:r>
      </w:hyperlink>
      <w:r w:rsidR="002B593B">
        <w:rPr>
          <w:rFonts w:ascii="Georgia" w:hAnsi="Georgia"/>
          <w:sz w:val="24"/>
          <w:szCs w:val="24"/>
        </w:rPr>
        <w:tab/>
      </w:r>
      <w:r w:rsidR="002B593B">
        <w:rPr>
          <w:rFonts w:ascii="Georgia" w:hAnsi="Georgia"/>
          <w:sz w:val="24"/>
          <w:szCs w:val="24"/>
        </w:rPr>
        <w:tab/>
      </w:r>
      <w:r w:rsidR="002B593B">
        <w:rPr>
          <w:rFonts w:ascii="Georgia" w:hAnsi="Georgia"/>
          <w:sz w:val="24"/>
          <w:szCs w:val="24"/>
        </w:rPr>
        <w:tab/>
      </w:r>
      <w:r w:rsidR="002B593B">
        <w:rPr>
          <w:rFonts w:ascii="Georgia" w:hAnsi="Georgia"/>
          <w:sz w:val="24"/>
          <w:szCs w:val="24"/>
        </w:rPr>
        <w:tab/>
      </w:r>
      <w:r w:rsidR="002B593B">
        <w:rPr>
          <w:rFonts w:ascii="Georgia" w:hAnsi="Georgia"/>
          <w:sz w:val="24"/>
          <w:szCs w:val="24"/>
        </w:rPr>
        <w:tab/>
      </w:r>
      <w:r w:rsidR="00684BFC" w:rsidRPr="00684BFC">
        <w:rPr>
          <w:rFonts w:ascii="Georgia" w:hAnsi="Georgia"/>
          <w:sz w:val="24"/>
          <w:szCs w:val="24"/>
        </w:rPr>
        <w:t>anne@labucketbrigade.org</w:t>
      </w:r>
    </w:p>
    <w:sectPr w:rsidR="002B593B" w:rsidRPr="00332ABD" w:rsidSect="005E62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949C" w14:textId="77777777" w:rsidR="00773A61" w:rsidRDefault="00773A61" w:rsidP="00E821FC">
      <w:r>
        <w:separator/>
      </w:r>
    </w:p>
  </w:endnote>
  <w:endnote w:type="continuationSeparator" w:id="0">
    <w:p w14:paraId="2A496B80" w14:textId="77777777" w:rsidR="00773A61" w:rsidRDefault="00773A61" w:rsidP="00E8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1917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7F3C98" w14:textId="2B5D247D" w:rsidR="005E62F7" w:rsidRDefault="005E62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03BB9A" w14:textId="77777777" w:rsidR="005E62F7" w:rsidRDefault="005E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6393" w14:textId="77777777" w:rsidR="00773A61" w:rsidRDefault="00773A61" w:rsidP="00E821FC">
      <w:r>
        <w:separator/>
      </w:r>
    </w:p>
  </w:footnote>
  <w:footnote w:type="continuationSeparator" w:id="0">
    <w:p w14:paraId="3FEBB453" w14:textId="77777777" w:rsidR="00773A61" w:rsidRDefault="00773A61" w:rsidP="00E821FC">
      <w:r>
        <w:continuationSeparator/>
      </w:r>
    </w:p>
  </w:footnote>
  <w:footnote w:id="1">
    <w:p w14:paraId="22622973" w14:textId="11622E8A" w:rsidR="004F0889" w:rsidRDefault="004F0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4F7F" w:rsidRPr="00CD4F7F">
        <w:rPr>
          <w:rFonts w:ascii="Georgia" w:hAnsi="Georgia"/>
        </w:rPr>
        <w:t>https://labucketbrigade.org/</w:t>
      </w:r>
    </w:p>
  </w:footnote>
  <w:footnote w:id="2">
    <w:p w14:paraId="0C2BC4E0" w14:textId="77777777" w:rsidR="00E821FC" w:rsidRDefault="00E821FC" w:rsidP="00E821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2D96">
        <w:rPr>
          <w:rFonts w:ascii="Georgia" w:hAnsi="Georgia"/>
        </w:rPr>
        <w:t>www.citizen.org/about/annual-report/</w:t>
      </w:r>
    </w:p>
  </w:footnote>
  <w:footnote w:id="3">
    <w:p w14:paraId="2053CBE1" w14:textId="444AA6D4" w:rsidR="00260F44" w:rsidRDefault="00260F44" w:rsidP="00260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085B">
        <w:rPr>
          <w:rFonts w:ascii="Georgia" w:hAnsi="Georgia"/>
        </w:rPr>
        <w:t>CNG</w:t>
      </w:r>
      <w:r w:rsidR="0031047E">
        <w:rPr>
          <w:rFonts w:ascii="Georgia" w:hAnsi="Georgia"/>
        </w:rPr>
        <w:t xml:space="preserve"> Holding</w:t>
      </w:r>
      <w:r w:rsidRPr="0061085B">
        <w:rPr>
          <w:rFonts w:ascii="Georgia" w:hAnsi="Georgia"/>
        </w:rPr>
        <w:t xml:space="preserve"> </w:t>
      </w:r>
      <w:r w:rsidRPr="004E40FA">
        <w:rPr>
          <w:rFonts w:ascii="Georgia" w:hAnsi="Georgia"/>
          <w:i/>
          <w:iCs/>
        </w:rPr>
        <w:t>Petition</w:t>
      </w:r>
      <w:r w:rsidRPr="0061085B">
        <w:rPr>
          <w:rFonts w:ascii="Georgia" w:hAnsi="Georgia"/>
        </w:rPr>
        <w:t>. The petition has no page numbers.</w:t>
      </w:r>
    </w:p>
  </w:footnote>
  <w:footnote w:id="4">
    <w:p w14:paraId="7C2D7052" w14:textId="77777777" w:rsidR="00260F44" w:rsidRDefault="00260F44" w:rsidP="00260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487">
        <w:rPr>
          <w:rFonts w:ascii="Georgia" w:hAnsi="Georgia"/>
        </w:rPr>
        <w:t>FE Docket No. 22-13-CNG, February 11, 2022.</w:t>
      </w:r>
    </w:p>
  </w:footnote>
  <w:footnote w:id="5">
    <w:p w14:paraId="435B3F68" w14:textId="77777777" w:rsidR="00FF1DB6" w:rsidRDefault="00FF1DB6" w:rsidP="00FF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717b(a).</w:t>
      </w:r>
    </w:p>
  </w:footnote>
  <w:footnote w:id="6">
    <w:p w14:paraId="1E9C42AA" w14:textId="77777777" w:rsidR="00FF1DB6" w:rsidRDefault="00FF1DB6" w:rsidP="00FF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</w:t>
      </w:r>
      <w:proofErr w:type="gramStart"/>
      <w:r w:rsidRPr="007060D7">
        <w:rPr>
          <w:rFonts w:ascii="Georgia" w:hAnsi="Georgia"/>
        </w:rPr>
        <w:t>a(</w:t>
      </w:r>
      <w:proofErr w:type="gramEnd"/>
      <w:r w:rsidRPr="007060D7">
        <w:rPr>
          <w:rFonts w:ascii="Georgia" w:hAnsi="Georgia"/>
        </w:rPr>
        <w:t>11).</w:t>
      </w:r>
    </w:p>
  </w:footnote>
  <w:footnote w:id="7">
    <w:p w14:paraId="6BB62AFA" w14:textId="77777777" w:rsidR="00FF1DB6" w:rsidRDefault="00FF1DB6" w:rsidP="00FF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717b(e)(1).</w:t>
      </w:r>
    </w:p>
  </w:footnote>
  <w:footnote w:id="8">
    <w:p w14:paraId="469BB401" w14:textId="77777777" w:rsidR="00FF1DB6" w:rsidRDefault="00FF1DB6" w:rsidP="00FF1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717f(c)(1)(A).</w:t>
      </w:r>
    </w:p>
  </w:footnote>
  <w:footnote w:id="9">
    <w:p w14:paraId="3CE6653D" w14:textId="2FDFCC4B" w:rsidR="00AC3273" w:rsidRDefault="00AC32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7336">
        <w:rPr>
          <w:rFonts w:ascii="Georgia" w:hAnsi="Georgia"/>
        </w:rPr>
        <w:t>FE Docket No. 22-13-CNG, February 11, 2022.</w:t>
      </w:r>
    </w:p>
  </w:footnote>
  <w:footnote w:id="10">
    <w:p w14:paraId="5B9E0201" w14:textId="0434BF7C" w:rsidR="005A7DD2" w:rsidRDefault="005A7D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2988">
        <w:rPr>
          <w:rFonts w:ascii="Georgia" w:hAnsi="Georgia"/>
        </w:rPr>
        <w:t>www.eia.gov/naturalgas/</w:t>
      </w:r>
    </w:p>
  </w:footnote>
  <w:footnote w:id="11">
    <w:p w14:paraId="3D2AB782" w14:textId="6AA16CC5" w:rsidR="00BA40A5" w:rsidRDefault="00BA40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0A5">
        <w:rPr>
          <w:rFonts w:ascii="Georgia" w:hAnsi="Georgia"/>
        </w:rPr>
        <w:t>At page 11, www.ferc.gov/media/winter-energy-market-and-reliability-assessment-2021-2022-report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53A" w14:textId="5EE13998" w:rsidR="00665130" w:rsidRPr="00665130" w:rsidRDefault="00665130" w:rsidP="00665130">
    <w:pPr>
      <w:pStyle w:val="Header"/>
      <w:jc w:val="center"/>
      <w:rPr>
        <w:rFonts w:ascii="Georgia" w:hAnsi="Georgia"/>
        <w:i/>
        <w:iCs/>
      </w:rPr>
    </w:pPr>
    <w:r w:rsidRPr="00665130">
      <w:rPr>
        <w:rFonts w:ascii="Georgia" w:hAnsi="Georgia"/>
        <w:i/>
        <w:iCs/>
      </w:rPr>
      <w:t>Louisiana Bucket Brigade &amp; Public Citizen Joint Protest • Docket No. CP22-51 • March 14, 2022</w:t>
    </w:r>
  </w:p>
  <w:p w14:paraId="47D92E55" w14:textId="77777777" w:rsidR="00665130" w:rsidRDefault="00665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D5"/>
    <w:rsid w:val="00017E0F"/>
    <w:rsid w:val="00031642"/>
    <w:rsid w:val="00036132"/>
    <w:rsid w:val="00053718"/>
    <w:rsid w:val="00056C4C"/>
    <w:rsid w:val="000A33A1"/>
    <w:rsid w:val="000B0531"/>
    <w:rsid w:val="000E665A"/>
    <w:rsid w:val="000F0F72"/>
    <w:rsid w:val="000F4965"/>
    <w:rsid w:val="00101487"/>
    <w:rsid w:val="00122010"/>
    <w:rsid w:val="0013129F"/>
    <w:rsid w:val="00143398"/>
    <w:rsid w:val="0016598E"/>
    <w:rsid w:val="00173AF6"/>
    <w:rsid w:val="001D0B5C"/>
    <w:rsid w:val="001E019A"/>
    <w:rsid w:val="002032E4"/>
    <w:rsid w:val="00227336"/>
    <w:rsid w:val="00260F44"/>
    <w:rsid w:val="00285D3D"/>
    <w:rsid w:val="00295ED4"/>
    <w:rsid w:val="002B593B"/>
    <w:rsid w:val="002C34D5"/>
    <w:rsid w:val="002E5E89"/>
    <w:rsid w:val="0031047E"/>
    <w:rsid w:val="00327CF1"/>
    <w:rsid w:val="00332ABD"/>
    <w:rsid w:val="00334A7C"/>
    <w:rsid w:val="00351F8C"/>
    <w:rsid w:val="003700D2"/>
    <w:rsid w:val="00371AD0"/>
    <w:rsid w:val="003864E6"/>
    <w:rsid w:val="003A71D6"/>
    <w:rsid w:val="003C0317"/>
    <w:rsid w:val="003C2C3B"/>
    <w:rsid w:val="003C6348"/>
    <w:rsid w:val="003D14D4"/>
    <w:rsid w:val="003D1D36"/>
    <w:rsid w:val="003E4EB3"/>
    <w:rsid w:val="004076BA"/>
    <w:rsid w:val="0041367C"/>
    <w:rsid w:val="00441E8A"/>
    <w:rsid w:val="00453256"/>
    <w:rsid w:val="00472231"/>
    <w:rsid w:val="0048448D"/>
    <w:rsid w:val="004A7965"/>
    <w:rsid w:val="004E1FAE"/>
    <w:rsid w:val="004E22C8"/>
    <w:rsid w:val="004E40FA"/>
    <w:rsid w:val="004E4198"/>
    <w:rsid w:val="004F0889"/>
    <w:rsid w:val="004F29FA"/>
    <w:rsid w:val="00506676"/>
    <w:rsid w:val="00507B11"/>
    <w:rsid w:val="005364DA"/>
    <w:rsid w:val="0053796C"/>
    <w:rsid w:val="005423A6"/>
    <w:rsid w:val="00567CEF"/>
    <w:rsid w:val="0058590C"/>
    <w:rsid w:val="005A7DD2"/>
    <w:rsid w:val="005B4574"/>
    <w:rsid w:val="005C319D"/>
    <w:rsid w:val="005D24D9"/>
    <w:rsid w:val="005D728D"/>
    <w:rsid w:val="005E62F7"/>
    <w:rsid w:val="00604724"/>
    <w:rsid w:val="0061085B"/>
    <w:rsid w:val="006345D0"/>
    <w:rsid w:val="00636A07"/>
    <w:rsid w:val="00642C69"/>
    <w:rsid w:val="006443BB"/>
    <w:rsid w:val="006516EA"/>
    <w:rsid w:val="00662489"/>
    <w:rsid w:val="00665130"/>
    <w:rsid w:val="00674769"/>
    <w:rsid w:val="00684BFC"/>
    <w:rsid w:val="006A0E5E"/>
    <w:rsid w:val="006A4EDA"/>
    <w:rsid w:val="006C0F35"/>
    <w:rsid w:val="006C2FEF"/>
    <w:rsid w:val="006C3002"/>
    <w:rsid w:val="006D02B6"/>
    <w:rsid w:val="006D0A3D"/>
    <w:rsid w:val="006F40DD"/>
    <w:rsid w:val="006F457C"/>
    <w:rsid w:val="00712B37"/>
    <w:rsid w:val="00713061"/>
    <w:rsid w:val="007157DD"/>
    <w:rsid w:val="00720BCD"/>
    <w:rsid w:val="00753DD6"/>
    <w:rsid w:val="00773A61"/>
    <w:rsid w:val="007953E5"/>
    <w:rsid w:val="007A1FCE"/>
    <w:rsid w:val="007B71B8"/>
    <w:rsid w:val="007C1D00"/>
    <w:rsid w:val="007C78DD"/>
    <w:rsid w:val="007E66A0"/>
    <w:rsid w:val="007F3A73"/>
    <w:rsid w:val="00805D24"/>
    <w:rsid w:val="00844198"/>
    <w:rsid w:val="008679B4"/>
    <w:rsid w:val="00892988"/>
    <w:rsid w:val="00894781"/>
    <w:rsid w:val="008B2B24"/>
    <w:rsid w:val="008B4898"/>
    <w:rsid w:val="008B62A5"/>
    <w:rsid w:val="008D2F8C"/>
    <w:rsid w:val="00902913"/>
    <w:rsid w:val="00914920"/>
    <w:rsid w:val="0093055B"/>
    <w:rsid w:val="00990C7C"/>
    <w:rsid w:val="00996DA8"/>
    <w:rsid w:val="009A45D6"/>
    <w:rsid w:val="009C1636"/>
    <w:rsid w:val="009C2E82"/>
    <w:rsid w:val="009F61C7"/>
    <w:rsid w:val="00A3045C"/>
    <w:rsid w:val="00A415EF"/>
    <w:rsid w:val="00A82A7A"/>
    <w:rsid w:val="00AC3273"/>
    <w:rsid w:val="00AC4D4B"/>
    <w:rsid w:val="00AC6F5D"/>
    <w:rsid w:val="00B12231"/>
    <w:rsid w:val="00B15C9D"/>
    <w:rsid w:val="00B21C03"/>
    <w:rsid w:val="00B37343"/>
    <w:rsid w:val="00B40929"/>
    <w:rsid w:val="00B9797C"/>
    <w:rsid w:val="00BA40A5"/>
    <w:rsid w:val="00BB2EC9"/>
    <w:rsid w:val="00BD7EEF"/>
    <w:rsid w:val="00BE1451"/>
    <w:rsid w:val="00BF157D"/>
    <w:rsid w:val="00C23BDD"/>
    <w:rsid w:val="00C2577C"/>
    <w:rsid w:val="00C40398"/>
    <w:rsid w:val="00C412E8"/>
    <w:rsid w:val="00C42719"/>
    <w:rsid w:val="00C447A7"/>
    <w:rsid w:val="00C5061A"/>
    <w:rsid w:val="00C650BD"/>
    <w:rsid w:val="00CA50C8"/>
    <w:rsid w:val="00CC2403"/>
    <w:rsid w:val="00CC272B"/>
    <w:rsid w:val="00CD4F7F"/>
    <w:rsid w:val="00CE7FB2"/>
    <w:rsid w:val="00D1316F"/>
    <w:rsid w:val="00D559B7"/>
    <w:rsid w:val="00D90241"/>
    <w:rsid w:val="00D90BC7"/>
    <w:rsid w:val="00DB140C"/>
    <w:rsid w:val="00DC0B75"/>
    <w:rsid w:val="00E155B6"/>
    <w:rsid w:val="00E2330A"/>
    <w:rsid w:val="00E30A27"/>
    <w:rsid w:val="00E3305E"/>
    <w:rsid w:val="00E64801"/>
    <w:rsid w:val="00E66C4C"/>
    <w:rsid w:val="00E6785D"/>
    <w:rsid w:val="00E821FC"/>
    <w:rsid w:val="00E86E79"/>
    <w:rsid w:val="00E91B1D"/>
    <w:rsid w:val="00E92F38"/>
    <w:rsid w:val="00E94E4B"/>
    <w:rsid w:val="00EB1A24"/>
    <w:rsid w:val="00EC6682"/>
    <w:rsid w:val="00EF1296"/>
    <w:rsid w:val="00F30597"/>
    <w:rsid w:val="00F36B57"/>
    <w:rsid w:val="00F50F2D"/>
    <w:rsid w:val="00F55B05"/>
    <w:rsid w:val="00F63FD1"/>
    <w:rsid w:val="00F90002"/>
    <w:rsid w:val="00FC29D6"/>
    <w:rsid w:val="00FC4C75"/>
    <w:rsid w:val="00FF0958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791A"/>
  <w15:chartTrackingRefBased/>
  <w15:docId w15:val="{0DEF7518-E5DD-474F-8205-50B61AA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BC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1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1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1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F7"/>
  </w:style>
  <w:style w:type="paragraph" w:styleId="Footer">
    <w:name w:val="footer"/>
    <w:basedOn w:val="Normal"/>
    <w:link w:val="FooterChar"/>
    <w:uiPriority w:val="99"/>
    <w:unhideWhenUsed/>
    <w:rsid w:val="005E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3F20-A89F-4F6C-A77E-39FD9276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T. Slocum</dc:creator>
  <cp:keywords/>
  <dc:description/>
  <cp:lastModifiedBy>Tyson T. Slocum</cp:lastModifiedBy>
  <cp:revision>170</cp:revision>
  <dcterms:created xsi:type="dcterms:W3CDTF">2022-03-01T03:12:00Z</dcterms:created>
  <dcterms:modified xsi:type="dcterms:W3CDTF">2022-03-14T19:27:00Z</dcterms:modified>
</cp:coreProperties>
</file>