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2F87D" w14:textId="77777777" w:rsidR="00B75BD4" w:rsidRDefault="00B75BD4" w:rsidP="000B3B98">
      <w:pPr>
        <w:jc w:val="center"/>
      </w:pPr>
    </w:p>
    <w:p w14:paraId="04DA5DA5" w14:textId="298E1E0A" w:rsidR="004B529A" w:rsidRPr="00883B58" w:rsidRDefault="009439A6" w:rsidP="00150C37">
      <w:pPr>
        <w:jc w:val="center"/>
        <w:rPr>
          <w:rFonts w:ascii="Georgia" w:hAnsi="Georgia"/>
        </w:rPr>
      </w:pPr>
      <w:r w:rsidRPr="00883B58">
        <w:rPr>
          <w:rFonts w:ascii="Georgia" w:hAnsi="Georgia"/>
        </w:rPr>
        <w:t>March 2</w:t>
      </w:r>
      <w:r w:rsidR="00480F44" w:rsidRPr="00883B58">
        <w:rPr>
          <w:rFonts w:ascii="Georgia" w:hAnsi="Georgia"/>
        </w:rPr>
        <w:t>4</w:t>
      </w:r>
      <w:r w:rsidR="004B529A" w:rsidRPr="00883B58">
        <w:rPr>
          <w:rFonts w:ascii="Georgia" w:hAnsi="Georgia"/>
        </w:rPr>
        <w:t>, 202</w:t>
      </w:r>
      <w:r w:rsidRPr="00883B58">
        <w:rPr>
          <w:rFonts w:ascii="Georgia" w:hAnsi="Georgia"/>
        </w:rPr>
        <w:t>2</w:t>
      </w:r>
    </w:p>
    <w:p w14:paraId="53A29451" w14:textId="77777777" w:rsidR="00374063" w:rsidRPr="00883B58" w:rsidRDefault="00374063" w:rsidP="00374063">
      <w:pPr>
        <w:rPr>
          <w:rFonts w:ascii="Georgia" w:hAnsi="Georgia"/>
        </w:rPr>
      </w:pPr>
    </w:p>
    <w:p w14:paraId="728318E8" w14:textId="1F20B7AD" w:rsidR="001B484F" w:rsidRPr="00883B58" w:rsidRDefault="00374063" w:rsidP="00374063">
      <w:pPr>
        <w:rPr>
          <w:rFonts w:ascii="Georgia" w:hAnsi="Georgia"/>
        </w:rPr>
      </w:pPr>
      <w:r w:rsidRPr="00883B58">
        <w:rPr>
          <w:rFonts w:ascii="Georgia" w:hAnsi="Georgia"/>
        </w:rPr>
        <w:t>Chairman Rostin Behnam</w:t>
      </w:r>
    </w:p>
    <w:p w14:paraId="4ED08118" w14:textId="40FB39A6" w:rsidR="00670E0B" w:rsidRPr="00883B58" w:rsidRDefault="00670E0B" w:rsidP="00374063">
      <w:pPr>
        <w:rPr>
          <w:rFonts w:ascii="Georgia" w:hAnsi="Georgia"/>
        </w:rPr>
      </w:pPr>
      <w:r w:rsidRPr="00883B58">
        <w:rPr>
          <w:rFonts w:ascii="Georgia" w:hAnsi="Georgia"/>
        </w:rPr>
        <w:t>U.S. Commodity Futures Trading Commission</w:t>
      </w:r>
    </w:p>
    <w:p w14:paraId="1E678762" w14:textId="5122860D" w:rsidR="00670E0B" w:rsidRPr="00883B58" w:rsidRDefault="00670E0B" w:rsidP="00670E0B">
      <w:pPr>
        <w:rPr>
          <w:rFonts w:ascii="Georgia" w:hAnsi="Georgia"/>
        </w:rPr>
      </w:pPr>
      <w:r w:rsidRPr="00883B58">
        <w:rPr>
          <w:rFonts w:ascii="Georgia" w:hAnsi="Georgia"/>
        </w:rPr>
        <w:t>1155 21</w:t>
      </w:r>
      <w:r w:rsidRPr="00883B58">
        <w:rPr>
          <w:rFonts w:ascii="Georgia" w:hAnsi="Georgia"/>
          <w:vertAlign w:val="superscript"/>
        </w:rPr>
        <w:t>st</w:t>
      </w:r>
      <w:r w:rsidRPr="00883B58">
        <w:rPr>
          <w:rFonts w:ascii="Georgia" w:hAnsi="Georgia"/>
        </w:rPr>
        <w:t xml:space="preserve"> Street, NW</w:t>
      </w:r>
    </w:p>
    <w:p w14:paraId="57A05F6B" w14:textId="04C16AA2" w:rsidR="00670E0B" w:rsidRPr="00883B58" w:rsidRDefault="00670E0B" w:rsidP="00670E0B">
      <w:pPr>
        <w:rPr>
          <w:rFonts w:ascii="Georgia" w:hAnsi="Georgia"/>
        </w:rPr>
      </w:pPr>
      <w:r w:rsidRPr="00883B58">
        <w:rPr>
          <w:rFonts w:ascii="Georgia" w:hAnsi="Georgia"/>
        </w:rPr>
        <w:t>Washington, DC 20581</w:t>
      </w:r>
    </w:p>
    <w:p w14:paraId="2AF66C73" w14:textId="77777777" w:rsidR="00B75BD4" w:rsidRPr="00883B58" w:rsidRDefault="00B75BD4">
      <w:pPr>
        <w:rPr>
          <w:rFonts w:ascii="Georgia" w:hAnsi="Georgia"/>
        </w:rPr>
      </w:pPr>
    </w:p>
    <w:p w14:paraId="52B6DB7B" w14:textId="360A9D53" w:rsidR="00DB5079" w:rsidRPr="00883B58" w:rsidRDefault="00DB5079">
      <w:pPr>
        <w:rPr>
          <w:rFonts w:ascii="Georgia" w:hAnsi="Georgia"/>
        </w:rPr>
      </w:pPr>
      <w:r w:rsidRPr="00883B58">
        <w:rPr>
          <w:rFonts w:ascii="Georgia" w:hAnsi="Georgia"/>
        </w:rPr>
        <w:t>Dear Chairman Behnam,</w:t>
      </w:r>
    </w:p>
    <w:p w14:paraId="11441C6A" w14:textId="464A5E92" w:rsidR="00AF65D9" w:rsidRPr="00883B58" w:rsidRDefault="00925607" w:rsidP="00925607">
      <w:pPr>
        <w:tabs>
          <w:tab w:val="left" w:pos="7130"/>
        </w:tabs>
        <w:rPr>
          <w:rFonts w:ascii="Georgia" w:hAnsi="Georgia"/>
        </w:rPr>
      </w:pPr>
      <w:r>
        <w:rPr>
          <w:rFonts w:ascii="Georgia" w:hAnsi="Georgia"/>
        </w:rPr>
        <w:tab/>
      </w:r>
    </w:p>
    <w:p w14:paraId="6E0C6FE3" w14:textId="1885E382" w:rsidR="00AF65D9" w:rsidRPr="00883B58" w:rsidRDefault="00AF65D9" w:rsidP="007E6D0C">
      <w:pPr>
        <w:rPr>
          <w:rFonts w:ascii="Georgia" w:hAnsi="Georgia"/>
        </w:rPr>
      </w:pPr>
      <w:r w:rsidRPr="00883B58">
        <w:rPr>
          <w:rFonts w:ascii="Georgia" w:hAnsi="Georgia"/>
        </w:rPr>
        <w:t>Energy</w:t>
      </w:r>
      <w:r w:rsidR="00B5443A" w:rsidRPr="00883B58">
        <w:rPr>
          <w:rFonts w:ascii="Georgia" w:hAnsi="Georgia"/>
        </w:rPr>
        <w:t xml:space="preserve">, </w:t>
      </w:r>
      <w:r w:rsidRPr="00883B58">
        <w:rPr>
          <w:rFonts w:ascii="Georgia" w:hAnsi="Georgia"/>
        </w:rPr>
        <w:t>metal</w:t>
      </w:r>
      <w:r w:rsidR="00B5443A" w:rsidRPr="00883B58">
        <w:rPr>
          <w:rFonts w:ascii="Georgia" w:hAnsi="Georgia"/>
        </w:rPr>
        <w:t xml:space="preserve"> and agricultural</w:t>
      </w:r>
      <w:r w:rsidRPr="00883B58">
        <w:rPr>
          <w:rFonts w:ascii="Georgia" w:hAnsi="Georgia"/>
        </w:rPr>
        <w:t xml:space="preserve"> commodit</w:t>
      </w:r>
      <w:r w:rsidR="00B5443A" w:rsidRPr="00883B58">
        <w:rPr>
          <w:rFonts w:ascii="Georgia" w:hAnsi="Georgia"/>
        </w:rPr>
        <w:t>ies</w:t>
      </w:r>
      <w:r w:rsidRPr="00883B58">
        <w:rPr>
          <w:rFonts w:ascii="Georgia" w:hAnsi="Georgia"/>
        </w:rPr>
        <w:t xml:space="preserve"> are </w:t>
      </w:r>
      <w:r w:rsidR="00925607">
        <w:rPr>
          <w:rFonts w:ascii="Georgia" w:hAnsi="Georgia"/>
        </w:rPr>
        <w:t xml:space="preserve">once again </w:t>
      </w:r>
      <w:r w:rsidR="006E5C43" w:rsidRPr="00883B58">
        <w:rPr>
          <w:rFonts w:ascii="Georgia" w:hAnsi="Georgia"/>
        </w:rPr>
        <w:t>experiencing significant price and trading volatility</w:t>
      </w:r>
      <w:r w:rsidR="00925607">
        <w:rPr>
          <w:rFonts w:ascii="Georgia" w:hAnsi="Georgia"/>
        </w:rPr>
        <w:t xml:space="preserve">. </w:t>
      </w:r>
      <w:r w:rsidR="00670F9E" w:rsidRPr="00883B58">
        <w:rPr>
          <w:rFonts w:ascii="Georgia" w:hAnsi="Georgia"/>
        </w:rPr>
        <w:t xml:space="preserve"> </w:t>
      </w:r>
      <w:r w:rsidR="00925607">
        <w:rPr>
          <w:rFonts w:ascii="Georgia" w:hAnsi="Georgia"/>
        </w:rPr>
        <w:t xml:space="preserve">Wild price swings have stressed </w:t>
      </w:r>
      <w:r w:rsidR="00026621" w:rsidRPr="00883B58">
        <w:rPr>
          <w:rFonts w:ascii="Georgia" w:hAnsi="Georgia"/>
        </w:rPr>
        <w:t>our markets during an unprecedented</w:t>
      </w:r>
      <w:r w:rsidR="003A258D" w:rsidRPr="00883B58">
        <w:rPr>
          <w:rFonts w:ascii="Georgia" w:hAnsi="Georgia"/>
        </w:rPr>
        <w:t xml:space="preserve"> stretch of climate-induced severe weather</w:t>
      </w:r>
      <w:r w:rsidR="00F43946" w:rsidRPr="00883B58">
        <w:rPr>
          <w:rFonts w:ascii="Georgia" w:hAnsi="Georgia"/>
        </w:rPr>
        <w:t xml:space="preserve">, a global health </w:t>
      </w:r>
      <w:r w:rsidR="00756120" w:rsidRPr="00883B58">
        <w:rPr>
          <w:rFonts w:ascii="Georgia" w:hAnsi="Georgia"/>
        </w:rPr>
        <w:t>pandemic</w:t>
      </w:r>
      <w:r w:rsidR="00485EDE" w:rsidRPr="00883B58">
        <w:rPr>
          <w:rFonts w:ascii="Georgia" w:hAnsi="Georgia"/>
        </w:rPr>
        <w:t>,</w:t>
      </w:r>
      <w:r w:rsidR="003A258D" w:rsidRPr="00883B58">
        <w:rPr>
          <w:rFonts w:ascii="Georgia" w:hAnsi="Georgia"/>
        </w:rPr>
        <w:t xml:space="preserve"> and</w:t>
      </w:r>
      <w:r w:rsidR="00F43946" w:rsidRPr="00883B58">
        <w:rPr>
          <w:rFonts w:ascii="Georgia" w:hAnsi="Georgia"/>
        </w:rPr>
        <w:t xml:space="preserve"> war in Europe. We </w:t>
      </w:r>
      <w:r w:rsidR="00756120" w:rsidRPr="00883B58">
        <w:rPr>
          <w:rFonts w:ascii="Georgia" w:hAnsi="Georgia"/>
        </w:rPr>
        <w:t>value</w:t>
      </w:r>
      <w:r w:rsidR="00F43946" w:rsidRPr="00883B58">
        <w:rPr>
          <w:rFonts w:ascii="Georgia" w:hAnsi="Georgia"/>
        </w:rPr>
        <w:t xml:space="preserve"> your leadership and commend</w:t>
      </w:r>
      <w:r w:rsidR="00B5443A" w:rsidRPr="00883B58">
        <w:rPr>
          <w:rFonts w:ascii="Georgia" w:hAnsi="Georgia"/>
        </w:rPr>
        <w:t xml:space="preserve"> </w:t>
      </w:r>
      <w:r w:rsidR="004B0984" w:rsidRPr="00883B58">
        <w:rPr>
          <w:rFonts w:ascii="Georgia" w:hAnsi="Georgia"/>
        </w:rPr>
        <w:t>Commission staff</w:t>
      </w:r>
      <w:r w:rsidR="00456030" w:rsidRPr="00883B58">
        <w:rPr>
          <w:rFonts w:ascii="Georgia" w:hAnsi="Georgia"/>
        </w:rPr>
        <w:t xml:space="preserve"> </w:t>
      </w:r>
      <w:r w:rsidR="00C46937" w:rsidRPr="00883B58">
        <w:rPr>
          <w:rFonts w:ascii="Georgia" w:hAnsi="Georgia"/>
        </w:rPr>
        <w:t xml:space="preserve">for their </w:t>
      </w:r>
      <w:r w:rsidR="00456030" w:rsidRPr="00883B58">
        <w:rPr>
          <w:rFonts w:ascii="Georgia" w:hAnsi="Georgia"/>
        </w:rPr>
        <w:t>dedication</w:t>
      </w:r>
      <w:r w:rsidR="00C46937" w:rsidRPr="00883B58">
        <w:rPr>
          <w:rFonts w:ascii="Georgia" w:hAnsi="Georgia"/>
        </w:rPr>
        <w:t xml:space="preserve"> and perseverance </w:t>
      </w:r>
      <w:r w:rsidR="00456030" w:rsidRPr="00883B58">
        <w:rPr>
          <w:rFonts w:ascii="Georgia" w:hAnsi="Georgia"/>
        </w:rPr>
        <w:t>during these calamitous times.</w:t>
      </w:r>
    </w:p>
    <w:p w14:paraId="4C9AE7EF" w14:textId="77777777" w:rsidR="007E6D0C" w:rsidRPr="00883B58" w:rsidRDefault="007E6D0C" w:rsidP="007E6D0C">
      <w:pPr>
        <w:rPr>
          <w:rFonts w:ascii="Georgia" w:hAnsi="Georgia"/>
        </w:rPr>
      </w:pPr>
    </w:p>
    <w:p w14:paraId="0E63D804" w14:textId="63C7A5EA" w:rsidR="00835512" w:rsidRPr="00883B58" w:rsidRDefault="00925607" w:rsidP="007E6D0C">
      <w:pPr>
        <w:rPr>
          <w:rFonts w:ascii="Georgia" w:hAnsi="Georgia"/>
        </w:rPr>
      </w:pPr>
      <w:r>
        <w:rPr>
          <w:rFonts w:ascii="Georgia" w:hAnsi="Georgia"/>
        </w:rPr>
        <w:t>C</w:t>
      </w:r>
      <w:r w:rsidR="00DC024D" w:rsidRPr="00883B58">
        <w:rPr>
          <w:rFonts w:ascii="Georgia" w:hAnsi="Georgia"/>
        </w:rPr>
        <w:t xml:space="preserve">ommodity markets are </w:t>
      </w:r>
      <w:r w:rsidR="00754722" w:rsidRPr="00883B58">
        <w:rPr>
          <w:rFonts w:ascii="Georgia" w:hAnsi="Georgia"/>
        </w:rPr>
        <w:t>perceived</w:t>
      </w:r>
      <w:r w:rsidR="00DC024D" w:rsidRPr="00883B58">
        <w:rPr>
          <w:rFonts w:ascii="Georgia" w:hAnsi="Georgia"/>
        </w:rPr>
        <w:t xml:space="preserve"> to </w:t>
      </w:r>
      <w:r w:rsidR="00D861D3" w:rsidRPr="00883B58">
        <w:rPr>
          <w:rFonts w:ascii="Georgia" w:hAnsi="Georgia"/>
        </w:rPr>
        <w:t>maximize</w:t>
      </w:r>
      <w:r w:rsidR="00DC024D" w:rsidRPr="00883B58">
        <w:rPr>
          <w:rFonts w:ascii="Georgia" w:hAnsi="Georgia"/>
        </w:rPr>
        <w:t xml:space="preserve"> efficiencies </w:t>
      </w:r>
      <w:r w:rsidR="00D861D3" w:rsidRPr="00883B58">
        <w:rPr>
          <w:rFonts w:ascii="Georgia" w:hAnsi="Georgia"/>
        </w:rPr>
        <w:t>for</w:t>
      </w:r>
      <w:r w:rsidR="00DC024D" w:rsidRPr="00883B58">
        <w:rPr>
          <w:rFonts w:ascii="Georgia" w:hAnsi="Georgia"/>
        </w:rPr>
        <w:t xml:space="preserve"> price discovery</w:t>
      </w:r>
      <w:r>
        <w:rPr>
          <w:rFonts w:ascii="Georgia" w:hAnsi="Georgia"/>
        </w:rPr>
        <w:t xml:space="preserve">, </w:t>
      </w:r>
      <w:r w:rsidR="00333F7B" w:rsidRPr="00883B58">
        <w:rPr>
          <w:rFonts w:ascii="Georgia" w:hAnsi="Georgia"/>
        </w:rPr>
        <w:t>allow</w:t>
      </w:r>
      <w:r w:rsidR="00ED3CAD" w:rsidRPr="00883B58">
        <w:rPr>
          <w:rFonts w:ascii="Georgia" w:hAnsi="Georgia"/>
        </w:rPr>
        <w:t xml:space="preserve">ing </w:t>
      </w:r>
      <w:r w:rsidR="00D861D3" w:rsidRPr="00883B58">
        <w:rPr>
          <w:rFonts w:ascii="Georgia" w:hAnsi="Georgia"/>
        </w:rPr>
        <w:t>producers</w:t>
      </w:r>
      <w:r w:rsidR="009A3E3E" w:rsidRPr="00883B58">
        <w:rPr>
          <w:rFonts w:ascii="Georgia" w:hAnsi="Georgia"/>
        </w:rPr>
        <w:t xml:space="preserve"> </w:t>
      </w:r>
      <w:r w:rsidR="00333F7B" w:rsidRPr="00883B58">
        <w:rPr>
          <w:rFonts w:ascii="Georgia" w:hAnsi="Georgia"/>
        </w:rPr>
        <w:t>and end-users alike to hedge against price risk</w:t>
      </w:r>
      <w:r>
        <w:rPr>
          <w:rFonts w:ascii="Georgia" w:hAnsi="Georgia"/>
        </w:rPr>
        <w:t xml:space="preserve">. But </w:t>
      </w:r>
      <w:r w:rsidR="008D5424" w:rsidRPr="00883B58">
        <w:rPr>
          <w:rFonts w:ascii="Georgia" w:hAnsi="Georgia"/>
        </w:rPr>
        <w:t xml:space="preserve">reliance on </w:t>
      </w:r>
      <w:r w:rsidR="00F44430" w:rsidRPr="00883B58">
        <w:rPr>
          <w:rFonts w:ascii="Georgia" w:hAnsi="Georgia"/>
        </w:rPr>
        <w:t xml:space="preserve">these </w:t>
      </w:r>
      <w:r w:rsidR="008D5424" w:rsidRPr="00883B58">
        <w:rPr>
          <w:rFonts w:ascii="Georgia" w:hAnsi="Georgia"/>
        </w:rPr>
        <w:t xml:space="preserve">markets </w:t>
      </w:r>
      <w:r>
        <w:rPr>
          <w:rFonts w:ascii="Georgia" w:hAnsi="Georgia"/>
        </w:rPr>
        <w:t xml:space="preserve">during </w:t>
      </w:r>
      <w:r w:rsidR="008D5424" w:rsidRPr="00883B58">
        <w:rPr>
          <w:rFonts w:ascii="Georgia" w:hAnsi="Georgia"/>
        </w:rPr>
        <w:t>climate</w:t>
      </w:r>
      <w:r>
        <w:rPr>
          <w:rFonts w:ascii="Georgia" w:hAnsi="Georgia"/>
        </w:rPr>
        <w:t xml:space="preserve"> change</w:t>
      </w:r>
      <w:r w:rsidR="008D5424" w:rsidRPr="00883B58">
        <w:rPr>
          <w:rFonts w:ascii="Georgia" w:hAnsi="Georgia"/>
        </w:rPr>
        <w:t xml:space="preserve">-induced storms and war-related upheaval is </w:t>
      </w:r>
      <w:r w:rsidR="00374B51" w:rsidRPr="00883B58">
        <w:rPr>
          <w:rFonts w:ascii="Georgia" w:hAnsi="Georgia"/>
        </w:rPr>
        <w:t>testing limits on</w:t>
      </w:r>
      <w:r w:rsidR="008D5424" w:rsidRPr="00883B58">
        <w:rPr>
          <w:rFonts w:ascii="Georgia" w:hAnsi="Georgia"/>
        </w:rPr>
        <w:t xml:space="preserve"> eff</w:t>
      </w:r>
      <w:r w:rsidR="00374B51" w:rsidRPr="00883B58">
        <w:rPr>
          <w:rFonts w:ascii="Georgia" w:hAnsi="Georgia"/>
        </w:rPr>
        <w:t>ective</w:t>
      </w:r>
      <w:r w:rsidR="008D5424" w:rsidRPr="00883B58">
        <w:rPr>
          <w:rFonts w:ascii="Georgia" w:hAnsi="Georgia"/>
        </w:rPr>
        <w:t xml:space="preserve"> price formation.</w:t>
      </w:r>
      <w:r w:rsidR="007155B3" w:rsidRPr="00883B58">
        <w:rPr>
          <w:rFonts w:ascii="Georgia" w:hAnsi="Georgia"/>
        </w:rPr>
        <w:t xml:space="preserve"> It is difficult for markets</w:t>
      </w:r>
      <w:r w:rsidR="00374B51" w:rsidRPr="00883B58">
        <w:rPr>
          <w:rFonts w:ascii="Georgia" w:hAnsi="Georgia"/>
        </w:rPr>
        <w:t xml:space="preserve"> to work </w:t>
      </w:r>
      <w:r w:rsidR="004B555A" w:rsidRPr="00883B58">
        <w:rPr>
          <w:rFonts w:ascii="Georgia" w:hAnsi="Georgia"/>
        </w:rPr>
        <w:t>efficiently</w:t>
      </w:r>
      <w:r w:rsidR="00374B51" w:rsidRPr="00883B58">
        <w:rPr>
          <w:rFonts w:ascii="Georgia" w:hAnsi="Georgia"/>
        </w:rPr>
        <w:t xml:space="preserve"> when extreme events render market fundament</w:t>
      </w:r>
      <w:r w:rsidR="00A8018B" w:rsidRPr="00883B58">
        <w:rPr>
          <w:rFonts w:ascii="Georgia" w:hAnsi="Georgia"/>
        </w:rPr>
        <w:t>als dysfunctional.</w:t>
      </w:r>
      <w:r w:rsidR="007155B3" w:rsidRPr="00883B58">
        <w:rPr>
          <w:rFonts w:ascii="Georgia" w:hAnsi="Georgia"/>
        </w:rPr>
        <w:t xml:space="preserve"> </w:t>
      </w:r>
      <w:r w:rsidR="008D5424" w:rsidRPr="00883B58">
        <w:rPr>
          <w:rFonts w:ascii="Georgia" w:hAnsi="Georgia"/>
        </w:rPr>
        <w:t xml:space="preserve"> </w:t>
      </w:r>
    </w:p>
    <w:p w14:paraId="2909803A" w14:textId="77777777" w:rsidR="003013CF" w:rsidRPr="00883B58" w:rsidRDefault="003013CF" w:rsidP="003013CF">
      <w:pPr>
        <w:rPr>
          <w:rFonts w:ascii="Georgia" w:hAnsi="Georgia"/>
        </w:rPr>
      </w:pPr>
    </w:p>
    <w:p w14:paraId="782F38B1" w14:textId="5C40E500" w:rsidR="00F479EA" w:rsidRPr="00883B58" w:rsidRDefault="00925607" w:rsidP="003013CF">
      <w:pPr>
        <w:rPr>
          <w:rFonts w:ascii="Georgia" w:hAnsi="Georgia"/>
        </w:rPr>
      </w:pPr>
      <w:r>
        <w:rPr>
          <w:rFonts w:ascii="Georgia" w:hAnsi="Georgia"/>
        </w:rPr>
        <w:t xml:space="preserve">The past two years have seen an extraordinary surge in commodities market volatility. </w:t>
      </w:r>
      <w:r w:rsidR="00760074" w:rsidRPr="00883B58">
        <w:rPr>
          <w:rFonts w:ascii="Georgia" w:hAnsi="Georgia"/>
        </w:rPr>
        <w:t>From WTI oil</w:t>
      </w:r>
      <w:r w:rsidR="003013CF" w:rsidRPr="00883B58">
        <w:rPr>
          <w:rFonts w:ascii="Georgia" w:hAnsi="Georgia"/>
        </w:rPr>
        <w:t>’s</w:t>
      </w:r>
      <w:r w:rsidR="00760074" w:rsidRPr="00883B58">
        <w:rPr>
          <w:rFonts w:ascii="Georgia" w:hAnsi="Georgia"/>
        </w:rPr>
        <w:t xml:space="preserve"> April 2020 nosedive into negative territory</w:t>
      </w:r>
      <w:r w:rsidR="00171922" w:rsidRPr="00883B58">
        <w:rPr>
          <w:rFonts w:ascii="Georgia" w:hAnsi="Georgia"/>
        </w:rPr>
        <w:t xml:space="preserve"> </w:t>
      </w:r>
      <w:r w:rsidR="008B6E3D" w:rsidRPr="00883B58">
        <w:rPr>
          <w:rFonts w:ascii="Georgia" w:hAnsi="Georgia"/>
        </w:rPr>
        <w:t>after</w:t>
      </w:r>
      <w:r w:rsidR="00171922" w:rsidRPr="00883B58">
        <w:rPr>
          <w:rFonts w:ascii="Georgia" w:hAnsi="Georgia"/>
        </w:rPr>
        <w:t xml:space="preserve"> speculators panicked </w:t>
      </w:r>
      <w:r w:rsidR="005677A9" w:rsidRPr="00883B58">
        <w:rPr>
          <w:rFonts w:ascii="Georgia" w:hAnsi="Georgia"/>
        </w:rPr>
        <w:t xml:space="preserve">over </w:t>
      </w:r>
      <w:r w:rsidR="00B841C6" w:rsidRPr="00883B58">
        <w:rPr>
          <w:rFonts w:ascii="Georgia" w:hAnsi="Georgia"/>
        </w:rPr>
        <w:t xml:space="preserve">the possibility </w:t>
      </w:r>
      <w:r>
        <w:rPr>
          <w:rFonts w:ascii="Georgia" w:hAnsi="Georgia"/>
        </w:rPr>
        <w:t xml:space="preserve">that </w:t>
      </w:r>
      <w:r w:rsidR="00B841C6" w:rsidRPr="00883B58">
        <w:rPr>
          <w:rFonts w:ascii="Georgia" w:hAnsi="Georgia"/>
        </w:rPr>
        <w:t xml:space="preserve">counterparties </w:t>
      </w:r>
      <w:r w:rsidR="00865A08" w:rsidRPr="00883B58">
        <w:rPr>
          <w:rFonts w:ascii="Georgia" w:hAnsi="Georgia"/>
        </w:rPr>
        <w:t>c</w:t>
      </w:r>
      <w:r w:rsidR="00B841C6" w:rsidRPr="00883B58">
        <w:rPr>
          <w:rFonts w:ascii="Georgia" w:hAnsi="Georgia"/>
        </w:rPr>
        <w:t>ould demand physical delivery upon expiry</w:t>
      </w:r>
      <w:r>
        <w:rPr>
          <w:rFonts w:ascii="Georgia" w:hAnsi="Georgia"/>
        </w:rPr>
        <w:t xml:space="preserve"> to the early March spike above $120 per barrel </w:t>
      </w:r>
      <w:r w:rsidR="001E214E" w:rsidRPr="00883B58">
        <w:rPr>
          <w:rFonts w:ascii="Georgia" w:hAnsi="Georgia"/>
        </w:rPr>
        <w:t xml:space="preserve">to the </w:t>
      </w:r>
      <w:r w:rsidR="0085620F" w:rsidRPr="00883B58">
        <w:rPr>
          <w:rFonts w:ascii="Georgia" w:hAnsi="Georgia"/>
        </w:rPr>
        <w:t>collapse</w:t>
      </w:r>
      <w:r w:rsidR="001E214E" w:rsidRPr="00883B58">
        <w:rPr>
          <w:rFonts w:ascii="Georgia" w:hAnsi="Georgia"/>
        </w:rPr>
        <w:t xml:space="preserve"> of global nickel </w:t>
      </w:r>
      <w:r w:rsidR="00D65143" w:rsidRPr="00883B58">
        <w:rPr>
          <w:rFonts w:ascii="Georgia" w:hAnsi="Georgia"/>
        </w:rPr>
        <w:t>trading</w:t>
      </w:r>
      <w:r w:rsidR="00297F50" w:rsidRPr="00883B58">
        <w:rPr>
          <w:rFonts w:ascii="Georgia" w:hAnsi="Georgia"/>
        </w:rPr>
        <w:t>―</w:t>
      </w:r>
      <w:r w:rsidR="006701F4" w:rsidRPr="00883B58">
        <w:rPr>
          <w:rFonts w:ascii="Georgia" w:hAnsi="Georgia"/>
        </w:rPr>
        <w:t xml:space="preserve">extreme weather and </w:t>
      </w:r>
      <w:r w:rsidR="004B555A" w:rsidRPr="00883B58">
        <w:rPr>
          <w:rFonts w:ascii="Georgia" w:hAnsi="Georgia"/>
        </w:rPr>
        <w:t xml:space="preserve">other </w:t>
      </w:r>
      <w:r w:rsidR="006701F4" w:rsidRPr="00883B58">
        <w:rPr>
          <w:rFonts w:ascii="Georgia" w:hAnsi="Georgia"/>
        </w:rPr>
        <w:t>disruption</w:t>
      </w:r>
      <w:r w:rsidR="003F4DA3" w:rsidRPr="00883B58">
        <w:rPr>
          <w:rFonts w:ascii="Georgia" w:hAnsi="Georgia"/>
        </w:rPr>
        <w:t>s</w:t>
      </w:r>
      <w:r w:rsidR="006701F4" w:rsidRPr="00883B58">
        <w:rPr>
          <w:rFonts w:ascii="Georgia" w:hAnsi="Georgia"/>
        </w:rPr>
        <w:t xml:space="preserve"> are </w:t>
      </w:r>
      <w:r w:rsidR="003B157B" w:rsidRPr="00883B58">
        <w:rPr>
          <w:rFonts w:ascii="Georgia" w:hAnsi="Georgia"/>
        </w:rPr>
        <w:t>exposing flaws in market design and operations.</w:t>
      </w:r>
      <w:r w:rsidR="00DD1610" w:rsidRPr="00883B58">
        <w:rPr>
          <w:rFonts w:ascii="Georgia" w:hAnsi="Georgia"/>
        </w:rPr>
        <w:t xml:space="preserve"> The resulting high prices are driving</w:t>
      </w:r>
      <w:r w:rsidR="0001107A" w:rsidRPr="00883B58">
        <w:rPr>
          <w:rFonts w:ascii="Georgia" w:hAnsi="Georgia"/>
        </w:rPr>
        <w:t xml:space="preserve"> </w:t>
      </w:r>
      <w:r w:rsidR="00E47CEE" w:rsidRPr="00883B58">
        <w:rPr>
          <w:rFonts w:ascii="Georgia" w:hAnsi="Georgia"/>
        </w:rPr>
        <w:t xml:space="preserve">punishing inflation </w:t>
      </w:r>
      <w:r w:rsidR="00093898" w:rsidRPr="00883B58">
        <w:rPr>
          <w:rFonts w:ascii="Georgia" w:hAnsi="Georgia"/>
        </w:rPr>
        <w:t>harming</w:t>
      </w:r>
      <w:r w:rsidR="00E47CEE" w:rsidRPr="00883B58">
        <w:rPr>
          <w:rFonts w:ascii="Georgia" w:hAnsi="Georgia"/>
        </w:rPr>
        <w:t xml:space="preserve"> American families </w:t>
      </w:r>
      <w:r w:rsidR="005D47BE" w:rsidRPr="00883B58">
        <w:rPr>
          <w:rFonts w:ascii="Georgia" w:hAnsi="Georgia"/>
        </w:rPr>
        <w:t xml:space="preserve">and small businesses </w:t>
      </w:r>
      <w:r w:rsidR="00E47CEE" w:rsidRPr="00883B58">
        <w:rPr>
          <w:rFonts w:ascii="Georgia" w:hAnsi="Georgia"/>
        </w:rPr>
        <w:t>already suffering from</w:t>
      </w:r>
      <w:r w:rsidR="00B145FD" w:rsidRPr="00883B58">
        <w:rPr>
          <w:rFonts w:ascii="Georgia" w:hAnsi="Georgia"/>
        </w:rPr>
        <w:t xml:space="preserve"> economic hardship </w:t>
      </w:r>
      <w:r w:rsidR="00C84788" w:rsidRPr="00883B58">
        <w:rPr>
          <w:rFonts w:ascii="Georgia" w:hAnsi="Georgia"/>
        </w:rPr>
        <w:t>under the COVID</w:t>
      </w:r>
      <w:r w:rsidR="00B145FD" w:rsidRPr="00883B58">
        <w:rPr>
          <w:rFonts w:ascii="Georgia" w:hAnsi="Georgia"/>
        </w:rPr>
        <w:t xml:space="preserve"> pandemic.</w:t>
      </w:r>
      <w:r w:rsidR="00BA0FE6" w:rsidRPr="00883B58">
        <w:rPr>
          <w:rFonts w:ascii="Georgia" w:hAnsi="Georgia"/>
        </w:rPr>
        <w:t xml:space="preserve"> </w:t>
      </w:r>
    </w:p>
    <w:p w14:paraId="5535AA5B" w14:textId="77777777" w:rsidR="00F479EA" w:rsidRPr="00883B58" w:rsidRDefault="00F479EA" w:rsidP="007E6D0C">
      <w:pPr>
        <w:rPr>
          <w:rFonts w:ascii="Georgia" w:hAnsi="Georgia"/>
        </w:rPr>
      </w:pPr>
    </w:p>
    <w:p w14:paraId="36B71514" w14:textId="788C3A93" w:rsidR="009A3E3E" w:rsidRPr="00883B58" w:rsidRDefault="00A948CA" w:rsidP="007E6D0C">
      <w:pPr>
        <w:rPr>
          <w:rFonts w:ascii="Georgia" w:hAnsi="Georgia"/>
        </w:rPr>
      </w:pPr>
      <w:r w:rsidRPr="00883B58">
        <w:rPr>
          <w:rFonts w:ascii="Georgia" w:hAnsi="Georgia"/>
        </w:rPr>
        <w:t xml:space="preserve">We offer four </w:t>
      </w:r>
      <w:r w:rsidR="00F479EA" w:rsidRPr="00883B58">
        <w:rPr>
          <w:rFonts w:ascii="Georgia" w:hAnsi="Georgia"/>
        </w:rPr>
        <w:t>suggestions</w:t>
      </w:r>
      <w:r w:rsidRPr="00883B58">
        <w:rPr>
          <w:rFonts w:ascii="Georgia" w:hAnsi="Georgia"/>
        </w:rPr>
        <w:t xml:space="preserve"> </w:t>
      </w:r>
      <w:r w:rsidR="00652140" w:rsidRPr="00883B58">
        <w:rPr>
          <w:rFonts w:ascii="Georgia" w:hAnsi="Georgia"/>
        </w:rPr>
        <w:t xml:space="preserve">to address recent </w:t>
      </w:r>
      <w:r w:rsidR="002820E3" w:rsidRPr="00883B58">
        <w:rPr>
          <w:rFonts w:ascii="Georgia" w:hAnsi="Georgia"/>
        </w:rPr>
        <w:t>commodity</w:t>
      </w:r>
      <w:r w:rsidR="00652140" w:rsidRPr="00883B58">
        <w:rPr>
          <w:rFonts w:ascii="Georgia" w:hAnsi="Georgia"/>
        </w:rPr>
        <w:t xml:space="preserve"> market</w:t>
      </w:r>
      <w:r w:rsidR="00BE3903" w:rsidRPr="00883B58">
        <w:rPr>
          <w:rFonts w:ascii="Georgia" w:hAnsi="Georgia"/>
        </w:rPr>
        <w:t xml:space="preserve"> challenges</w:t>
      </w:r>
      <w:r w:rsidR="00652140" w:rsidRPr="00883B58">
        <w:rPr>
          <w:rFonts w:ascii="Georgia" w:hAnsi="Georgia"/>
        </w:rPr>
        <w:t>:</w:t>
      </w:r>
    </w:p>
    <w:p w14:paraId="1631D67D" w14:textId="77777777" w:rsidR="00652140" w:rsidRPr="00883B58" w:rsidRDefault="00652140" w:rsidP="007E6D0C">
      <w:pPr>
        <w:rPr>
          <w:rFonts w:ascii="Georgia" w:hAnsi="Georgia"/>
        </w:rPr>
      </w:pPr>
    </w:p>
    <w:p w14:paraId="058AC9EC" w14:textId="42D4EF6C" w:rsidR="00652140" w:rsidRPr="00883B58" w:rsidRDefault="00652140" w:rsidP="007E6D0C">
      <w:pPr>
        <w:rPr>
          <w:rFonts w:ascii="Georgia" w:hAnsi="Georgia"/>
        </w:rPr>
      </w:pPr>
      <w:r w:rsidRPr="00883B58">
        <w:rPr>
          <w:rFonts w:ascii="Georgia" w:hAnsi="Georgia"/>
          <w:b/>
          <w:bCs/>
          <w:u w:val="single"/>
        </w:rPr>
        <w:t>First</w:t>
      </w:r>
      <w:r w:rsidRPr="00883B58">
        <w:rPr>
          <w:rFonts w:ascii="Georgia" w:hAnsi="Georgia"/>
        </w:rPr>
        <w:t xml:space="preserve">, </w:t>
      </w:r>
      <w:r w:rsidR="0048737D" w:rsidRPr="00883B58">
        <w:rPr>
          <w:rFonts w:ascii="Georgia" w:hAnsi="Georgia"/>
        </w:rPr>
        <w:t xml:space="preserve">the Commission </w:t>
      </w:r>
      <w:r w:rsidR="00281157" w:rsidRPr="00883B58">
        <w:rPr>
          <w:rFonts w:ascii="Georgia" w:hAnsi="Georgia"/>
        </w:rPr>
        <w:t>must</w:t>
      </w:r>
      <w:r w:rsidR="0048737D" w:rsidRPr="00883B58">
        <w:rPr>
          <w:rFonts w:ascii="Georgia" w:hAnsi="Georgia"/>
        </w:rPr>
        <w:t xml:space="preserve"> </w:t>
      </w:r>
      <w:r w:rsidR="002421BD" w:rsidRPr="00883B58">
        <w:rPr>
          <w:rFonts w:ascii="Georgia" w:hAnsi="Georgia"/>
        </w:rPr>
        <w:t xml:space="preserve">unambiguously </w:t>
      </w:r>
      <w:r w:rsidR="0048737D" w:rsidRPr="00883B58">
        <w:rPr>
          <w:rFonts w:ascii="Georgia" w:hAnsi="Georgia"/>
        </w:rPr>
        <w:t xml:space="preserve">reject any bailout for commodity traders. </w:t>
      </w:r>
      <w:r w:rsidR="000F3D4A" w:rsidRPr="00883B58">
        <w:rPr>
          <w:rFonts w:ascii="Georgia" w:hAnsi="Georgia"/>
        </w:rPr>
        <w:t>Earlier</w:t>
      </w:r>
      <w:r w:rsidR="00BC5A8B" w:rsidRPr="00883B58">
        <w:rPr>
          <w:rFonts w:ascii="Georgia" w:hAnsi="Georgia"/>
        </w:rPr>
        <w:t xml:space="preserve"> this month</w:t>
      </w:r>
      <w:r w:rsidR="000F3D4A" w:rsidRPr="00883B58">
        <w:rPr>
          <w:rFonts w:ascii="Georgia" w:hAnsi="Georgia"/>
        </w:rPr>
        <w:t>,</w:t>
      </w:r>
      <w:r w:rsidR="00BC5A8B" w:rsidRPr="00883B58">
        <w:rPr>
          <w:rFonts w:ascii="Georgia" w:hAnsi="Georgia"/>
        </w:rPr>
        <w:t xml:space="preserve"> </w:t>
      </w:r>
      <w:r w:rsidR="000977DA" w:rsidRPr="00883B58">
        <w:rPr>
          <w:rFonts w:ascii="Georgia" w:hAnsi="Georgia"/>
        </w:rPr>
        <w:t xml:space="preserve">a </w:t>
      </w:r>
      <w:r w:rsidR="001A1384" w:rsidRPr="00883B58">
        <w:rPr>
          <w:rFonts w:ascii="Georgia" w:hAnsi="Georgia"/>
        </w:rPr>
        <w:t>lobbying group</w:t>
      </w:r>
      <w:r w:rsidR="000977DA" w:rsidRPr="00883B58">
        <w:rPr>
          <w:rFonts w:ascii="Georgia" w:hAnsi="Georgia"/>
        </w:rPr>
        <w:t xml:space="preserve"> representing some of the largest</w:t>
      </w:r>
      <w:r w:rsidR="001A1384" w:rsidRPr="00883B58">
        <w:rPr>
          <w:rFonts w:ascii="Georgia" w:hAnsi="Georgia"/>
        </w:rPr>
        <w:t xml:space="preserve"> traders</w:t>
      </w:r>
      <w:r w:rsidR="000977DA" w:rsidRPr="00883B58">
        <w:rPr>
          <w:rFonts w:ascii="Georgia" w:hAnsi="Georgia"/>
        </w:rPr>
        <w:t xml:space="preserve"> in U.S. markets―including BP, Shell, Vitol and Trafigura―wrote </w:t>
      </w:r>
      <w:r w:rsidR="00E17652" w:rsidRPr="00883B58">
        <w:rPr>
          <w:rFonts w:ascii="Georgia" w:hAnsi="Georgia"/>
        </w:rPr>
        <w:t>to European officials</w:t>
      </w:r>
      <w:r w:rsidR="000977DA" w:rsidRPr="00883B58">
        <w:rPr>
          <w:rFonts w:ascii="Georgia" w:hAnsi="Georgia"/>
        </w:rPr>
        <w:t xml:space="preserve"> </w:t>
      </w:r>
      <w:r w:rsidR="009561A3" w:rsidRPr="00883B58">
        <w:rPr>
          <w:rFonts w:ascii="Georgia" w:hAnsi="Georgia"/>
        </w:rPr>
        <w:t>demanding</w:t>
      </w:r>
      <w:r w:rsidR="004D3C11" w:rsidRPr="00883B58">
        <w:rPr>
          <w:rFonts w:ascii="Georgia" w:hAnsi="Georgia"/>
        </w:rPr>
        <w:t xml:space="preserve"> government </w:t>
      </w:r>
      <w:r w:rsidR="00E17652" w:rsidRPr="00883B58">
        <w:rPr>
          <w:rFonts w:ascii="Georgia" w:hAnsi="Georgia"/>
        </w:rPr>
        <w:t>financial intervention</w:t>
      </w:r>
      <w:r w:rsidR="000977DA" w:rsidRPr="00883B58">
        <w:rPr>
          <w:rFonts w:ascii="Georgia" w:hAnsi="Georgia"/>
        </w:rPr>
        <w:t>.</w:t>
      </w:r>
      <w:r w:rsidR="000D0C37" w:rsidRPr="00883B58">
        <w:rPr>
          <w:rStyle w:val="FootnoteReference"/>
          <w:rFonts w:ascii="Georgia" w:hAnsi="Georgia"/>
        </w:rPr>
        <w:footnoteReference w:id="1"/>
      </w:r>
      <w:r w:rsidR="000977DA" w:rsidRPr="00883B58">
        <w:rPr>
          <w:rFonts w:ascii="Georgia" w:hAnsi="Georgia"/>
        </w:rPr>
        <w:t xml:space="preserve"> </w:t>
      </w:r>
      <w:r w:rsidR="00E26AAD" w:rsidRPr="00883B58">
        <w:rPr>
          <w:rFonts w:ascii="Georgia" w:hAnsi="Georgia"/>
        </w:rPr>
        <w:t>The traders’ gripe is that</w:t>
      </w:r>
      <w:r w:rsidR="00A154A5" w:rsidRPr="00883B58">
        <w:rPr>
          <w:rFonts w:ascii="Georgia" w:hAnsi="Georgia"/>
        </w:rPr>
        <w:t xml:space="preserve"> </w:t>
      </w:r>
      <w:r w:rsidR="00B758BB" w:rsidRPr="00883B58">
        <w:rPr>
          <w:rFonts w:ascii="Georgia" w:hAnsi="Georgia"/>
        </w:rPr>
        <w:t xml:space="preserve">high and volatile </w:t>
      </w:r>
      <w:r w:rsidR="00F37852" w:rsidRPr="00883B58">
        <w:rPr>
          <w:rFonts w:ascii="Georgia" w:hAnsi="Georgia"/>
        </w:rPr>
        <w:t>commodity</w:t>
      </w:r>
      <w:r w:rsidR="00B758BB" w:rsidRPr="00883B58">
        <w:rPr>
          <w:rFonts w:ascii="Georgia" w:hAnsi="Georgia"/>
        </w:rPr>
        <w:t xml:space="preserve"> prices are triggering </w:t>
      </w:r>
      <w:r w:rsidR="000D0C37" w:rsidRPr="00883B58">
        <w:rPr>
          <w:rFonts w:ascii="Georgia" w:hAnsi="Georgia"/>
        </w:rPr>
        <w:t xml:space="preserve">significant margin calls, resulting in </w:t>
      </w:r>
      <w:r w:rsidR="00F37852" w:rsidRPr="00883B58">
        <w:rPr>
          <w:rFonts w:ascii="Georgia" w:hAnsi="Georgia"/>
        </w:rPr>
        <w:t>a cash liquidity crunch. But</w:t>
      </w:r>
      <w:r w:rsidR="00B56CDA" w:rsidRPr="00883B58">
        <w:rPr>
          <w:rFonts w:ascii="Georgia" w:hAnsi="Georgia"/>
        </w:rPr>
        <w:t xml:space="preserve"> this development is proof that regulations are working, as the margin requirements</w:t>
      </w:r>
      <w:r w:rsidR="007452B8" w:rsidRPr="00883B58">
        <w:rPr>
          <w:rFonts w:ascii="Georgia" w:hAnsi="Georgia"/>
        </w:rPr>
        <w:t xml:space="preserve"> </w:t>
      </w:r>
      <w:r w:rsidR="00AB0E8B" w:rsidRPr="00883B58">
        <w:rPr>
          <w:rFonts w:ascii="Georgia" w:hAnsi="Georgia"/>
        </w:rPr>
        <w:t>ensure the integrity of clearinghouses</w:t>
      </w:r>
      <w:r w:rsidR="001E296D" w:rsidRPr="00883B58">
        <w:rPr>
          <w:rFonts w:ascii="Georgia" w:hAnsi="Georgia"/>
        </w:rPr>
        <w:t>. Challenges wit</w:t>
      </w:r>
      <w:r w:rsidR="004257FF" w:rsidRPr="00883B58">
        <w:rPr>
          <w:rFonts w:ascii="Georgia" w:hAnsi="Georgia"/>
        </w:rPr>
        <w:t xml:space="preserve">h traders’ access to credit </w:t>
      </w:r>
      <w:r w:rsidR="005B30DA" w:rsidRPr="00883B58">
        <w:rPr>
          <w:rFonts w:ascii="Georgia" w:hAnsi="Georgia"/>
        </w:rPr>
        <w:t xml:space="preserve">due to margin </w:t>
      </w:r>
      <w:r w:rsidR="005B30DA" w:rsidRPr="00883B58">
        <w:rPr>
          <w:rFonts w:ascii="Georgia" w:hAnsi="Georgia"/>
        </w:rPr>
        <w:lastRenderedPageBreak/>
        <w:t xml:space="preserve">requirements </w:t>
      </w:r>
      <w:r w:rsidR="002D26F1" w:rsidRPr="00883B58">
        <w:rPr>
          <w:rFonts w:ascii="Georgia" w:hAnsi="Georgia"/>
        </w:rPr>
        <w:t>w</w:t>
      </w:r>
      <w:r w:rsidR="00774FAE">
        <w:rPr>
          <w:rFonts w:ascii="Georgia" w:hAnsi="Georgia"/>
        </w:rPr>
        <w:t>on’t</w:t>
      </w:r>
      <w:r w:rsidR="002D26F1" w:rsidRPr="00883B58">
        <w:rPr>
          <w:rFonts w:ascii="Georgia" w:hAnsi="Georgia"/>
        </w:rPr>
        <w:t xml:space="preserve"> result in </w:t>
      </w:r>
      <w:r w:rsidR="00FA3FFA" w:rsidRPr="00883B58">
        <w:rPr>
          <w:rFonts w:ascii="Georgia" w:hAnsi="Georgia"/>
        </w:rPr>
        <w:t>energy not being produced or delivered, but it will</w:t>
      </w:r>
      <w:r w:rsidR="005B30DA" w:rsidRPr="00883B58">
        <w:rPr>
          <w:rFonts w:ascii="Georgia" w:hAnsi="Georgia"/>
        </w:rPr>
        <w:t xml:space="preserve"> ensure the solvency of the market.</w:t>
      </w:r>
    </w:p>
    <w:p w14:paraId="7025222F" w14:textId="77777777" w:rsidR="00295D30" w:rsidRPr="00883B58" w:rsidRDefault="00295D30" w:rsidP="007E6D0C">
      <w:pPr>
        <w:rPr>
          <w:rFonts w:ascii="Georgia" w:hAnsi="Georgia"/>
        </w:rPr>
      </w:pPr>
    </w:p>
    <w:p w14:paraId="21F0189E" w14:textId="474F1A16" w:rsidR="00295D30" w:rsidRPr="00883B58" w:rsidRDefault="00295D30" w:rsidP="007E6D0C">
      <w:pPr>
        <w:rPr>
          <w:rFonts w:ascii="Georgia" w:hAnsi="Georgia"/>
        </w:rPr>
      </w:pPr>
      <w:r w:rsidRPr="00883B58">
        <w:rPr>
          <w:rFonts w:ascii="Georgia" w:hAnsi="Georgia"/>
          <w:b/>
          <w:bCs/>
          <w:u w:val="single"/>
        </w:rPr>
        <w:t>Second</w:t>
      </w:r>
      <w:r w:rsidRPr="00883B58">
        <w:rPr>
          <w:rFonts w:ascii="Georgia" w:hAnsi="Georgia"/>
        </w:rPr>
        <w:t xml:space="preserve">, </w:t>
      </w:r>
      <w:r w:rsidR="00DB334F" w:rsidRPr="00883B58">
        <w:rPr>
          <w:rFonts w:ascii="Georgia" w:hAnsi="Georgia"/>
        </w:rPr>
        <w:t xml:space="preserve">the Commission should </w:t>
      </w:r>
      <w:r w:rsidR="00F2050C" w:rsidRPr="00883B58">
        <w:rPr>
          <w:rFonts w:ascii="Georgia" w:hAnsi="Georgia"/>
        </w:rPr>
        <w:t>ensure that</w:t>
      </w:r>
      <w:r w:rsidR="00AB384E" w:rsidRPr="00883B58">
        <w:rPr>
          <w:rFonts w:ascii="Georgia" w:hAnsi="Georgia"/>
        </w:rPr>
        <w:t xml:space="preserve"> automated trading </w:t>
      </w:r>
      <w:r w:rsidR="0040174A" w:rsidRPr="00883B58">
        <w:rPr>
          <w:rFonts w:ascii="Georgia" w:hAnsi="Georgia"/>
        </w:rPr>
        <w:t>strategies are</w:t>
      </w:r>
      <w:r w:rsidR="008B5DC4" w:rsidRPr="00883B58">
        <w:rPr>
          <w:rFonts w:ascii="Georgia" w:hAnsi="Georgia"/>
        </w:rPr>
        <w:t xml:space="preserve"> not disrupting</w:t>
      </w:r>
      <w:r w:rsidR="00AB384E" w:rsidRPr="00883B58">
        <w:rPr>
          <w:rFonts w:ascii="Georgia" w:hAnsi="Georgia"/>
        </w:rPr>
        <w:t xml:space="preserve"> energy markets.</w:t>
      </w:r>
      <w:r w:rsidR="0040174A" w:rsidRPr="00883B58">
        <w:rPr>
          <w:rFonts w:ascii="Georgia" w:hAnsi="Georgia"/>
        </w:rPr>
        <w:t xml:space="preserve"> </w:t>
      </w:r>
      <w:r w:rsidR="006A5284" w:rsidRPr="00883B58">
        <w:rPr>
          <w:rFonts w:ascii="Georgia" w:hAnsi="Georgia"/>
        </w:rPr>
        <w:t>When the Commission last examined</w:t>
      </w:r>
      <w:r w:rsidR="00D67B70" w:rsidRPr="00883B58">
        <w:rPr>
          <w:rFonts w:ascii="Georgia" w:hAnsi="Georgia"/>
        </w:rPr>
        <w:t xml:space="preserve"> the issue three years ago, it determined that 80% of energy trades were being executed </w:t>
      </w:r>
      <w:r w:rsidR="00D1196B" w:rsidRPr="00883B58">
        <w:rPr>
          <w:rFonts w:ascii="Georgia" w:hAnsi="Georgia"/>
        </w:rPr>
        <w:t>through</w:t>
      </w:r>
      <w:r w:rsidR="00D67B70" w:rsidRPr="00883B58">
        <w:rPr>
          <w:rFonts w:ascii="Georgia" w:hAnsi="Georgia"/>
        </w:rPr>
        <w:t xml:space="preserve"> automat</w:t>
      </w:r>
      <w:r w:rsidR="00D1196B" w:rsidRPr="00883B58">
        <w:rPr>
          <w:rFonts w:ascii="Georgia" w:hAnsi="Georgia"/>
        </w:rPr>
        <w:t>ion</w:t>
      </w:r>
      <w:r w:rsidR="00830207" w:rsidRPr="00883B58">
        <w:rPr>
          <w:rFonts w:ascii="Georgia" w:hAnsi="Georgia"/>
        </w:rPr>
        <w:t>.</w:t>
      </w:r>
      <w:r w:rsidR="0098062D" w:rsidRPr="00883B58">
        <w:rPr>
          <w:rStyle w:val="FootnoteReference"/>
          <w:rFonts w:ascii="Georgia" w:hAnsi="Georgia"/>
        </w:rPr>
        <w:footnoteReference w:id="2"/>
      </w:r>
      <w:r w:rsidR="008B5DC4" w:rsidRPr="00883B58">
        <w:rPr>
          <w:rFonts w:ascii="Georgia" w:hAnsi="Georgia"/>
        </w:rPr>
        <w:t xml:space="preserve"> </w:t>
      </w:r>
      <w:r w:rsidR="001A69ED" w:rsidRPr="00883B58">
        <w:rPr>
          <w:rFonts w:ascii="Georgia" w:hAnsi="Georgia"/>
        </w:rPr>
        <w:t xml:space="preserve">It is </w:t>
      </w:r>
      <w:r w:rsidR="008B79E1" w:rsidRPr="00883B58">
        <w:rPr>
          <w:rFonts w:ascii="Georgia" w:hAnsi="Georgia"/>
        </w:rPr>
        <w:t xml:space="preserve">crucial </w:t>
      </w:r>
      <w:r w:rsidR="0093268D" w:rsidRPr="00883B58">
        <w:rPr>
          <w:rFonts w:ascii="Georgia" w:hAnsi="Georgia"/>
        </w:rPr>
        <w:t xml:space="preserve">for the Commission </w:t>
      </w:r>
      <w:r w:rsidR="00AE03D6" w:rsidRPr="00883B58">
        <w:rPr>
          <w:rFonts w:ascii="Georgia" w:hAnsi="Georgia"/>
        </w:rPr>
        <w:t>to determine the role automated trading has in contributing to excessive speculation.</w:t>
      </w:r>
      <w:r w:rsidR="00A50427" w:rsidRPr="00883B58">
        <w:rPr>
          <w:rStyle w:val="FootnoteReference"/>
          <w:rFonts w:ascii="Georgia" w:hAnsi="Georgia"/>
        </w:rPr>
        <w:footnoteReference w:id="3"/>
      </w:r>
      <w:r w:rsidR="00AB384E" w:rsidRPr="00883B58">
        <w:rPr>
          <w:rFonts w:ascii="Georgia" w:hAnsi="Georgia"/>
        </w:rPr>
        <w:t xml:space="preserve"> </w:t>
      </w:r>
    </w:p>
    <w:p w14:paraId="6DD7100B" w14:textId="77777777" w:rsidR="00903B97" w:rsidRPr="00883B58" w:rsidRDefault="00903B97" w:rsidP="007E6D0C">
      <w:pPr>
        <w:rPr>
          <w:rFonts w:ascii="Georgia" w:hAnsi="Georgia"/>
        </w:rPr>
      </w:pPr>
    </w:p>
    <w:p w14:paraId="10B09489" w14:textId="148C3653" w:rsidR="00903B97" w:rsidRPr="00883B58" w:rsidRDefault="00745659" w:rsidP="004A0673">
      <w:pPr>
        <w:rPr>
          <w:rFonts w:ascii="Georgia" w:hAnsi="Georgia"/>
        </w:rPr>
      </w:pPr>
      <w:r w:rsidRPr="00883B58">
        <w:rPr>
          <w:rFonts w:ascii="Georgia" w:hAnsi="Georgia"/>
          <w:b/>
          <w:bCs/>
          <w:u w:val="single"/>
        </w:rPr>
        <w:t>Th</w:t>
      </w:r>
      <w:r w:rsidR="00A50427" w:rsidRPr="00883B58">
        <w:rPr>
          <w:rFonts w:ascii="Georgia" w:hAnsi="Georgia"/>
          <w:b/>
          <w:bCs/>
          <w:u w:val="single"/>
        </w:rPr>
        <w:t>ird</w:t>
      </w:r>
      <w:r w:rsidR="00A50427" w:rsidRPr="00883B58">
        <w:rPr>
          <w:rFonts w:ascii="Georgia" w:hAnsi="Georgia"/>
        </w:rPr>
        <w:t xml:space="preserve">, </w:t>
      </w:r>
      <w:r w:rsidR="00925607">
        <w:rPr>
          <w:rFonts w:ascii="Georgia" w:hAnsi="Georgia"/>
        </w:rPr>
        <w:t>the Commission should produce</w:t>
      </w:r>
      <w:r w:rsidR="007D3424" w:rsidRPr="00883B58">
        <w:rPr>
          <w:rFonts w:ascii="Georgia" w:hAnsi="Georgia"/>
        </w:rPr>
        <w:t xml:space="preserve"> status report on whether </w:t>
      </w:r>
      <w:r w:rsidR="0093268D" w:rsidRPr="00883B58">
        <w:rPr>
          <w:rFonts w:ascii="Georgia" w:hAnsi="Georgia"/>
        </w:rPr>
        <w:t>recently</w:t>
      </w:r>
      <w:r w:rsidR="007D3424" w:rsidRPr="00883B58">
        <w:rPr>
          <w:rFonts w:ascii="Georgia" w:hAnsi="Georgia"/>
        </w:rPr>
        <w:t xml:space="preserve">-enacted position limits </w:t>
      </w:r>
      <w:r w:rsidR="0093268D" w:rsidRPr="00883B58">
        <w:rPr>
          <w:rFonts w:ascii="Georgia" w:hAnsi="Georgia"/>
        </w:rPr>
        <w:t>require</w:t>
      </w:r>
      <w:r w:rsidR="007D3424" w:rsidRPr="00883B58">
        <w:rPr>
          <w:rFonts w:ascii="Georgia" w:hAnsi="Georgia"/>
        </w:rPr>
        <w:t xml:space="preserve"> strengthen</w:t>
      </w:r>
      <w:r w:rsidR="0093268D" w:rsidRPr="00883B58">
        <w:rPr>
          <w:rFonts w:ascii="Georgia" w:hAnsi="Georgia"/>
        </w:rPr>
        <w:t>ing</w:t>
      </w:r>
      <w:r w:rsidR="008B3A1F" w:rsidRPr="00883B58">
        <w:rPr>
          <w:rFonts w:ascii="Georgia" w:hAnsi="Georgia"/>
        </w:rPr>
        <w:t>.</w:t>
      </w:r>
      <w:r w:rsidRPr="00883B58">
        <w:rPr>
          <w:rFonts w:ascii="Georgia" w:hAnsi="Georgia"/>
        </w:rPr>
        <w:t xml:space="preserve"> </w:t>
      </w:r>
      <w:r w:rsidR="000C7774" w:rsidRPr="00883B58">
        <w:rPr>
          <w:rFonts w:ascii="Georgia" w:hAnsi="Georgia"/>
        </w:rPr>
        <w:t>Nearly a decade after Congress ord</w:t>
      </w:r>
      <w:r w:rsidR="004A0673" w:rsidRPr="00883B58">
        <w:rPr>
          <w:rFonts w:ascii="Georgia" w:hAnsi="Georgia"/>
        </w:rPr>
        <w:t>ered the establish</w:t>
      </w:r>
      <w:r w:rsidR="00D72694" w:rsidRPr="00883B58">
        <w:rPr>
          <w:rFonts w:ascii="Georgia" w:hAnsi="Georgia"/>
        </w:rPr>
        <w:t>ment of</w:t>
      </w:r>
      <w:r w:rsidR="004A0673" w:rsidRPr="00883B58">
        <w:rPr>
          <w:rFonts w:ascii="Georgia" w:hAnsi="Georgia"/>
        </w:rPr>
        <w:t xml:space="preserve"> position limits to “prevent excessive speculation” </w:t>
      </w:r>
      <w:r w:rsidR="004339C7" w:rsidRPr="00883B58">
        <w:rPr>
          <w:rFonts w:ascii="Georgia" w:hAnsi="Georgia"/>
        </w:rPr>
        <w:t xml:space="preserve">in </w:t>
      </w:r>
      <w:r w:rsidR="00D7196F" w:rsidRPr="00883B58">
        <w:rPr>
          <w:rFonts w:ascii="Georgia" w:hAnsi="Georgia"/>
        </w:rPr>
        <w:t>commodity</w:t>
      </w:r>
      <w:r w:rsidR="004339C7" w:rsidRPr="00883B58">
        <w:rPr>
          <w:rFonts w:ascii="Georgia" w:hAnsi="Georgia"/>
        </w:rPr>
        <w:t xml:space="preserve"> markets,</w:t>
      </w:r>
      <w:r w:rsidR="00D72694" w:rsidRPr="00883B58">
        <w:rPr>
          <w:rStyle w:val="FootnoteReference"/>
          <w:rFonts w:ascii="Georgia" w:hAnsi="Georgia"/>
        </w:rPr>
        <w:footnoteReference w:id="4"/>
      </w:r>
      <w:r w:rsidR="004A0673" w:rsidRPr="00883B58">
        <w:rPr>
          <w:rFonts w:ascii="Georgia" w:hAnsi="Georgia"/>
        </w:rPr>
        <w:t xml:space="preserve"> </w:t>
      </w:r>
      <w:r w:rsidR="00C24288" w:rsidRPr="00883B58">
        <w:rPr>
          <w:rFonts w:ascii="Georgia" w:hAnsi="Georgia"/>
        </w:rPr>
        <w:t xml:space="preserve">the </w:t>
      </w:r>
      <w:r w:rsidR="008F124B" w:rsidRPr="00883B58">
        <w:rPr>
          <w:rFonts w:ascii="Georgia" w:hAnsi="Georgia"/>
        </w:rPr>
        <w:t>Commission</w:t>
      </w:r>
      <w:r w:rsidR="00C24288" w:rsidRPr="00883B58">
        <w:rPr>
          <w:rFonts w:ascii="Georgia" w:hAnsi="Georgia"/>
        </w:rPr>
        <w:t xml:space="preserve"> finalized the rule in October 2020</w:t>
      </w:r>
      <w:r w:rsidR="00504648" w:rsidRPr="00883B58">
        <w:rPr>
          <w:rFonts w:ascii="Georgia" w:hAnsi="Georgia"/>
        </w:rPr>
        <w:t xml:space="preserve">―over the </w:t>
      </w:r>
      <w:r w:rsidR="002836F3" w:rsidRPr="00883B58">
        <w:rPr>
          <w:rFonts w:ascii="Georgia" w:hAnsi="Georgia"/>
        </w:rPr>
        <w:t>admirable and articulate dissent of now-Chairman Behnam</w:t>
      </w:r>
      <w:r w:rsidR="006A256F" w:rsidRPr="00883B58">
        <w:rPr>
          <w:rFonts w:ascii="Georgia" w:hAnsi="Georgia"/>
        </w:rPr>
        <w:t xml:space="preserve"> for the rule’s failure to be strong enough</w:t>
      </w:r>
      <w:r w:rsidR="00C24288" w:rsidRPr="00883B58">
        <w:rPr>
          <w:rFonts w:ascii="Georgia" w:hAnsi="Georgia"/>
        </w:rPr>
        <w:t>.</w:t>
      </w:r>
      <w:r w:rsidR="002836F3" w:rsidRPr="00883B58">
        <w:rPr>
          <w:rStyle w:val="FootnoteReference"/>
          <w:rFonts w:ascii="Georgia" w:hAnsi="Georgia"/>
        </w:rPr>
        <w:footnoteReference w:id="5"/>
      </w:r>
      <w:r w:rsidR="00C24288" w:rsidRPr="00883B58">
        <w:rPr>
          <w:rFonts w:ascii="Georgia" w:hAnsi="Georgia"/>
        </w:rPr>
        <w:t xml:space="preserve"> </w:t>
      </w:r>
      <w:r w:rsidR="00A6198F" w:rsidRPr="00883B58">
        <w:rPr>
          <w:rFonts w:ascii="Georgia" w:hAnsi="Georgia"/>
        </w:rPr>
        <w:t>The finalized rule has resulted in exchanges implementing aspects of the</w:t>
      </w:r>
      <w:r w:rsidR="00154CE9" w:rsidRPr="00883B58">
        <w:rPr>
          <w:rFonts w:ascii="Georgia" w:hAnsi="Georgia"/>
        </w:rPr>
        <w:t xml:space="preserve"> limits prior to the initial, formal phase in beginning in January 2022. </w:t>
      </w:r>
      <w:r w:rsidR="00E553BA" w:rsidRPr="00883B58">
        <w:rPr>
          <w:rFonts w:ascii="Georgia" w:hAnsi="Georgia"/>
        </w:rPr>
        <w:t xml:space="preserve">Section 719(a) </w:t>
      </w:r>
      <w:r w:rsidR="003E5162" w:rsidRPr="00883B58">
        <w:rPr>
          <w:rFonts w:ascii="Georgia" w:hAnsi="Georgia"/>
        </w:rPr>
        <w:t xml:space="preserve">Dodd-Frank requires a </w:t>
      </w:r>
      <w:r w:rsidR="002665A1" w:rsidRPr="00883B58">
        <w:rPr>
          <w:rFonts w:ascii="Georgia" w:hAnsi="Georgia"/>
        </w:rPr>
        <w:t xml:space="preserve">study on the effects of implemented </w:t>
      </w:r>
      <w:r w:rsidR="003E5162" w:rsidRPr="00883B58">
        <w:rPr>
          <w:rFonts w:ascii="Georgia" w:hAnsi="Georgia"/>
        </w:rPr>
        <w:t>position limits</w:t>
      </w:r>
      <w:r w:rsidR="002665A1" w:rsidRPr="00883B58">
        <w:rPr>
          <w:rFonts w:ascii="Georgia" w:hAnsi="Georgia"/>
        </w:rPr>
        <w:t>, which is essential to determine</w:t>
      </w:r>
      <w:r w:rsidR="00CF5A42" w:rsidRPr="00883B58">
        <w:rPr>
          <w:rFonts w:ascii="Georgia" w:hAnsi="Georgia"/>
        </w:rPr>
        <w:t xml:space="preserve"> whether the limits need strengthening, in light of evidence of excessive speculation in today’s commodity turmoil.</w:t>
      </w:r>
    </w:p>
    <w:p w14:paraId="670B0ED0" w14:textId="77777777" w:rsidR="00CF5A42" w:rsidRPr="00883B58" w:rsidRDefault="00CF5A42" w:rsidP="004A0673">
      <w:pPr>
        <w:rPr>
          <w:rFonts w:ascii="Georgia" w:hAnsi="Georgia"/>
        </w:rPr>
      </w:pPr>
    </w:p>
    <w:p w14:paraId="61BD2AC8" w14:textId="7BB689C1" w:rsidR="00C179E0" w:rsidRPr="00883B58" w:rsidRDefault="00CF5A42" w:rsidP="004A0673">
      <w:pPr>
        <w:rPr>
          <w:rFonts w:ascii="Georgia" w:hAnsi="Georgia"/>
        </w:rPr>
      </w:pPr>
      <w:r w:rsidRPr="00883B58">
        <w:rPr>
          <w:rFonts w:ascii="Georgia" w:hAnsi="Georgia"/>
          <w:b/>
          <w:bCs/>
          <w:u w:val="single"/>
        </w:rPr>
        <w:t>Fourth</w:t>
      </w:r>
      <w:r w:rsidRPr="00883B58">
        <w:rPr>
          <w:rFonts w:ascii="Georgia" w:hAnsi="Georgia"/>
        </w:rPr>
        <w:t xml:space="preserve">, </w:t>
      </w:r>
      <w:r w:rsidR="000D48FF" w:rsidRPr="00883B58">
        <w:rPr>
          <w:rFonts w:ascii="Georgia" w:hAnsi="Georgia"/>
        </w:rPr>
        <w:t>enhanced public data reporting in the Commission’s Commitment of Traders reports</w:t>
      </w:r>
      <w:r w:rsidR="00223C4C" w:rsidRPr="00883B58">
        <w:rPr>
          <w:rFonts w:ascii="Georgia" w:hAnsi="Georgia"/>
        </w:rPr>
        <w:t xml:space="preserve"> is necessary to ensure fully transparent, competitive markets</w:t>
      </w:r>
      <w:r w:rsidR="000D48FF" w:rsidRPr="00883B58">
        <w:rPr>
          <w:rFonts w:ascii="Georgia" w:hAnsi="Georgia"/>
        </w:rPr>
        <w:t>.</w:t>
      </w:r>
      <w:r w:rsidR="00EF188D" w:rsidRPr="00883B58">
        <w:rPr>
          <w:rStyle w:val="FootnoteReference"/>
          <w:rFonts w:ascii="Georgia" w:hAnsi="Georgia"/>
        </w:rPr>
        <w:footnoteReference w:id="6"/>
      </w:r>
      <w:r w:rsidR="00516623" w:rsidRPr="00883B58">
        <w:rPr>
          <w:rFonts w:ascii="Georgia" w:hAnsi="Georgia"/>
        </w:rPr>
        <w:t xml:space="preserve"> </w:t>
      </w:r>
      <w:r w:rsidR="00784DCF" w:rsidRPr="00883B58">
        <w:rPr>
          <w:rFonts w:ascii="Georgia" w:hAnsi="Georgia"/>
        </w:rPr>
        <w:t>Bolstering the level of trader-level detail</w:t>
      </w:r>
      <w:r w:rsidR="005D0AE9" w:rsidRPr="00883B58">
        <w:rPr>
          <w:rFonts w:ascii="Georgia" w:hAnsi="Georgia"/>
        </w:rPr>
        <w:t xml:space="preserve"> and</w:t>
      </w:r>
      <w:r w:rsidR="00717806" w:rsidRPr="00883B58">
        <w:rPr>
          <w:rFonts w:ascii="Georgia" w:hAnsi="Georgia"/>
        </w:rPr>
        <w:t xml:space="preserve"> augmenting price </w:t>
      </w:r>
      <w:r w:rsidR="00223C4C" w:rsidRPr="00883B58">
        <w:rPr>
          <w:rFonts w:ascii="Georgia" w:hAnsi="Georgia"/>
        </w:rPr>
        <w:t xml:space="preserve">reporting </w:t>
      </w:r>
      <w:r w:rsidR="002D2B9B" w:rsidRPr="00883B58">
        <w:rPr>
          <w:rFonts w:ascii="Georgia" w:hAnsi="Georgia"/>
        </w:rPr>
        <w:t xml:space="preserve">information </w:t>
      </w:r>
      <w:r w:rsidR="00C179E0" w:rsidRPr="00883B58">
        <w:rPr>
          <w:rFonts w:ascii="Georgia" w:hAnsi="Georgia"/>
        </w:rPr>
        <w:t xml:space="preserve">to the public </w:t>
      </w:r>
      <w:r w:rsidR="002D2B9B" w:rsidRPr="00883B58">
        <w:rPr>
          <w:rFonts w:ascii="Georgia" w:hAnsi="Georgia"/>
        </w:rPr>
        <w:t xml:space="preserve">will </w:t>
      </w:r>
      <w:r w:rsidR="00E72C08" w:rsidRPr="00883B58">
        <w:rPr>
          <w:rFonts w:ascii="Georgia" w:hAnsi="Georgia"/>
        </w:rPr>
        <w:t>improve</w:t>
      </w:r>
      <w:r w:rsidR="002D2B9B" w:rsidRPr="00883B58">
        <w:rPr>
          <w:rFonts w:ascii="Georgia" w:hAnsi="Georgia"/>
        </w:rPr>
        <w:t xml:space="preserve"> </w:t>
      </w:r>
      <w:r w:rsidR="00C179E0" w:rsidRPr="00883B58">
        <w:rPr>
          <w:rFonts w:ascii="Georgia" w:hAnsi="Georgia"/>
        </w:rPr>
        <w:t>commodity market operations.</w:t>
      </w:r>
    </w:p>
    <w:p w14:paraId="13225E20" w14:textId="77777777" w:rsidR="00C179E0" w:rsidRPr="00883B58" w:rsidRDefault="00C179E0" w:rsidP="004A0673">
      <w:pPr>
        <w:rPr>
          <w:rFonts w:ascii="Georgia" w:hAnsi="Georgia"/>
        </w:rPr>
      </w:pPr>
    </w:p>
    <w:p w14:paraId="0AB2F85B" w14:textId="79BAA759" w:rsidR="00CF5A42" w:rsidRPr="00883B58" w:rsidRDefault="00C179E0" w:rsidP="004A0673">
      <w:pPr>
        <w:rPr>
          <w:rFonts w:ascii="Georgia" w:hAnsi="Georgia"/>
        </w:rPr>
      </w:pPr>
      <w:r w:rsidRPr="00883B58">
        <w:rPr>
          <w:rFonts w:ascii="Georgia" w:hAnsi="Georgia"/>
        </w:rPr>
        <w:t xml:space="preserve">Mr. Chairman, </w:t>
      </w:r>
      <w:r w:rsidR="00991C5E" w:rsidRPr="00883B58">
        <w:rPr>
          <w:rFonts w:ascii="Georgia" w:hAnsi="Georgia"/>
        </w:rPr>
        <w:t xml:space="preserve">we </w:t>
      </w:r>
      <w:r w:rsidR="00F24965" w:rsidRPr="00883B58">
        <w:rPr>
          <w:rFonts w:ascii="Georgia" w:hAnsi="Georgia"/>
        </w:rPr>
        <w:t>appreciate your consideration, and thank you for your leadership.</w:t>
      </w:r>
      <w:r w:rsidR="005D0AE9" w:rsidRPr="00883B58">
        <w:rPr>
          <w:rFonts w:ascii="Georgia" w:hAnsi="Georgia"/>
        </w:rPr>
        <w:t xml:space="preserve"> </w:t>
      </w:r>
    </w:p>
    <w:p w14:paraId="311DA0B2" w14:textId="77777777" w:rsidR="00BC7123" w:rsidRPr="00883B58" w:rsidRDefault="00BC7123">
      <w:pPr>
        <w:rPr>
          <w:rFonts w:ascii="Georgia" w:hAnsi="Georgia"/>
        </w:rPr>
      </w:pPr>
    </w:p>
    <w:p w14:paraId="0FFDCABC" w14:textId="30E0CD56" w:rsidR="00B75BD4" w:rsidRPr="00883B58" w:rsidRDefault="006D13E3">
      <w:pPr>
        <w:rPr>
          <w:rFonts w:ascii="Georgia" w:hAnsi="Georgia"/>
        </w:rPr>
      </w:pPr>
      <w:r w:rsidRPr="00883B58">
        <w:rPr>
          <w:rFonts w:ascii="Georgia" w:hAnsi="Georgia"/>
        </w:rPr>
        <w:t>Best,</w:t>
      </w:r>
    </w:p>
    <w:p w14:paraId="74A44B20" w14:textId="77777777" w:rsidR="006D13E3" w:rsidRPr="00883B58" w:rsidRDefault="006D13E3">
      <w:pPr>
        <w:rPr>
          <w:rFonts w:ascii="Georgia" w:hAnsi="Georgia"/>
        </w:rPr>
      </w:pPr>
    </w:p>
    <w:p w14:paraId="663AE5C4" w14:textId="149869EA" w:rsidR="006D13E3" w:rsidRPr="00883B58" w:rsidRDefault="006D13E3">
      <w:pPr>
        <w:rPr>
          <w:rFonts w:ascii="Georgia" w:hAnsi="Georgia"/>
        </w:rPr>
      </w:pPr>
      <w:r w:rsidRPr="00883B58">
        <w:rPr>
          <w:rFonts w:ascii="Georgia" w:hAnsi="Georgia"/>
        </w:rPr>
        <w:t>Tyson Slocum, Energy Program Director</w:t>
      </w:r>
    </w:p>
    <w:p w14:paraId="1CA11620" w14:textId="687AF4B5" w:rsidR="006D13E3" w:rsidRPr="00883B58" w:rsidRDefault="00B75BD4">
      <w:pPr>
        <w:rPr>
          <w:rFonts w:ascii="Georgia" w:hAnsi="Georgia"/>
        </w:rPr>
      </w:pPr>
      <w:r w:rsidRPr="00883B58">
        <w:rPr>
          <w:rFonts w:ascii="Georgia" w:hAnsi="Georgia"/>
        </w:rPr>
        <w:t>(202)</w:t>
      </w:r>
      <w:r w:rsidR="00991C5E" w:rsidRPr="00883B58">
        <w:rPr>
          <w:rFonts w:ascii="Georgia" w:hAnsi="Georgia"/>
        </w:rPr>
        <w:t xml:space="preserve"> 454</w:t>
      </w:r>
      <w:r w:rsidR="00F24965" w:rsidRPr="00883B58">
        <w:rPr>
          <w:rFonts w:ascii="Georgia" w:hAnsi="Georgia"/>
        </w:rPr>
        <w:t>-5191</w:t>
      </w:r>
    </w:p>
    <w:p w14:paraId="6C033B4E" w14:textId="7A96955D" w:rsidR="00B75BD4" w:rsidRDefault="006918D9">
      <w:pPr>
        <w:rPr>
          <w:rStyle w:val="Hyperlink"/>
          <w:rFonts w:ascii="Georgia" w:hAnsi="Georgia"/>
          <w:color w:val="auto"/>
          <w:u w:val="none"/>
        </w:rPr>
      </w:pPr>
      <w:hyperlink r:id="rId7" w:history="1">
        <w:r w:rsidR="00B75BD4" w:rsidRPr="00883B58">
          <w:rPr>
            <w:rStyle w:val="Hyperlink"/>
            <w:rFonts w:ascii="Georgia" w:hAnsi="Georgia"/>
            <w:color w:val="auto"/>
            <w:u w:val="none"/>
          </w:rPr>
          <w:t>tslocum@citizen.org</w:t>
        </w:r>
      </w:hyperlink>
    </w:p>
    <w:p w14:paraId="4D9BAE48" w14:textId="11596F73" w:rsidR="00883B58" w:rsidRDefault="00883B58" w:rsidP="00986C70">
      <w:pPr>
        <w:rPr>
          <w:rStyle w:val="Hyperlink"/>
          <w:rFonts w:ascii="Georgia" w:hAnsi="Georgia"/>
          <w:color w:val="auto"/>
          <w:u w:val="none"/>
        </w:rPr>
      </w:pPr>
      <w:r>
        <w:rPr>
          <w:rStyle w:val="Hyperlink"/>
          <w:rFonts w:ascii="Georgia" w:hAnsi="Georgia"/>
          <w:color w:val="auto"/>
          <w:u w:val="none"/>
        </w:rPr>
        <w:t>Member</w:t>
      </w:r>
      <w:r w:rsidR="00277401">
        <w:rPr>
          <w:rStyle w:val="Hyperlink"/>
          <w:rFonts w:ascii="Georgia" w:hAnsi="Georgia"/>
          <w:color w:val="auto"/>
          <w:u w:val="none"/>
        </w:rPr>
        <w:t xml:space="preserve">, </w:t>
      </w:r>
      <w:r>
        <w:rPr>
          <w:rStyle w:val="Hyperlink"/>
          <w:rFonts w:ascii="Georgia" w:hAnsi="Georgia"/>
          <w:color w:val="auto"/>
          <w:u w:val="none"/>
        </w:rPr>
        <w:t xml:space="preserve">CFTC Energy &amp; Environmental </w:t>
      </w:r>
      <w:r w:rsidR="00277401">
        <w:rPr>
          <w:rStyle w:val="Hyperlink"/>
          <w:rFonts w:ascii="Georgia" w:hAnsi="Georgia"/>
          <w:color w:val="auto"/>
          <w:u w:val="none"/>
        </w:rPr>
        <w:t>Markets Advisory Committee</w:t>
      </w:r>
      <w:r w:rsidR="00986C70">
        <w:rPr>
          <w:rStyle w:val="Hyperlink"/>
          <w:rFonts w:ascii="Georgia" w:hAnsi="Georgia"/>
          <w:color w:val="auto"/>
          <w:u w:val="none"/>
        </w:rPr>
        <w:t>, and</w:t>
      </w:r>
    </w:p>
    <w:p w14:paraId="1F026B0A" w14:textId="0833B1CD" w:rsidR="00277401" w:rsidRPr="00883B58" w:rsidRDefault="00277401">
      <w:pPr>
        <w:rPr>
          <w:rFonts w:ascii="Georgia" w:hAnsi="Georgia"/>
        </w:rPr>
      </w:pPr>
      <w:r>
        <w:rPr>
          <w:rStyle w:val="Hyperlink"/>
          <w:rFonts w:ascii="Georgia" w:hAnsi="Georgia"/>
          <w:color w:val="auto"/>
          <w:u w:val="none"/>
        </w:rPr>
        <w:t>CFTC Market Risk Advisory Committee</w:t>
      </w:r>
    </w:p>
    <w:sectPr w:rsidR="00277401" w:rsidRPr="00883B58" w:rsidSect="00520202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4B2E3" w14:textId="77777777" w:rsidR="006918D9" w:rsidRDefault="006918D9" w:rsidP="00D32512">
      <w:r>
        <w:separator/>
      </w:r>
    </w:p>
  </w:endnote>
  <w:endnote w:type="continuationSeparator" w:id="0">
    <w:p w14:paraId="2311E2A8" w14:textId="77777777" w:rsidR="006918D9" w:rsidRDefault="006918D9" w:rsidP="00D3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nockout-HTF32-JuniorCruiserw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7420E" w14:textId="35C32B9B" w:rsidR="003D5CB7" w:rsidRPr="003D5CB7" w:rsidRDefault="0023270C" w:rsidP="0023270C">
    <w:pPr>
      <w:ind w:left="-144" w:right="-144"/>
      <w:jc w:val="center"/>
      <w:rPr>
        <w:rFonts w:ascii="Knockout-HTF32-JuniorCruiserwt" w:eastAsia="Times New Roman" w:hAnsi="Knockout-HTF32-JuniorCruiserwt" w:cs="Times New Roman"/>
      </w:rPr>
    </w:pPr>
    <w:r w:rsidRPr="0023270C">
      <w:rPr>
        <w:rFonts w:ascii="Knockout-HTF32-JuniorCruiserwt" w:eastAsia="Times New Roman" w:hAnsi="Knockout-HTF32-JuniorCruiserwt" w:cs="Times New Roman"/>
        <w:color w:val="001742"/>
        <w:sz w:val="22"/>
        <w:szCs w:val="22"/>
      </w:rPr>
      <w:t>215 Pennsylvania Ave</w:t>
    </w:r>
    <w:r>
      <w:rPr>
        <w:rFonts w:ascii="Knockout-HTF32-JuniorCruiserwt" w:eastAsia="Times New Roman" w:hAnsi="Knockout-HTF32-JuniorCruiserwt" w:cs="Times New Roman"/>
        <w:color w:val="001742"/>
        <w:sz w:val="22"/>
        <w:szCs w:val="22"/>
      </w:rPr>
      <w:t>.</w:t>
    </w:r>
    <w:r w:rsidRPr="0023270C">
      <w:rPr>
        <w:rFonts w:ascii="Knockout-HTF32-JuniorCruiserwt" w:eastAsia="Times New Roman" w:hAnsi="Knockout-HTF32-JuniorCruiserwt" w:cs="Times New Roman"/>
        <w:color w:val="001742"/>
        <w:sz w:val="22"/>
        <w:szCs w:val="22"/>
      </w:rPr>
      <w:t xml:space="preserve"> SE</w:t>
    </w:r>
    <w:r>
      <w:rPr>
        <w:rFonts w:ascii="Knockout-HTF32-JuniorCruiserwt" w:eastAsia="Times New Roman" w:hAnsi="Knockout-HTF32-JuniorCruiserwt" w:cs="Times New Roman"/>
        <w:color w:val="001742"/>
        <w:sz w:val="22"/>
        <w:szCs w:val="22"/>
      </w:rPr>
      <w:t>,</w:t>
    </w:r>
    <w:r w:rsidRPr="0023270C">
      <w:rPr>
        <w:rFonts w:ascii="Knockout-HTF32-JuniorCruiserwt" w:eastAsia="Times New Roman" w:hAnsi="Knockout-HTF32-JuniorCruiserwt" w:cs="Times New Roman"/>
        <w:color w:val="001742"/>
        <w:sz w:val="22"/>
        <w:szCs w:val="22"/>
      </w:rPr>
      <w:t xml:space="preserve"> Washington, D.C. 20003 </w:t>
    </w:r>
    <w:r w:rsidR="003D5CB7" w:rsidRPr="003D5CB7">
      <w:rPr>
        <w:rFonts w:ascii="Knockout-HTF32-JuniorCruiserwt" w:eastAsia="Times New Roman" w:hAnsi="Knockout-HTF32-JuniorCruiserwt" w:cs="Times New Roman"/>
        <w:color w:val="001742"/>
        <w:sz w:val="22"/>
        <w:szCs w:val="22"/>
      </w:rPr>
      <w:t>• (</w:t>
    </w:r>
    <w:r>
      <w:rPr>
        <w:rFonts w:ascii="Knockout-HTF32-JuniorCruiserwt" w:eastAsia="Times New Roman" w:hAnsi="Knockout-HTF32-JuniorCruiserwt" w:cs="Times New Roman"/>
        <w:color w:val="001742"/>
        <w:sz w:val="22"/>
        <w:szCs w:val="22"/>
      </w:rPr>
      <w:t>202</w:t>
    </w:r>
    <w:r w:rsidR="003D5CB7" w:rsidRPr="003D5CB7">
      <w:rPr>
        <w:rFonts w:ascii="Knockout-HTF32-JuniorCruiserwt" w:eastAsia="Times New Roman" w:hAnsi="Knockout-HTF32-JuniorCruiserwt" w:cs="Times New Roman"/>
        <w:color w:val="001742"/>
        <w:sz w:val="22"/>
        <w:szCs w:val="22"/>
      </w:rPr>
      <w:t xml:space="preserve">) </w:t>
    </w:r>
    <w:r>
      <w:rPr>
        <w:rFonts w:ascii="Knockout-HTF32-JuniorCruiserwt" w:eastAsia="Times New Roman" w:hAnsi="Knockout-HTF32-JuniorCruiserwt" w:cs="Times New Roman"/>
        <w:color w:val="001742"/>
        <w:sz w:val="22"/>
        <w:szCs w:val="22"/>
      </w:rPr>
      <w:t>588</w:t>
    </w:r>
    <w:r w:rsidR="003D5CB7" w:rsidRPr="003D5CB7">
      <w:rPr>
        <w:rFonts w:ascii="Knockout-HTF32-JuniorCruiserwt" w:eastAsia="Times New Roman" w:hAnsi="Knockout-HTF32-JuniorCruiserwt" w:cs="Times New Roman"/>
        <w:color w:val="001742"/>
        <w:sz w:val="22"/>
        <w:szCs w:val="22"/>
      </w:rPr>
      <w:t>-1</w:t>
    </w:r>
    <w:r>
      <w:rPr>
        <w:rFonts w:ascii="Knockout-HTF32-JuniorCruiserwt" w:eastAsia="Times New Roman" w:hAnsi="Knockout-HTF32-JuniorCruiserwt" w:cs="Times New Roman"/>
        <w:color w:val="001742"/>
        <w:sz w:val="22"/>
        <w:szCs w:val="22"/>
      </w:rPr>
      <w:t xml:space="preserve">000 </w:t>
    </w:r>
    <w:r w:rsidR="003D5CB7" w:rsidRPr="003D5CB7">
      <w:rPr>
        <w:rFonts w:ascii="Knockout-HTF32-JuniorCruiserwt" w:eastAsia="Times New Roman" w:hAnsi="Knockout-HTF32-JuniorCruiserwt" w:cs="Times New Roman"/>
        <w:color w:val="001742"/>
        <w:sz w:val="22"/>
        <w:szCs w:val="22"/>
      </w:rPr>
      <w:t>• </w:t>
    </w:r>
    <w:hyperlink r:id="rId1" w:tooltip="http://www.citizen.org/texas" w:history="1">
      <w:r w:rsidR="003D5CB7" w:rsidRPr="003D5CB7">
        <w:rPr>
          <w:rFonts w:ascii="Knockout-HTF32-JuniorCruiserwt" w:eastAsia="Times New Roman" w:hAnsi="Knockout-HTF32-JuniorCruiserwt" w:cs="Times New Roman"/>
          <w:color w:val="001742"/>
          <w:sz w:val="22"/>
          <w:szCs w:val="22"/>
        </w:rPr>
        <w:t>www.citizen.org</w:t>
      </w:r>
    </w:hyperlink>
  </w:p>
  <w:p w14:paraId="349457B4" w14:textId="55C7407E" w:rsidR="00F36C97" w:rsidRPr="003D5CB7" w:rsidRDefault="00F36C97" w:rsidP="0023270C">
    <w:pPr>
      <w:pStyle w:val="Footer"/>
      <w:tabs>
        <w:tab w:val="clear" w:pos="4320"/>
        <w:tab w:val="clear" w:pos="8640"/>
        <w:tab w:val="left" w:pos="900"/>
      </w:tabs>
      <w:ind w:left="-144" w:right="-144"/>
      <w:jc w:val="center"/>
      <w:rPr>
        <w:rFonts w:ascii="Knockout-HTF32-JuniorCruiserwt" w:hAnsi="Knockout-HTF32-JuniorCruiserw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394C8" w14:textId="77777777" w:rsidR="006918D9" w:rsidRDefault="006918D9" w:rsidP="00D32512">
      <w:r>
        <w:separator/>
      </w:r>
    </w:p>
  </w:footnote>
  <w:footnote w:type="continuationSeparator" w:id="0">
    <w:p w14:paraId="14DD59B7" w14:textId="77777777" w:rsidR="006918D9" w:rsidRDefault="006918D9" w:rsidP="00D32512">
      <w:r>
        <w:continuationSeparator/>
      </w:r>
    </w:p>
  </w:footnote>
  <w:footnote w:id="1">
    <w:p w14:paraId="7609D6BF" w14:textId="4211822B" w:rsidR="000D0C37" w:rsidRDefault="000D0C3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D0C37">
        <w:rPr>
          <w:rFonts w:ascii="Georgia" w:hAnsi="Georgia"/>
        </w:rPr>
        <w:t>https://twitter.com/JavierBlas/status/1504182020649504775</w:t>
      </w:r>
    </w:p>
  </w:footnote>
  <w:footnote w:id="2">
    <w:p w14:paraId="7CB2F180" w14:textId="2EF60283" w:rsidR="0098062D" w:rsidRDefault="0098062D" w:rsidP="0098062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A69ED">
        <w:rPr>
          <w:rFonts w:ascii="Georgia" w:hAnsi="Georgia"/>
          <w:i/>
          <w:iCs/>
        </w:rPr>
        <w:t>Impact of Automated Orders in Futures Markets</w:t>
      </w:r>
      <w:r w:rsidRPr="001A69ED">
        <w:rPr>
          <w:rFonts w:ascii="Georgia" w:hAnsi="Georgia"/>
        </w:rPr>
        <w:t>, Market Intelligence Branch, Division of Market Oversight, U.S. CFTC, March 2019, www.cftc.gov/sites/default/files/2019-03/automatedordersreport032719.pdf</w:t>
      </w:r>
    </w:p>
  </w:footnote>
  <w:footnote w:id="3">
    <w:p w14:paraId="0ED05C84" w14:textId="63E2633E" w:rsidR="00A50427" w:rsidRDefault="00A5042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50427">
        <w:rPr>
          <w:rFonts w:ascii="Georgia" w:hAnsi="Georgia"/>
        </w:rPr>
        <w:t xml:space="preserve">Gillian Tett, “Beware the algorithms driving up oil prices,” </w:t>
      </w:r>
      <w:r w:rsidRPr="00A50427">
        <w:rPr>
          <w:rFonts w:ascii="Georgia" w:hAnsi="Georgia"/>
          <w:i/>
          <w:iCs/>
        </w:rPr>
        <w:t>Financial Times</w:t>
      </w:r>
      <w:r w:rsidRPr="00A50427">
        <w:rPr>
          <w:rFonts w:ascii="Georgia" w:hAnsi="Georgia"/>
        </w:rPr>
        <w:t>, February 10, 2022, www.ft.com/content/6e24689d-679f-4b45-ac73-dc1ace2ff69e</w:t>
      </w:r>
    </w:p>
  </w:footnote>
  <w:footnote w:id="4">
    <w:p w14:paraId="66F04A36" w14:textId="7930C786" w:rsidR="00D72694" w:rsidRDefault="00D7269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72694">
        <w:rPr>
          <w:rFonts w:ascii="Georgia" w:hAnsi="Georgia"/>
        </w:rPr>
        <w:t xml:space="preserve">Section 737(3)(B)(i), </w:t>
      </w:r>
      <w:r w:rsidRPr="00D72694">
        <w:rPr>
          <w:rFonts w:ascii="Georgia" w:hAnsi="Georgia"/>
          <w:i/>
          <w:iCs/>
        </w:rPr>
        <w:t>Position Limits</w:t>
      </w:r>
      <w:r w:rsidRPr="00D72694">
        <w:rPr>
          <w:rFonts w:ascii="Georgia" w:hAnsi="Georgia"/>
        </w:rPr>
        <w:t>, Dodd-Frank Wall Street Reform and Consumer Protection Act, www.congress.gov/111/plaws/publ203/PLAW-111publ203.pdf</w:t>
      </w:r>
    </w:p>
  </w:footnote>
  <w:footnote w:id="5">
    <w:p w14:paraId="5D3E31C3" w14:textId="23DF6417" w:rsidR="002836F3" w:rsidRDefault="002836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A256F" w:rsidRPr="006A256F">
        <w:rPr>
          <w:rFonts w:ascii="Georgia" w:hAnsi="Georgia"/>
        </w:rPr>
        <w:t>www.cftc.gov/PressRoom/SpeechesTestimony/behnamstatement101520c</w:t>
      </w:r>
    </w:p>
  </w:footnote>
  <w:footnote w:id="6">
    <w:p w14:paraId="06B9827A" w14:textId="1FBD13FD" w:rsidR="00EF188D" w:rsidRDefault="00EF188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F188D">
        <w:rPr>
          <w:rFonts w:ascii="Georgia" w:hAnsi="Georgia"/>
        </w:rPr>
        <w:t>www.cftc.gov/MarketReports/CommitmentsofTraders/index.htm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BB6F9" w14:textId="4CEFFADA" w:rsidR="003F7E72" w:rsidRPr="000A383A" w:rsidRDefault="001D40ED" w:rsidP="00F36C97">
    <w:pPr>
      <w:pStyle w:val="Header"/>
      <w:jc w:val="center"/>
      <w:rPr>
        <w:rFonts w:ascii="Arial" w:hAnsi="Arial" w:cs="Arial"/>
        <w:b/>
        <w:color w:val="4F81BD" w:themeColor="accent1"/>
      </w:rPr>
    </w:pPr>
    <w:r>
      <w:rPr>
        <w:rFonts w:ascii="Times" w:hAnsi="Times"/>
        <w:noProof/>
      </w:rPr>
      <w:drawing>
        <wp:inline distT="0" distB="0" distL="0" distR="0" wp14:anchorId="2D7750F7" wp14:editId="5569F06A">
          <wp:extent cx="3365500" cy="812800"/>
          <wp:effectExtent l="0" t="0" r="0" b="0"/>
          <wp:docPr id="2" name="Picture 2" descr="A picture containing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applicati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65500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NjEwtjQ2MjY2NDJS0lEKTi0uzszPAykwrAUA4i1hcSwAAAA="/>
  </w:docVars>
  <w:rsids>
    <w:rsidRoot w:val="00D32512"/>
    <w:rsid w:val="0001107A"/>
    <w:rsid w:val="00016664"/>
    <w:rsid w:val="0002350F"/>
    <w:rsid w:val="00026621"/>
    <w:rsid w:val="000312B5"/>
    <w:rsid w:val="000370C8"/>
    <w:rsid w:val="00093112"/>
    <w:rsid w:val="00093898"/>
    <w:rsid w:val="000977DA"/>
    <w:rsid w:val="000A383A"/>
    <w:rsid w:val="000A4190"/>
    <w:rsid w:val="000A60D2"/>
    <w:rsid w:val="000B3B98"/>
    <w:rsid w:val="000C2041"/>
    <w:rsid w:val="000C7774"/>
    <w:rsid w:val="000D0C37"/>
    <w:rsid w:val="000D48FF"/>
    <w:rsid w:val="000F3D4A"/>
    <w:rsid w:val="001042B9"/>
    <w:rsid w:val="00150C37"/>
    <w:rsid w:val="00154CE9"/>
    <w:rsid w:val="001600A8"/>
    <w:rsid w:val="00162A03"/>
    <w:rsid w:val="00171922"/>
    <w:rsid w:val="001921E9"/>
    <w:rsid w:val="001A1384"/>
    <w:rsid w:val="001A437F"/>
    <w:rsid w:val="001A6422"/>
    <w:rsid w:val="001A69ED"/>
    <w:rsid w:val="001B484F"/>
    <w:rsid w:val="001D40ED"/>
    <w:rsid w:val="001E214E"/>
    <w:rsid w:val="001E296D"/>
    <w:rsid w:val="00223C4C"/>
    <w:rsid w:val="0023270C"/>
    <w:rsid w:val="00240BBD"/>
    <w:rsid w:val="0024123B"/>
    <w:rsid w:val="002421BD"/>
    <w:rsid w:val="002665A1"/>
    <w:rsid w:val="00277401"/>
    <w:rsid w:val="00281157"/>
    <w:rsid w:val="002820E3"/>
    <w:rsid w:val="002836F3"/>
    <w:rsid w:val="00292EA1"/>
    <w:rsid w:val="00295D30"/>
    <w:rsid w:val="00297F50"/>
    <w:rsid w:val="002B4BCF"/>
    <w:rsid w:val="002D26F1"/>
    <w:rsid w:val="002D2B9B"/>
    <w:rsid w:val="002F08A6"/>
    <w:rsid w:val="002F501A"/>
    <w:rsid w:val="003013CF"/>
    <w:rsid w:val="00333F7B"/>
    <w:rsid w:val="00374063"/>
    <w:rsid w:val="00374B51"/>
    <w:rsid w:val="003A258D"/>
    <w:rsid w:val="003B157B"/>
    <w:rsid w:val="003C6832"/>
    <w:rsid w:val="003D5CB7"/>
    <w:rsid w:val="003E5162"/>
    <w:rsid w:val="003F4DA3"/>
    <w:rsid w:val="003F7E72"/>
    <w:rsid w:val="0040174A"/>
    <w:rsid w:val="004257FF"/>
    <w:rsid w:val="004339C7"/>
    <w:rsid w:val="004369A7"/>
    <w:rsid w:val="00456030"/>
    <w:rsid w:val="00461677"/>
    <w:rsid w:val="004618F7"/>
    <w:rsid w:val="00466D13"/>
    <w:rsid w:val="00480F44"/>
    <w:rsid w:val="00485EDE"/>
    <w:rsid w:val="0048737D"/>
    <w:rsid w:val="004A0673"/>
    <w:rsid w:val="004B0984"/>
    <w:rsid w:val="004B529A"/>
    <w:rsid w:val="004B555A"/>
    <w:rsid w:val="004D3C11"/>
    <w:rsid w:val="00504648"/>
    <w:rsid w:val="00516623"/>
    <w:rsid w:val="00520202"/>
    <w:rsid w:val="005677A9"/>
    <w:rsid w:val="00577F52"/>
    <w:rsid w:val="005B30DA"/>
    <w:rsid w:val="005D0AE9"/>
    <w:rsid w:val="005D47BE"/>
    <w:rsid w:val="00623B14"/>
    <w:rsid w:val="006339C9"/>
    <w:rsid w:val="00652140"/>
    <w:rsid w:val="006701F4"/>
    <w:rsid w:val="00670E0B"/>
    <w:rsid w:val="00670F9E"/>
    <w:rsid w:val="00680780"/>
    <w:rsid w:val="006918D9"/>
    <w:rsid w:val="006A256F"/>
    <w:rsid w:val="006A5284"/>
    <w:rsid w:val="006D13E3"/>
    <w:rsid w:val="006E5C43"/>
    <w:rsid w:val="007155B3"/>
    <w:rsid w:val="00717806"/>
    <w:rsid w:val="0073202A"/>
    <w:rsid w:val="007441DF"/>
    <w:rsid w:val="007452B8"/>
    <w:rsid w:val="00745659"/>
    <w:rsid w:val="00754722"/>
    <w:rsid w:val="00756120"/>
    <w:rsid w:val="00760074"/>
    <w:rsid w:val="00774FAE"/>
    <w:rsid w:val="00784DCF"/>
    <w:rsid w:val="007D3424"/>
    <w:rsid w:val="007E3B5D"/>
    <w:rsid w:val="007E6D0C"/>
    <w:rsid w:val="008221AB"/>
    <w:rsid w:val="008266E5"/>
    <w:rsid w:val="00830207"/>
    <w:rsid w:val="00830D86"/>
    <w:rsid w:val="00835512"/>
    <w:rsid w:val="0085620F"/>
    <w:rsid w:val="00865A08"/>
    <w:rsid w:val="00883B58"/>
    <w:rsid w:val="00887674"/>
    <w:rsid w:val="008B3A1F"/>
    <w:rsid w:val="008B5DC4"/>
    <w:rsid w:val="008B6E3D"/>
    <w:rsid w:val="008B79E1"/>
    <w:rsid w:val="008D4B30"/>
    <w:rsid w:val="008D5424"/>
    <w:rsid w:val="008E558E"/>
    <w:rsid w:val="008F124B"/>
    <w:rsid w:val="008F7A95"/>
    <w:rsid w:val="00903B97"/>
    <w:rsid w:val="00925607"/>
    <w:rsid w:val="0093268D"/>
    <w:rsid w:val="009439A6"/>
    <w:rsid w:val="00955271"/>
    <w:rsid w:val="009561A3"/>
    <w:rsid w:val="0098062D"/>
    <w:rsid w:val="009806ED"/>
    <w:rsid w:val="00986C70"/>
    <w:rsid w:val="00991C5E"/>
    <w:rsid w:val="009A3E3E"/>
    <w:rsid w:val="009C1C53"/>
    <w:rsid w:val="009E52B5"/>
    <w:rsid w:val="009E5A9C"/>
    <w:rsid w:val="00A154A5"/>
    <w:rsid w:val="00A30D93"/>
    <w:rsid w:val="00A50203"/>
    <w:rsid w:val="00A50427"/>
    <w:rsid w:val="00A6198F"/>
    <w:rsid w:val="00A64BD9"/>
    <w:rsid w:val="00A66CF5"/>
    <w:rsid w:val="00A8018B"/>
    <w:rsid w:val="00A80C53"/>
    <w:rsid w:val="00A86806"/>
    <w:rsid w:val="00A948CA"/>
    <w:rsid w:val="00AB0E8B"/>
    <w:rsid w:val="00AB384E"/>
    <w:rsid w:val="00AC5610"/>
    <w:rsid w:val="00AE03D6"/>
    <w:rsid w:val="00AE08C1"/>
    <w:rsid w:val="00AF65D9"/>
    <w:rsid w:val="00B002AE"/>
    <w:rsid w:val="00B145FD"/>
    <w:rsid w:val="00B25761"/>
    <w:rsid w:val="00B30A63"/>
    <w:rsid w:val="00B52811"/>
    <w:rsid w:val="00B5443A"/>
    <w:rsid w:val="00B56CDA"/>
    <w:rsid w:val="00B603BD"/>
    <w:rsid w:val="00B758BB"/>
    <w:rsid w:val="00B75BD4"/>
    <w:rsid w:val="00B841C6"/>
    <w:rsid w:val="00BA0FE6"/>
    <w:rsid w:val="00BB01AA"/>
    <w:rsid w:val="00BC5A8B"/>
    <w:rsid w:val="00BC7123"/>
    <w:rsid w:val="00BE3903"/>
    <w:rsid w:val="00C11A44"/>
    <w:rsid w:val="00C179E0"/>
    <w:rsid w:val="00C24288"/>
    <w:rsid w:val="00C325FD"/>
    <w:rsid w:val="00C44677"/>
    <w:rsid w:val="00C46937"/>
    <w:rsid w:val="00C4740E"/>
    <w:rsid w:val="00C84788"/>
    <w:rsid w:val="00C9703F"/>
    <w:rsid w:val="00CA774A"/>
    <w:rsid w:val="00CF5A42"/>
    <w:rsid w:val="00D03199"/>
    <w:rsid w:val="00D1196B"/>
    <w:rsid w:val="00D32512"/>
    <w:rsid w:val="00D65143"/>
    <w:rsid w:val="00D67B70"/>
    <w:rsid w:val="00D7196F"/>
    <w:rsid w:val="00D72694"/>
    <w:rsid w:val="00D861D3"/>
    <w:rsid w:val="00DB334F"/>
    <w:rsid w:val="00DB5079"/>
    <w:rsid w:val="00DC024D"/>
    <w:rsid w:val="00DC5824"/>
    <w:rsid w:val="00DD1341"/>
    <w:rsid w:val="00DD1610"/>
    <w:rsid w:val="00E17652"/>
    <w:rsid w:val="00E26AAD"/>
    <w:rsid w:val="00E311F0"/>
    <w:rsid w:val="00E41FAB"/>
    <w:rsid w:val="00E47CEE"/>
    <w:rsid w:val="00E50180"/>
    <w:rsid w:val="00E553BA"/>
    <w:rsid w:val="00E72C08"/>
    <w:rsid w:val="00E73430"/>
    <w:rsid w:val="00E75CD3"/>
    <w:rsid w:val="00EC00C3"/>
    <w:rsid w:val="00EC19B3"/>
    <w:rsid w:val="00ED3CAD"/>
    <w:rsid w:val="00EF188D"/>
    <w:rsid w:val="00F10E9A"/>
    <w:rsid w:val="00F2050C"/>
    <w:rsid w:val="00F24965"/>
    <w:rsid w:val="00F36C97"/>
    <w:rsid w:val="00F37852"/>
    <w:rsid w:val="00F43946"/>
    <w:rsid w:val="00F44430"/>
    <w:rsid w:val="00F479EA"/>
    <w:rsid w:val="00F51B10"/>
    <w:rsid w:val="00F66C1E"/>
    <w:rsid w:val="00F83CFA"/>
    <w:rsid w:val="00FA3F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3FE562"/>
  <w15:docId w15:val="{CC707BB4-0E23-394B-AA88-C8A9E112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5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512"/>
  </w:style>
  <w:style w:type="paragraph" w:styleId="Footer">
    <w:name w:val="footer"/>
    <w:basedOn w:val="Normal"/>
    <w:link w:val="FooterChar"/>
    <w:uiPriority w:val="99"/>
    <w:unhideWhenUsed/>
    <w:rsid w:val="00D325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512"/>
  </w:style>
  <w:style w:type="paragraph" w:styleId="BalloonText">
    <w:name w:val="Balloon Text"/>
    <w:basedOn w:val="Normal"/>
    <w:link w:val="BalloonTextChar"/>
    <w:uiPriority w:val="99"/>
    <w:semiHidden/>
    <w:unhideWhenUsed/>
    <w:rsid w:val="00D325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512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3D5CB7"/>
  </w:style>
  <w:style w:type="character" w:styleId="Hyperlink">
    <w:name w:val="Hyperlink"/>
    <w:basedOn w:val="DefaultParagraphFont"/>
    <w:uiPriority w:val="99"/>
    <w:unhideWhenUsed/>
    <w:rsid w:val="003D5CB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5BD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0C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0C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0C37"/>
    <w:rPr>
      <w:vertAlign w:val="superscript"/>
    </w:rPr>
  </w:style>
  <w:style w:type="paragraph" w:styleId="Revision">
    <w:name w:val="Revision"/>
    <w:hidden/>
    <w:uiPriority w:val="99"/>
    <w:semiHidden/>
    <w:rsid w:val="00B52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9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slocum@citizen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tizen.org/tex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DF01A-0800-493B-92F3-E753AE00D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Citizen, Inc.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Bridgette Blair</dc:creator>
  <cp:keywords/>
  <dc:description/>
  <cp:lastModifiedBy>Tyson T. Slocum</cp:lastModifiedBy>
  <cp:revision>3</cp:revision>
  <dcterms:created xsi:type="dcterms:W3CDTF">2022-03-23T19:05:00Z</dcterms:created>
  <dcterms:modified xsi:type="dcterms:W3CDTF">2022-03-23T20:34:00Z</dcterms:modified>
</cp:coreProperties>
</file>