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ADF85" w14:textId="226C96F2" w:rsidR="00AC343E" w:rsidRPr="001F6C5D" w:rsidRDefault="002010D8" w:rsidP="001F6C5D">
      <w:pPr>
        <w:jc w:val="center"/>
        <w:rPr>
          <w:rFonts w:ascii="Georgia" w:hAnsi="Georgia"/>
          <w:sz w:val="24"/>
          <w:szCs w:val="24"/>
        </w:rPr>
      </w:pPr>
      <w:r w:rsidRPr="001F6C5D">
        <w:rPr>
          <w:rFonts w:ascii="Georgia" w:hAnsi="Georgia"/>
          <w:sz w:val="24"/>
          <w:szCs w:val="24"/>
        </w:rPr>
        <w:t>UNITED STATES OF AMERICA</w:t>
      </w:r>
    </w:p>
    <w:p w14:paraId="3AE7831A" w14:textId="6FC6ABA5" w:rsidR="002010D8" w:rsidRPr="001F6C5D" w:rsidRDefault="002010D8" w:rsidP="001F6C5D">
      <w:pPr>
        <w:jc w:val="center"/>
        <w:rPr>
          <w:rFonts w:ascii="Georgia" w:hAnsi="Georgia"/>
          <w:sz w:val="24"/>
          <w:szCs w:val="24"/>
        </w:rPr>
      </w:pPr>
      <w:r w:rsidRPr="001F6C5D">
        <w:rPr>
          <w:rFonts w:ascii="Georgia" w:hAnsi="Georgia"/>
          <w:sz w:val="24"/>
          <w:szCs w:val="24"/>
        </w:rPr>
        <w:t>BEFORE THE</w:t>
      </w:r>
    </w:p>
    <w:p w14:paraId="33B3B9D3" w14:textId="0F46E66B" w:rsidR="002010D8" w:rsidRPr="001F6C5D" w:rsidRDefault="002010D8" w:rsidP="001F6C5D">
      <w:pPr>
        <w:jc w:val="center"/>
        <w:rPr>
          <w:rFonts w:ascii="Georgia" w:hAnsi="Georgia"/>
          <w:sz w:val="24"/>
          <w:szCs w:val="24"/>
        </w:rPr>
      </w:pPr>
      <w:r w:rsidRPr="001F6C5D">
        <w:rPr>
          <w:rFonts w:ascii="Georgia" w:hAnsi="Georgia"/>
          <w:sz w:val="24"/>
          <w:szCs w:val="24"/>
        </w:rPr>
        <w:t>FEDERAL ENERGY REGULATORY COMMISSION</w:t>
      </w:r>
    </w:p>
    <w:p w14:paraId="2E024DCC" w14:textId="296F440E" w:rsidR="002010D8" w:rsidRPr="001F6C5D" w:rsidRDefault="002010D8">
      <w:pPr>
        <w:rPr>
          <w:rFonts w:ascii="Georgia" w:hAnsi="Georgia"/>
          <w:sz w:val="24"/>
          <w:szCs w:val="24"/>
        </w:rPr>
      </w:pPr>
    </w:p>
    <w:p w14:paraId="2C69B2B2" w14:textId="01274713" w:rsidR="00EA1165" w:rsidRPr="00EA1165" w:rsidRDefault="00EA1165" w:rsidP="00EA1165">
      <w:pPr>
        <w:rPr>
          <w:rFonts w:ascii="Georgia" w:hAnsi="Georgia"/>
          <w:sz w:val="24"/>
          <w:szCs w:val="24"/>
        </w:rPr>
      </w:pPr>
      <w:r w:rsidRPr="00EA1165">
        <w:rPr>
          <w:rFonts w:ascii="Georgia" w:hAnsi="Georgia"/>
          <w:sz w:val="24"/>
          <w:szCs w:val="24"/>
        </w:rPr>
        <w:t>Bulb US LLC</w:t>
      </w:r>
      <w:r w:rsidRPr="00EA1165">
        <w:rPr>
          <w:rFonts w:ascii="Georgia" w:hAnsi="Georgia"/>
          <w:sz w:val="24"/>
          <w:szCs w:val="24"/>
        </w:rPr>
        <w:tab/>
      </w:r>
      <w:r w:rsidRPr="00EA1165">
        <w:rPr>
          <w:rFonts w:ascii="Georgia" w:hAnsi="Georgia"/>
          <w:sz w:val="24"/>
          <w:szCs w:val="24"/>
        </w:rPr>
        <w:tab/>
        <w:t xml:space="preserve"> </w:t>
      </w:r>
      <w:r w:rsidRPr="00EA1165">
        <w:rPr>
          <w:rFonts w:ascii="Georgia" w:hAnsi="Georgia"/>
          <w:sz w:val="24"/>
          <w:szCs w:val="24"/>
        </w:rPr>
        <w:tab/>
      </w:r>
      <w:r w:rsidRPr="00EA1165">
        <w:rPr>
          <w:rFonts w:ascii="Georgia" w:hAnsi="Georgia"/>
          <w:sz w:val="24"/>
          <w:szCs w:val="24"/>
        </w:rPr>
        <w:tab/>
      </w:r>
      <w:r w:rsidRPr="00EA1165">
        <w:rPr>
          <w:rFonts w:ascii="Georgia" w:hAnsi="Georgia"/>
          <w:sz w:val="24"/>
          <w:szCs w:val="24"/>
        </w:rPr>
        <w:tab/>
      </w:r>
      <w:r w:rsidRPr="00EA1165">
        <w:rPr>
          <w:rFonts w:ascii="Georgia" w:hAnsi="Georgia"/>
          <w:sz w:val="24"/>
          <w:szCs w:val="24"/>
        </w:rPr>
        <w:tab/>
      </w:r>
      <w:r w:rsidR="00063136">
        <w:rPr>
          <w:rFonts w:ascii="Georgia" w:hAnsi="Georgia"/>
          <w:sz w:val="24"/>
          <w:szCs w:val="24"/>
        </w:rPr>
        <w:tab/>
      </w:r>
      <w:r w:rsidRPr="00EA1165">
        <w:rPr>
          <w:rFonts w:ascii="Georgia" w:hAnsi="Georgia"/>
          <w:sz w:val="24"/>
          <w:szCs w:val="24"/>
        </w:rPr>
        <w:t>Docket No.</w:t>
      </w:r>
      <w:r w:rsidR="00E95827">
        <w:rPr>
          <w:rFonts w:ascii="Georgia" w:hAnsi="Georgia"/>
          <w:sz w:val="24"/>
          <w:szCs w:val="24"/>
        </w:rPr>
        <w:t xml:space="preserve"> </w:t>
      </w:r>
      <w:r w:rsidRPr="00EA1165">
        <w:rPr>
          <w:rFonts w:ascii="Georgia" w:hAnsi="Georgia"/>
          <w:sz w:val="24"/>
          <w:szCs w:val="24"/>
        </w:rPr>
        <w:t>ER20-85</w:t>
      </w:r>
      <w:r>
        <w:rPr>
          <w:rFonts w:ascii="Georgia" w:hAnsi="Georgia"/>
          <w:sz w:val="24"/>
          <w:szCs w:val="24"/>
        </w:rPr>
        <w:t>0</w:t>
      </w:r>
    </w:p>
    <w:p w14:paraId="46C58E9B" w14:textId="5ADE5C06" w:rsidR="00EA1165" w:rsidRDefault="00EA1165" w:rsidP="00EA1165">
      <w:pPr>
        <w:rPr>
          <w:rFonts w:ascii="Georgia" w:hAnsi="Georgia"/>
          <w:sz w:val="24"/>
          <w:szCs w:val="24"/>
        </w:rPr>
      </w:pPr>
      <w:r w:rsidRPr="00EA1165">
        <w:rPr>
          <w:rFonts w:ascii="Georgia" w:hAnsi="Georgia"/>
          <w:sz w:val="24"/>
          <w:szCs w:val="24"/>
        </w:rPr>
        <w:t>Bulb Energy Incorporated</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063136">
        <w:rPr>
          <w:rFonts w:ascii="Georgia" w:hAnsi="Georgia"/>
          <w:sz w:val="24"/>
          <w:szCs w:val="24"/>
        </w:rPr>
        <w:tab/>
      </w:r>
      <w:r w:rsidR="000E6729">
        <w:rPr>
          <w:rFonts w:ascii="Georgia" w:hAnsi="Georgia"/>
          <w:sz w:val="24"/>
          <w:szCs w:val="24"/>
        </w:rPr>
        <w:t>Docket No. ER20-851</w:t>
      </w:r>
    </w:p>
    <w:p w14:paraId="2C92A8BA" w14:textId="7BC66068" w:rsidR="002010D8" w:rsidRPr="001F6C5D" w:rsidRDefault="002010D8">
      <w:pPr>
        <w:rPr>
          <w:rFonts w:ascii="Georgia" w:hAnsi="Georgia"/>
          <w:sz w:val="24"/>
          <w:szCs w:val="24"/>
        </w:rPr>
      </w:pPr>
    </w:p>
    <w:p w14:paraId="4CD8E919" w14:textId="29AF48B3" w:rsidR="002010D8" w:rsidRPr="00DD47D5" w:rsidRDefault="001B7FF6" w:rsidP="00DD47D5">
      <w:pPr>
        <w:jc w:val="center"/>
        <w:rPr>
          <w:rFonts w:ascii="Georgia" w:hAnsi="Georgia"/>
          <w:b/>
          <w:bCs/>
          <w:sz w:val="24"/>
          <w:szCs w:val="24"/>
        </w:rPr>
      </w:pPr>
      <w:r>
        <w:rPr>
          <w:rFonts w:ascii="Georgia" w:hAnsi="Georgia"/>
          <w:b/>
          <w:bCs/>
          <w:sz w:val="24"/>
          <w:szCs w:val="24"/>
        </w:rPr>
        <w:t xml:space="preserve">Motion to Intervene and </w:t>
      </w:r>
      <w:r w:rsidR="00DB3887" w:rsidRPr="00DD47D5">
        <w:rPr>
          <w:rFonts w:ascii="Georgia" w:hAnsi="Georgia"/>
          <w:b/>
          <w:bCs/>
          <w:sz w:val="24"/>
          <w:szCs w:val="24"/>
        </w:rPr>
        <w:t>Comments of Public Citizen, Inc.</w:t>
      </w:r>
    </w:p>
    <w:p w14:paraId="4759394E" w14:textId="1FE3269B" w:rsidR="002010D8" w:rsidRDefault="002010D8">
      <w:pPr>
        <w:rPr>
          <w:rFonts w:ascii="Georgia" w:hAnsi="Georgia"/>
          <w:sz w:val="24"/>
          <w:szCs w:val="24"/>
        </w:rPr>
      </w:pPr>
    </w:p>
    <w:p w14:paraId="11B0E54A" w14:textId="77777777" w:rsidR="00900171" w:rsidRDefault="00900171" w:rsidP="00900171">
      <w:pPr>
        <w:rPr>
          <w:rFonts w:ascii="Georgia" w:hAnsi="Georgia"/>
          <w:sz w:val="24"/>
          <w:szCs w:val="24"/>
        </w:rPr>
      </w:pPr>
    </w:p>
    <w:p w14:paraId="5D587C6C" w14:textId="1A177A06" w:rsidR="00900171" w:rsidRDefault="001B7FF6" w:rsidP="004A4C76">
      <w:pPr>
        <w:spacing w:line="360" w:lineRule="auto"/>
        <w:ind w:firstLine="720"/>
        <w:rPr>
          <w:rFonts w:ascii="Georgia" w:hAnsi="Georgia"/>
          <w:sz w:val="24"/>
          <w:szCs w:val="24"/>
        </w:rPr>
      </w:pPr>
      <w:r>
        <w:rPr>
          <w:rFonts w:ascii="Georgia" w:hAnsi="Georgia"/>
          <w:sz w:val="24"/>
          <w:szCs w:val="24"/>
        </w:rPr>
        <w:t xml:space="preserve">Public Citizen provides these comments to assist the Commission. </w:t>
      </w:r>
      <w:r w:rsidR="004D667D">
        <w:rPr>
          <w:rFonts w:ascii="Georgia" w:hAnsi="Georgia"/>
          <w:sz w:val="24"/>
          <w:szCs w:val="24"/>
        </w:rPr>
        <w:t>Established in 1971, P</w:t>
      </w:r>
      <w:r w:rsidR="004D667D" w:rsidRPr="00820DDF">
        <w:rPr>
          <w:rFonts w:ascii="Georgia" w:hAnsi="Georgia"/>
          <w:sz w:val="24"/>
          <w:szCs w:val="24"/>
        </w:rPr>
        <w:t xml:space="preserve">ublic Citizen is a national, not-for-profit, non-partisan, research and advocacy organization representing the interests of household consumers. We are active before FERC </w:t>
      </w:r>
      <w:r w:rsidR="004D667D">
        <w:rPr>
          <w:rFonts w:ascii="Georgia" w:hAnsi="Georgia"/>
          <w:sz w:val="24"/>
          <w:szCs w:val="24"/>
        </w:rPr>
        <w:t>supporting</w:t>
      </w:r>
      <w:r w:rsidR="004D667D" w:rsidRPr="00820DDF">
        <w:rPr>
          <w:rFonts w:ascii="Georgia" w:hAnsi="Georgia"/>
          <w:sz w:val="24"/>
          <w:szCs w:val="24"/>
        </w:rPr>
        <w:t xml:space="preserve"> just and reasonable rates, and </w:t>
      </w:r>
      <w:r w:rsidR="004D667D">
        <w:rPr>
          <w:rFonts w:ascii="Georgia" w:hAnsi="Georgia"/>
          <w:sz w:val="24"/>
          <w:szCs w:val="24"/>
        </w:rPr>
        <w:t>promoting</w:t>
      </w:r>
      <w:r w:rsidR="004D667D" w:rsidRPr="00820DDF">
        <w:rPr>
          <w:rFonts w:ascii="Georgia" w:hAnsi="Georgia"/>
          <w:sz w:val="24"/>
          <w:szCs w:val="24"/>
        </w:rPr>
        <w:t xml:space="preserve"> utilities to be accountable to the public interest. Our financial details are located at our web site.</w:t>
      </w:r>
      <w:r w:rsidR="004D667D" w:rsidRPr="00820DDF">
        <w:rPr>
          <w:rStyle w:val="FootnoteReference"/>
          <w:rFonts w:ascii="Georgia" w:hAnsi="Georgia"/>
          <w:sz w:val="24"/>
          <w:szCs w:val="24"/>
        </w:rPr>
        <w:footnoteReference w:id="1"/>
      </w:r>
      <w:r w:rsidR="004D667D" w:rsidRPr="00820DDF">
        <w:rPr>
          <w:rFonts w:ascii="Georgia" w:hAnsi="Georgia"/>
          <w:sz w:val="24"/>
          <w:szCs w:val="24"/>
        </w:rPr>
        <w:t xml:space="preserve"> </w:t>
      </w:r>
      <w:r w:rsidR="00900171">
        <w:rPr>
          <w:rFonts w:ascii="Georgia" w:hAnsi="Georgia"/>
          <w:sz w:val="24"/>
          <w:szCs w:val="24"/>
        </w:rPr>
        <w:t>Public Citizen intervened in Docket No. ER20-850 on January 22, 2020</w:t>
      </w:r>
      <w:r w:rsidR="00900171">
        <w:rPr>
          <w:rFonts w:ascii="Georgia" w:hAnsi="Georgia"/>
          <w:sz w:val="24"/>
          <w:szCs w:val="24"/>
        </w:rPr>
        <w:t>, and by this notice we intervene in Docket No. ER20-851.</w:t>
      </w:r>
    </w:p>
    <w:p w14:paraId="16EB122C" w14:textId="2B27EE04" w:rsidR="000E6729" w:rsidRDefault="00D019BD" w:rsidP="004A4C76">
      <w:pPr>
        <w:spacing w:line="360" w:lineRule="auto"/>
        <w:ind w:firstLine="720"/>
        <w:rPr>
          <w:rFonts w:ascii="Georgia" w:hAnsi="Georgia"/>
          <w:sz w:val="24"/>
          <w:szCs w:val="24"/>
        </w:rPr>
      </w:pPr>
      <w:r>
        <w:rPr>
          <w:rFonts w:ascii="Georgia" w:hAnsi="Georgia"/>
          <w:sz w:val="24"/>
          <w:szCs w:val="24"/>
        </w:rPr>
        <w:t>Bulb submitted a market-based rate authority application on January 17, 2020.</w:t>
      </w:r>
      <w:r w:rsidR="004F675A">
        <w:rPr>
          <w:rFonts w:ascii="Georgia" w:hAnsi="Georgia"/>
          <w:sz w:val="24"/>
          <w:szCs w:val="24"/>
        </w:rPr>
        <w:t xml:space="preserve"> On March 16, the Commission</w:t>
      </w:r>
      <w:r w:rsidR="00800F5D">
        <w:rPr>
          <w:rFonts w:ascii="Georgia" w:hAnsi="Georgia"/>
          <w:sz w:val="24"/>
          <w:szCs w:val="24"/>
        </w:rPr>
        <w:t xml:space="preserve"> asked for additional information</w:t>
      </w:r>
      <w:r w:rsidR="00EA3D33">
        <w:rPr>
          <w:rFonts w:ascii="Georgia" w:hAnsi="Georgia"/>
          <w:sz w:val="24"/>
          <w:szCs w:val="24"/>
        </w:rPr>
        <w:t xml:space="preserve"> about the upstream ownership of </w:t>
      </w:r>
      <w:r w:rsidR="00EA3D33" w:rsidRPr="00EA3D33">
        <w:rPr>
          <w:rFonts w:ascii="Georgia" w:hAnsi="Georgia"/>
          <w:sz w:val="24"/>
          <w:szCs w:val="24"/>
        </w:rPr>
        <w:t>Simple Energy LTD</w:t>
      </w:r>
      <w:r w:rsidR="00EA3D33">
        <w:rPr>
          <w:rFonts w:ascii="Georgia" w:hAnsi="Georgia"/>
          <w:sz w:val="24"/>
          <w:szCs w:val="24"/>
        </w:rPr>
        <w:t>, the ultimate parent company of Bulb</w:t>
      </w:r>
      <w:r w:rsidR="00055101">
        <w:rPr>
          <w:rFonts w:ascii="Georgia" w:hAnsi="Georgia"/>
          <w:sz w:val="24"/>
          <w:szCs w:val="24"/>
        </w:rPr>
        <w:t xml:space="preserve">, and Bulb has requested and received three separate </w:t>
      </w:r>
      <w:r w:rsidR="00D64347">
        <w:rPr>
          <w:rFonts w:ascii="Georgia" w:hAnsi="Georgia"/>
          <w:sz w:val="24"/>
          <w:szCs w:val="24"/>
        </w:rPr>
        <w:t>extensions</w:t>
      </w:r>
      <w:r w:rsidR="00055101">
        <w:rPr>
          <w:rFonts w:ascii="Georgia" w:hAnsi="Georgia"/>
          <w:sz w:val="24"/>
          <w:szCs w:val="24"/>
        </w:rPr>
        <w:t xml:space="preserve"> to answer.</w:t>
      </w:r>
    </w:p>
    <w:p w14:paraId="325BA46F" w14:textId="566584F6" w:rsidR="001B050E" w:rsidRDefault="004C28A3" w:rsidP="004A4C76">
      <w:pPr>
        <w:spacing w:line="360" w:lineRule="auto"/>
        <w:ind w:firstLine="720"/>
        <w:rPr>
          <w:rFonts w:ascii="Georgia" w:hAnsi="Georgia"/>
          <w:sz w:val="24"/>
          <w:szCs w:val="24"/>
        </w:rPr>
      </w:pPr>
      <w:r>
        <w:rPr>
          <w:rFonts w:ascii="Georgia" w:hAnsi="Georgia"/>
          <w:sz w:val="24"/>
          <w:szCs w:val="24"/>
        </w:rPr>
        <w:t>Bulb’s</w:t>
      </w:r>
      <w:r w:rsidR="00DB3887">
        <w:rPr>
          <w:rFonts w:ascii="Georgia" w:hAnsi="Georgia"/>
          <w:sz w:val="24"/>
          <w:szCs w:val="24"/>
        </w:rPr>
        <w:t xml:space="preserve"> requests for more time to respond to the Commission’s questions are </w:t>
      </w:r>
      <w:r w:rsidR="00446969">
        <w:rPr>
          <w:rFonts w:ascii="Georgia" w:hAnsi="Georgia"/>
          <w:sz w:val="24"/>
          <w:szCs w:val="24"/>
        </w:rPr>
        <w:t>explicable</w:t>
      </w:r>
      <w:r w:rsidR="00DB3887">
        <w:rPr>
          <w:rFonts w:ascii="Georgia" w:hAnsi="Georgia"/>
          <w:sz w:val="24"/>
          <w:szCs w:val="24"/>
        </w:rPr>
        <w:t xml:space="preserve"> given </w:t>
      </w:r>
      <w:r w:rsidR="008844B3">
        <w:rPr>
          <w:rFonts w:ascii="Georgia" w:hAnsi="Georgia"/>
          <w:sz w:val="24"/>
          <w:szCs w:val="24"/>
        </w:rPr>
        <w:t>the recent</w:t>
      </w:r>
      <w:r w:rsidR="00917F43">
        <w:rPr>
          <w:rFonts w:ascii="Georgia" w:hAnsi="Georgia"/>
          <w:sz w:val="24"/>
          <w:szCs w:val="24"/>
        </w:rPr>
        <w:t>, significant</w:t>
      </w:r>
      <w:r w:rsidR="008844B3">
        <w:rPr>
          <w:rFonts w:ascii="Georgia" w:hAnsi="Georgia"/>
          <w:sz w:val="24"/>
          <w:szCs w:val="24"/>
        </w:rPr>
        <w:t xml:space="preserve"> enforcement action against the company. </w:t>
      </w:r>
      <w:r w:rsidR="007934F9">
        <w:rPr>
          <w:rFonts w:ascii="Georgia" w:hAnsi="Georgia"/>
          <w:sz w:val="24"/>
          <w:szCs w:val="24"/>
        </w:rPr>
        <w:t xml:space="preserve">On August 13, 2020, FERC’s </w:t>
      </w:r>
      <w:r w:rsidR="00C73D6A">
        <w:rPr>
          <w:rFonts w:ascii="Georgia" w:hAnsi="Georgia"/>
          <w:sz w:val="24"/>
          <w:szCs w:val="24"/>
        </w:rPr>
        <w:t xml:space="preserve">United Kingdom </w:t>
      </w:r>
      <w:r w:rsidR="007934F9">
        <w:rPr>
          <w:rFonts w:ascii="Georgia" w:hAnsi="Georgia"/>
          <w:sz w:val="24"/>
          <w:szCs w:val="24"/>
        </w:rPr>
        <w:t>equivalent</w:t>
      </w:r>
      <w:r w:rsidR="00C73D6A">
        <w:rPr>
          <w:rFonts w:ascii="Georgia" w:hAnsi="Georgia"/>
          <w:sz w:val="24"/>
          <w:szCs w:val="24"/>
        </w:rPr>
        <w:t xml:space="preserve">, </w:t>
      </w:r>
      <w:r w:rsidR="00E439DF">
        <w:rPr>
          <w:rFonts w:ascii="Georgia" w:hAnsi="Georgia"/>
          <w:sz w:val="24"/>
          <w:szCs w:val="24"/>
        </w:rPr>
        <w:t xml:space="preserve">the Office of </w:t>
      </w:r>
      <w:r w:rsidR="00F41AE5">
        <w:rPr>
          <w:rFonts w:ascii="Georgia" w:hAnsi="Georgia"/>
          <w:sz w:val="24"/>
          <w:szCs w:val="24"/>
        </w:rPr>
        <w:t>Gas and Electricity Markets (OFGEM</w:t>
      </w:r>
      <w:r w:rsidR="005F0708">
        <w:rPr>
          <w:rFonts w:ascii="Georgia" w:hAnsi="Georgia"/>
          <w:sz w:val="24"/>
          <w:szCs w:val="24"/>
        </w:rPr>
        <w:t>)</w:t>
      </w:r>
      <w:r w:rsidR="00917F43">
        <w:rPr>
          <w:rFonts w:ascii="Georgia" w:hAnsi="Georgia"/>
          <w:sz w:val="24"/>
          <w:szCs w:val="24"/>
        </w:rPr>
        <w:t>,</w:t>
      </w:r>
      <w:r w:rsidR="005F0708">
        <w:rPr>
          <w:rFonts w:ascii="Georgia" w:hAnsi="Georgia"/>
          <w:sz w:val="24"/>
          <w:szCs w:val="24"/>
        </w:rPr>
        <w:t xml:space="preserve"> ordered Bulb to pay </w:t>
      </w:r>
      <w:r w:rsidR="005F0708" w:rsidRPr="005F0708">
        <w:rPr>
          <w:rFonts w:ascii="Georgia" w:hAnsi="Georgia"/>
          <w:sz w:val="24"/>
          <w:szCs w:val="24"/>
        </w:rPr>
        <w:t>£1.76 million</w:t>
      </w:r>
      <w:r w:rsidR="005F0708">
        <w:rPr>
          <w:rFonts w:ascii="Georgia" w:hAnsi="Georgia"/>
          <w:sz w:val="24"/>
          <w:szCs w:val="24"/>
        </w:rPr>
        <w:t xml:space="preserve"> (</w:t>
      </w:r>
      <w:r w:rsidR="00D90A80">
        <w:rPr>
          <w:rFonts w:ascii="Georgia" w:hAnsi="Georgia"/>
          <w:sz w:val="24"/>
          <w:szCs w:val="24"/>
        </w:rPr>
        <w:t>US</w:t>
      </w:r>
      <w:r w:rsidR="00BA2AA9">
        <w:rPr>
          <w:rFonts w:ascii="Georgia" w:hAnsi="Georgia"/>
          <w:sz w:val="24"/>
          <w:szCs w:val="24"/>
        </w:rPr>
        <w:t xml:space="preserve"> </w:t>
      </w:r>
      <w:r w:rsidR="005F0708">
        <w:rPr>
          <w:rFonts w:ascii="Georgia" w:hAnsi="Georgia"/>
          <w:sz w:val="24"/>
          <w:szCs w:val="24"/>
        </w:rPr>
        <w:t>$</w:t>
      </w:r>
      <w:r w:rsidR="00D90A80">
        <w:rPr>
          <w:rFonts w:ascii="Georgia" w:hAnsi="Georgia"/>
          <w:sz w:val="24"/>
          <w:szCs w:val="24"/>
        </w:rPr>
        <w:t>2.32 million)</w:t>
      </w:r>
      <w:r w:rsidR="008844B3">
        <w:rPr>
          <w:rFonts w:ascii="Georgia" w:hAnsi="Georgia"/>
          <w:sz w:val="24"/>
          <w:szCs w:val="24"/>
        </w:rPr>
        <w:t xml:space="preserve"> </w:t>
      </w:r>
      <w:r w:rsidR="009C7200">
        <w:rPr>
          <w:rFonts w:ascii="Georgia" w:hAnsi="Georgia"/>
          <w:sz w:val="24"/>
          <w:szCs w:val="24"/>
        </w:rPr>
        <w:t>in refunds and compensation because</w:t>
      </w:r>
      <w:r w:rsidR="0024181F">
        <w:rPr>
          <w:rFonts w:ascii="Georgia" w:hAnsi="Georgia"/>
          <w:sz w:val="24"/>
          <w:szCs w:val="24"/>
        </w:rPr>
        <w:t xml:space="preserve"> the company </w:t>
      </w:r>
      <w:r w:rsidR="00655F1A">
        <w:rPr>
          <w:rFonts w:ascii="Georgia" w:hAnsi="Georgia"/>
          <w:sz w:val="24"/>
          <w:szCs w:val="24"/>
        </w:rPr>
        <w:t>overcharged</w:t>
      </w:r>
      <w:r w:rsidR="00265FB5">
        <w:rPr>
          <w:rFonts w:ascii="Georgia" w:hAnsi="Georgia"/>
          <w:sz w:val="24"/>
          <w:szCs w:val="24"/>
        </w:rPr>
        <w:t xml:space="preserve"> 11,</w:t>
      </w:r>
      <w:r w:rsidR="00CE7A84">
        <w:rPr>
          <w:rFonts w:ascii="Georgia" w:hAnsi="Georgia"/>
          <w:sz w:val="24"/>
          <w:szCs w:val="24"/>
        </w:rPr>
        <w:t>4</w:t>
      </w:r>
      <w:r w:rsidR="00265FB5">
        <w:rPr>
          <w:rFonts w:ascii="Georgia" w:hAnsi="Georgia"/>
          <w:sz w:val="24"/>
          <w:szCs w:val="24"/>
        </w:rPr>
        <w:t>00 customers</w:t>
      </w:r>
      <w:r w:rsidR="00E503FB">
        <w:rPr>
          <w:rFonts w:ascii="Georgia" w:hAnsi="Georgia"/>
          <w:sz w:val="24"/>
          <w:szCs w:val="24"/>
        </w:rPr>
        <w:t xml:space="preserve"> </w:t>
      </w:r>
      <w:r w:rsidR="00E503FB" w:rsidRPr="00E503FB">
        <w:rPr>
          <w:rFonts w:ascii="Georgia" w:hAnsi="Georgia"/>
          <w:sz w:val="24"/>
          <w:szCs w:val="24"/>
        </w:rPr>
        <w:t>and improperly removed 46,500 vulnerable customers from a register that provides them priority service.</w:t>
      </w:r>
      <w:r w:rsidR="001A0ED4">
        <w:rPr>
          <w:rStyle w:val="FootnoteReference"/>
          <w:rFonts w:ascii="Georgia" w:hAnsi="Georgia"/>
          <w:sz w:val="24"/>
          <w:szCs w:val="24"/>
        </w:rPr>
        <w:footnoteReference w:id="2"/>
      </w:r>
    </w:p>
    <w:p w14:paraId="616CCFA9" w14:textId="3FC0C4C0" w:rsidR="00E95827" w:rsidRDefault="00234652" w:rsidP="004A4C76">
      <w:pPr>
        <w:spacing w:line="360" w:lineRule="auto"/>
        <w:rPr>
          <w:rFonts w:ascii="Georgia" w:hAnsi="Georgia"/>
          <w:sz w:val="24"/>
          <w:szCs w:val="24"/>
        </w:rPr>
      </w:pPr>
      <w:r>
        <w:rPr>
          <w:rFonts w:ascii="Georgia" w:hAnsi="Georgia"/>
          <w:sz w:val="24"/>
          <w:szCs w:val="24"/>
        </w:rPr>
        <w:tab/>
      </w:r>
      <w:r w:rsidR="006B1313">
        <w:rPr>
          <w:rFonts w:ascii="Georgia" w:hAnsi="Georgia"/>
          <w:sz w:val="24"/>
          <w:szCs w:val="24"/>
        </w:rPr>
        <w:t>T</w:t>
      </w:r>
      <w:r>
        <w:rPr>
          <w:rFonts w:ascii="Georgia" w:hAnsi="Georgia"/>
          <w:sz w:val="24"/>
          <w:szCs w:val="24"/>
        </w:rPr>
        <w:t>o assist the Commission with its questions regarding the upstream ownership of Bulb’s parent Simple Energy LTD</w:t>
      </w:r>
      <w:r w:rsidR="00070393">
        <w:rPr>
          <w:rFonts w:ascii="Georgia" w:hAnsi="Georgia"/>
          <w:sz w:val="24"/>
          <w:szCs w:val="24"/>
        </w:rPr>
        <w:t>,</w:t>
      </w:r>
      <w:r w:rsidR="00804FB9">
        <w:rPr>
          <w:rFonts w:ascii="Georgia" w:hAnsi="Georgia"/>
          <w:sz w:val="24"/>
          <w:szCs w:val="24"/>
        </w:rPr>
        <w:t xml:space="preserve"> we offer information from </w:t>
      </w:r>
      <w:r w:rsidR="0044211B">
        <w:rPr>
          <w:rFonts w:ascii="Georgia" w:hAnsi="Georgia"/>
          <w:sz w:val="24"/>
          <w:szCs w:val="24"/>
        </w:rPr>
        <w:t>public</w:t>
      </w:r>
      <w:r w:rsidR="00E41032">
        <w:rPr>
          <w:rFonts w:ascii="Georgia" w:hAnsi="Georgia"/>
          <w:sz w:val="24"/>
          <w:szCs w:val="24"/>
        </w:rPr>
        <w:t xml:space="preserve"> sources. First, </w:t>
      </w:r>
      <w:r w:rsidR="00976968" w:rsidRPr="00976968">
        <w:rPr>
          <w:rFonts w:ascii="Georgia" w:hAnsi="Georgia"/>
          <w:sz w:val="24"/>
          <w:szCs w:val="24"/>
        </w:rPr>
        <w:t>Bulb</w:t>
      </w:r>
      <w:r w:rsidR="00976968">
        <w:rPr>
          <w:rFonts w:ascii="Georgia" w:hAnsi="Georgia"/>
          <w:sz w:val="24"/>
          <w:szCs w:val="24"/>
        </w:rPr>
        <w:t>’</w:t>
      </w:r>
      <w:r w:rsidR="00976968" w:rsidRPr="00976968">
        <w:rPr>
          <w:rFonts w:ascii="Georgia" w:hAnsi="Georgia"/>
          <w:sz w:val="24"/>
          <w:szCs w:val="24"/>
        </w:rPr>
        <w:t xml:space="preserve">s co-founders are Hayden Wood, formally with Bain </w:t>
      </w:r>
      <w:r w:rsidR="00256D3B">
        <w:rPr>
          <w:rFonts w:ascii="Georgia" w:hAnsi="Georgia"/>
          <w:sz w:val="24"/>
          <w:szCs w:val="24"/>
        </w:rPr>
        <w:t>&amp; Company</w:t>
      </w:r>
      <w:r w:rsidR="00976968" w:rsidRPr="00976968">
        <w:rPr>
          <w:rFonts w:ascii="Georgia" w:hAnsi="Georgia"/>
          <w:sz w:val="24"/>
          <w:szCs w:val="24"/>
        </w:rPr>
        <w:t xml:space="preserve">, and Amit </w:t>
      </w:r>
      <w:proofErr w:type="spellStart"/>
      <w:r w:rsidR="00976968" w:rsidRPr="00976968">
        <w:rPr>
          <w:rFonts w:ascii="Georgia" w:hAnsi="Georgia"/>
          <w:sz w:val="24"/>
          <w:szCs w:val="24"/>
        </w:rPr>
        <w:t>Gudka</w:t>
      </w:r>
      <w:proofErr w:type="spellEnd"/>
      <w:r w:rsidR="00976968" w:rsidRPr="00976968">
        <w:rPr>
          <w:rFonts w:ascii="Georgia" w:hAnsi="Georgia"/>
          <w:sz w:val="24"/>
          <w:szCs w:val="24"/>
        </w:rPr>
        <w:t xml:space="preserve">, </w:t>
      </w:r>
      <w:r w:rsidR="00976968" w:rsidRPr="00976968">
        <w:rPr>
          <w:rFonts w:ascii="Georgia" w:hAnsi="Georgia"/>
          <w:sz w:val="24"/>
          <w:szCs w:val="24"/>
        </w:rPr>
        <w:lastRenderedPageBreak/>
        <w:t xml:space="preserve">formally with Barclays, who set up Bulb because they were </w:t>
      </w:r>
      <w:r w:rsidR="00751379">
        <w:rPr>
          <w:rFonts w:ascii="Georgia" w:hAnsi="Georgia"/>
          <w:sz w:val="24"/>
          <w:szCs w:val="24"/>
        </w:rPr>
        <w:t>“</w:t>
      </w:r>
      <w:r w:rsidR="00976968" w:rsidRPr="00976968">
        <w:rPr>
          <w:rFonts w:ascii="Georgia" w:hAnsi="Georgia"/>
          <w:sz w:val="24"/>
          <w:szCs w:val="24"/>
        </w:rPr>
        <w:t>fed up with the way the energy industry treats its customers.</w:t>
      </w:r>
      <w:r w:rsidR="00751379">
        <w:rPr>
          <w:rFonts w:ascii="Georgia" w:hAnsi="Georgia"/>
          <w:sz w:val="24"/>
          <w:szCs w:val="24"/>
        </w:rPr>
        <w:t>”</w:t>
      </w:r>
      <w:r w:rsidR="00751379">
        <w:rPr>
          <w:rStyle w:val="FootnoteReference"/>
          <w:rFonts w:ascii="Georgia" w:hAnsi="Georgia"/>
          <w:sz w:val="24"/>
          <w:szCs w:val="24"/>
        </w:rPr>
        <w:footnoteReference w:id="3"/>
      </w:r>
    </w:p>
    <w:p w14:paraId="7FB79341" w14:textId="3874B2F7" w:rsidR="006D15B2" w:rsidRDefault="006D15B2" w:rsidP="004A4C76">
      <w:pPr>
        <w:spacing w:line="360" w:lineRule="auto"/>
        <w:rPr>
          <w:rFonts w:ascii="Georgia" w:hAnsi="Georgia"/>
          <w:sz w:val="24"/>
          <w:szCs w:val="24"/>
        </w:rPr>
      </w:pPr>
      <w:r>
        <w:rPr>
          <w:rFonts w:ascii="Georgia" w:hAnsi="Georgia"/>
          <w:sz w:val="24"/>
          <w:szCs w:val="24"/>
        </w:rPr>
        <w:tab/>
      </w:r>
      <w:r w:rsidR="004838FB">
        <w:rPr>
          <w:rFonts w:ascii="Georgia" w:hAnsi="Georgia"/>
          <w:sz w:val="24"/>
          <w:szCs w:val="24"/>
        </w:rPr>
        <w:t>Second, m</w:t>
      </w:r>
      <w:r w:rsidRPr="006D15B2">
        <w:rPr>
          <w:rFonts w:ascii="Georgia" w:hAnsi="Georgia"/>
          <w:sz w:val="24"/>
          <w:szCs w:val="24"/>
        </w:rPr>
        <w:t>edia rep</w:t>
      </w:r>
      <w:bookmarkStart w:id="0" w:name="_GoBack"/>
      <w:bookmarkEnd w:id="0"/>
      <w:r w:rsidRPr="006D15B2">
        <w:rPr>
          <w:rFonts w:ascii="Georgia" w:hAnsi="Georgia"/>
          <w:sz w:val="24"/>
          <w:szCs w:val="24"/>
        </w:rPr>
        <w:t xml:space="preserve">orts state that </w:t>
      </w:r>
      <w:r w:rsidR="004838FB">
        <w:rPr>
          <w:rFonts w:ascii="Georgia" w:hAnsi="Georgia"/>
          <w:sz w:val="24"/>
          <w:szCs w:val="24"/>
        </w:rPr>
        <w:t>Bulb parent</w:t>
      </w:r>
      <w:r w:rsidRPr="006D15B2">
        <w:rPr>
          <w:rFonts w:ascii="Georgia" w:hAnsi="Georgia"/>
          <w:sz w:val="24"/>
          <w:szCs w:val="24"/>
        </w:rPr>
        <w:t xml:space="preserve"> Simple Energy Ltd. </w:t>
      </w:r>
      <w:r w:rsidRPr="006D15B2">
        <w:rPr>
          <w:rFonts w:ascii="Georgia" w:hAnsi="Georgia"/>
          <w:sz w:val="24"/>
          <w:szCs w:val="24"/>
        </w:rPr>
        <w:t>received</w:t>
      </w:r>
      <w:r w:rsidRPr="006D15B2">
        <w:rPr>
          <w:rFonts w:ascii="Georgia" w:hAnsi="Georgia"/>
          <w:sz w:val="24"/>
          <w:szCs w:val="24"/>
        </w:rPr>
        <w:t xml:space="preserve"> equity investments of </w:t>
      </w:r>
      <w:r>
        <w:rPr>
          <w:rFonts w:ascii="Georgia" w:hAnsi="Georgia"/>
          <w:sz w:val="24"/>
          <w:szCs w:val="24"/>
        </w:rPr>
        <w:t>£</w:t>
      </w:r>
      <w:r w:rsidRPr="006D15B2">
        <w:rPr>
          <w:rFonts w:ascii="Georgia" w:hAnsi="Georgia"/>
          <w:sz w:val="24"/>
          <w:szCs w:val="24"/>
        </w:rPr>
        <w:t>60 million</w:t>
      </w:r>
      <w:r>
        <w:rPr>
          <w:rFonts w:ascii="Georgia" w:hAnsi="Georgia"/>
          <w:sz w:val="24"/>
          <w:szCs w:val="24"/>
        </w:rPr>
        <w:t xml:space="preserve"> (US $</w:t>
      </w:r>
      <w:r w:rsidR="00AF44B3">
        <w:rPr>
          <w:rFonts w:ascii="Georgia" w:hAnsi="Georgia"/>
          <w:sz w:val="24"/>
          <w:szCs w:val="24"/>
        </w:rPr>
        <w:t>79.25 million)</w:t>
      </w:r>
      <w:r w:rsidRPr="006D15B2">
        <w:rPr>
          <w:rFonts w:ascii="Georgia" w:hAnsi="Georgia"/>
          <w:sz w:val="24"/>
          <w:szCs w:val="24"/>
        </w:rPr>
        <w:t xml:space="preserve"> from two sources: Russian oligarch Yuri Milner</w:t>
      </w:r>
      <w:r w:rsidR="00AF44B3">
        <w:rPr>
          <w:rFonts w:ascii="Georgia" w:hAnsi="Georgia"/>
          <w:sz w:val="24"/>
          <w:szCs w:val="24"/>
        </w:rPr>
        <w:t>’</w:t>
      </w:r>
      <w:r w:rsidRPr="006D15B2">
        <w:rPr>
          <w:rFonts w:ascii="Georgia" w:hAnsi="Georgia"/>
          <w:sz w:val="24"/>
          <w:szCs w:val="24"/>
        </w:rPr>
        <w:t xml:space="preserve">s DST Global, and </w:t>
      </w:r>
      <w:r w:rsidR="00D115FC">
        <w:rPr>
          <w:rFonts w:ascii="Georgia" w:hAnsi="Georgia"/>
          <w:sz w:val="24"/>
          <w:szCs w:val="24"/>
        </w:rPr>
        <w:t>U.S.</w:t>
      </w:r>
      <w:r w:rsidRPr="006D15B2">
        <w:rPr>
          <w:rFonts w:ascii="Georgia" w:hAnsi="Georgia"/>
          <w:sz w:val="24"/>
          <w:szCs w:val="24"/>
        </w:rPr>
        <w:t xml:space="preserve"> hedge fund Magnetar</w:t>
      </w:r>
      <w:r w:rsidR="00370E47">
        <w:rPr>
          <w:rFonts w:ascii="Georgia" w:hAnsi="Georgia"/>
          <w:sz w:val="24"/>
          <w:szCs w:val="24"/>
        </w:rPr>
        <w:t xml:space="preserve"> Capital</w:t>
      </w:r>
      <w:r w:rsidRPr="006D15B2">
        <w:rPr>
          <w:rFonts w:ascii="Georgia" w:hAnsi="Georgia"/>
          <w:sz w:val="24"/>
          <w:szCs w:val="24"/>
        </w:rPr>
        <w:t>.</w:t>
      </w:r>
      <w:r w:rsidR="00DE7FE0">
        <w:rPr>
          <w:rStyle w:val="FootnoteReference"/>
          <w:rFonts w:ascii="Georgia" w:hAnsi="Georgia"/>
          <w:sz w:val="24"/>
          <w:szCs w:val="24"/>
        </w:rPr>
        <w:footnoteReference w:id="4"/>
      </w:r>
      <w:r w:rsidR="00954D63">
        <w:rPr>
          <w:rFonts w:ascii="Georgia" w:hAnsi="Georgia"/>
          <w:sz w:val="24"/>
          <w:szCs w:val="24"/>
        </w:rPr>
        <w:t xml:space="preserve"> </w:t>
      </w:r>
      <w:r w:rsidR="006F58D1">
        <w:rPr>
          <w:rFonts w:ascii="Georgia" w:hAnsi="Georgia"/>
          <w:sz w:val="24"/>
          <w:szCs w:val="24"/>
        </w:rPr>
        <w:t>T</w:t>
      </w:r>
      <w:r w:rsidR="00954D63">
        <w:rPr>
          <w:rFonts w:ascii="Georgia" w:hAnsi="Georgia"/>
          <w:sz w:val="24"/>
          <w:szCs w:val="24"/>
        </w:rPr>
        <w:t>he Trump Administration placed Yuri Milner</w:t>
      </w:r>
      <w:r w:rsidR="00923EAE">
        <w:rPr>
          <w:rFonts w:ascii="Georgia" w:hAnsi="Georgia"/>
          <w:sz w:val="24"/>
          <w:szCs w:val="24"/>
        </w:rPr>
        <w:t xml:space="preserve"> </w:t>
      </w:r>
      <w:r w:rsidR="00923EAE" w:rsidRPr="00923EAE">
        <w:rPr>
          <w:rFonts w:ascii="Georgia" w:hAnsi="Georgia"/>
          <w:sz w:val="24"/>
          <w:szCs w:val="24"/>
        </w:rPr>
        <w:t xml:space="preserve">on a list of Russian oligarchs pursuant to the </w:t>
      </w:r>
      <w:r w:rsidR="00923EAE" w:rsidRPr="00D17500">
        <w:rPr>
          <w:rFonts w:ascii="Georgia" w:hAnsi="Georgia"/>
          <w:i/>
          <w:iCs/>
          <w:sz w:val="24"/>
          <w:szCs w:val="24"/>
        </w:rPr>
        <w:t>Countering America</w:t>
      </w:r>
      <w:r w:rsidR="00542923" w:rsidRPr="00D17500">
        <w:rPr>
          <w:rFonts w:ascii="Georgia" w:hAnsi="Georgia"/>
          <w:i/>
          <w:iCs/>
          <w:sz w:val="24"/>
          <w:szCs w:val="24"/>
        </w:rPr>
        <w:t>’</w:t>
      </w:r>
      <w:r w:rsidR="00923EAE" w:rsidRPr="00D17500">
        <w:rPr>
          <w:rFonts w:ascii="Georgia" w:hAnsi="Georgia"/>
          <w:i/>
          <w:iCs/>
          <w:sz w:val="24"/>
          <w:szCs w:val="24"/>
        </w:rPr>
        <w:t>s Adversaries Through Sanctions Act</w:t>
      </w:r>
      <w:r w:rsidR="00923EAE" w:rsidRPr="00923EAE">
        <w:rPr>
          <w:rFonts w:ascii="Georgia" w:hAnsi="Georgia"/>
          <w:sz w:val="24"/>
          <w:szCs w:val="24"/>
        </w:rPr>
        <w:t>.</w:t>
      </w:r>
      <w:r w:rsidR="006F58D1">
        <w:rPr>
          <w:rStyle w:val="FootnoteReference"/>
          <w:rFonts w:ascii="Georgia" w:hAnsi="Georgia"/>
          <w:sz w:val="24"/>
          <w:szCs w:val="24"/>
        </w:rPr>
        <w:footnoteReference w:id="5"/>
      </w:r>
    </w:p>
    <w:p w14:paraId="672E6C1B" w14:textId="0A3404CA" w:rsidR="00E95827" w:rsidRDefault="00E95827">
      <w:pPr>
        <w:rPr>
          <w:rFonts w:ascii="Georgia" w:hAnsi="Georgia"/>
          <w:sz w:val="24"/>
          <w:szCs w:val="24"/>
        </w:rPr>
      </w:pPr>
    </w:p>
    <w:p w14:paraId="08A86DD6" w14:textId="408A63EA" w:rsidR="007E273D" w:rsidRDefault="007E273D">
      <w:pPr>
        <w:rPr>
          <w:rFonts w:ascii="Georgia" w:hAnsi="Georgia"/>
          <w:sz w:val="24"/>
          <w:szCs w:val="24"/>
        </w:rPr>
      </w:pPr>
    </w:p>
    <w:p w14:paraId="1827D231" w14:textId="7F9E0DE0" w:rsidR="007E273D" w:rsidRDefault="007E273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Respectfully submitted,</w:t>
      </w:r>
    </w:p>
    <w:p w14:paraId="6D8754EB" w14:textId="7BD19B33" w:rsidR="007E273D" w:rsidRDefault="007E273D">
      <w:pPr>
        <w:rPr>
          <w:rFonts w:ascii="Georgia" w:hAnsi="Georgia"/>
          <w:sz w:val="24"/>
          <w:szCs w:val="24"/>
        </w:rPr>
      </w:pPr>
    </w:p>
    <w:p w14:paraId="333C0005" w14:textId="074E5732" w:rsidR="007E273D" w:rsidRDefault="007E273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Tyson Slocum, Energy Program Director</w:t>
      </w:r>
    </w:p>
    <w:p w14:paraId="6373C43F" w14:textId="109A698F" w:rsidR="007E273D" w:rsidRDefault="007E273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Public Citizen, Inc.</w:t>
      </w:r>
    </w:p>
    <w:p w14:paraId="0ED0459B" w14:textId="318BED27" w:rsidR="007E273D" w:rsidRDefault="007E273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215 Pennsylvania Ave SE</w:t>
      </w:r>
    </w:p>
    <w:p w14:paraId="6015ADB5" w14:textId="63EF687D" w:rsidR="007E273D" w:rsidRDefault="007E273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Washington, DC  20003</w:t>
      </w:r>
    </w:p>
    <w:p w14:paraId="72886603" w14:textId="0416CB09" w:rsidR="007E273D" w:rsidRDefault="007E273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(202) 454-5191</w:t>
      </w:r>
    </w:p>
    <w:p w14:paraId="7977D495" w14:textId="1FF390E2" w:rsidR="007E273D" w:rsidRPr="007B2E3A" w:rsidRDefault="007E273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hyperlink r:id="rId7" w:history="1">
        <w:r w:rsidR="007B2E3A" w:rsidRPr="007B2E3A">
          <w:rPr>
            <w:rStyle w:val="Hyperlink"/>
            <w:rFonts w:ascii="Georgia" w:hAnsi="Georgia"/>
            <w:color w:val="auto"/>
            <w:sz w:val="24"/>
            <w:szCs w:val="24"/>
            <w:u w:val="none"/>
          </w:rPr>
          <w:t>tslocum@citizen.org</w:t>
        </w:r>
      </w:hyperlink>
    </w:p>
    <w:p w14:paraId="3F254288" w14:textId="5E09F223" w:rsidR="007B2E3A" w:rsidRDefault="007B2E3A">
      <w:pPr>
        <w:rPr>
          <w:rFonts w:ascii="Georgia" w:hAnsi="Georgia"/>
          <w:sz w:val="24"/>
          <w:szCs w:val="24"/>
        </w:rPr>
      </w:pPr>
    </w:p>
    <w:p w14:paraId="3E9AFFDB" w14:textId="759A04E5" w:rsidR="007B2E3A" w:rsidRPr="001F6C5D" w:rsidRDefault="007B2E3A">
      <w:pPr>
        <w:rPr>
          <w:rFonts w:ascii="Georgia" w:hAnsi="Georgia"/>
          <w:sz w:val="24"/>
          <w:szCs w:val="24"/>
        </w:rPr>
      </w:pPr>
      <w:r>
        <w:rPr>
          <w:rFonts w:ascii="Georgia" w:hAnsi="Georgia"/>
          <w:sz w:val="24"/>
          <w:szCs w:val="24"/>
        </w:rPr>
        <w:tab/>
      </w:r>
      <w:r>
        <w:rPr>
          <w:rFonts w:ascii="Georgia" w:hAnsi="Georgia"/>
          <w:sz w:val="24"/>
          <w:szCs w:val="24"/>
        </w:rPr>
        <w:tab/>
        <w:t>Filed August 28, 2020</w:t>
      </w:r>
    </w:p>
    <w:sectPr w:rsidR="007B2E3A" w:rsidRPr="001F6C5D" w:rsidSect="004A4C7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C9B3" w14:textId="77777777" w:rsidR="00393E2B" w:rsidRDefault="00393E2B" w:rsidP="001A0ED4">
      <w:r>
        <w:separator/>
      </w:r>
    </w:p>
  </w:endnote>
  <w:endnote w:type="continuationSeparator" w:id="0">
    <w:p w14:paraId="6EC673EE" w14:textId="77777777" w:rsidR="00393E2B" w:rsidRDefault="00393E2B" w:rsidP="001A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257547"/>
      <w:docPartObj>
        <w:docPartGallery w:val="Page Numbers (Bottom of Page)"/>
        <w:docPartUnique/>
      </w:docPartObj>
    </w:sdtPr>
    <w:sdtEndPr>
      <w:rPr>
        <w:color w:val="7F7F7F" w:themeColor="background1" w:themeShade="7F"/>
        <w:spacing w:val="60"/>
      </w:rPr>
    </w:sdtEndPr>
    <w:sdtContent>
      <w:p w14:paraId="5F2E3C16" w14:textId="7740E8A0" w:rsidR="004A4C76" w:rsidRDefault="004A4C7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46CE23" w14:textId="77777777" w:rsidR="004A4C76" w:rsidRDefault="004A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8335" w14:textId="77777777" w:rsidR="00393E2B" w:rsidRDefault="00393E2B" w:rsidP="001A0ED4">
      <w:r>
        <w:separator/>
      </w:r>
    </w:p>
  </w:footnote>
  <w:footnote w:type="continuationSeparator" w:id="0">
    <w:p w14:paraId="35E4AC48" w14:textId="77777777" w:rsidR="00393E2B" w:rsidRDefault="00393E2B" w:rsidP="001A0ED4">
      <w:r>
        <w:continuationSeparator/>
      </w:r>
    </w:p>
  </w:footnote>
  <w:footnote w:id="1">
    <w:p w14:paraId="1CDA1FA9" w14:textId="77777777" w:rsidR="004D667D" w:rsidRPr="00820DDF" w:rsidRDefault="004D667D" w:rsidP="004D667D">
      <w:pPr>
        <w:pStyle w:val="FootnoteText"/>
        <w:rPr>
          <w:rFonts w:ascii="Georgia" w:hAnsi="Georgia"/>
        </w:rPr>
      </w:pPr>
      <w:r>
        <w:rPr>
          <w:rStyle w:val="FootnoteReference"/>
        </w:rPr>
        <w:footnoteRef/>
      </w:r>
      <w:r>
        <w:t xml:space="preserve"> </w:t>
      </w:r>
      <w:hyperlink r:id="rId1" w:history="1">
        <w:r w:rsidRPr="00820DDF">
          <w:rPr>
            <w:rStyle w:val="Hyperlink"/>
            <w:rFonts w:ascii="Georgia" w:hAnsi="Georgia"/>
            <w:color w:val="auto"/>
            <w:u w:val="none"/>
          </w:rPr>
          <w:t>www.citizen.org/about/annual-report/</w:t>
        </w:r>
      </w:hyperlink>
    </w:p>
  </w:footnote>
  <w:footnote w:id="2">
    <w:p w14:paraId="01EB5D12" w14:textId="660EAC26" w:rsidR="001A0ED4" w:rsidRPr="00F566DB" w:rsidRDefault="001A0ED4">
      <w:pPr>
        <w:pStyle w:val="FootnoteText"/>
        <w:rPr>
          <w:rFonts w:ascii="Georgia" w:hAnsi="Georgia"/>
        </w:rPr>
      </w:pPr>
      <w:r>
        <w:rPr>
          <w:rStyle w:val="FootnoteReference"/>
        </w:rPr>
        <w:footnoteRef/>
      </w:r>
      <w:r>
        <w:t xml:space="preserve"> </w:t>
      </w:r>
      <w:hyperlink r:id="rId2" w:history="1">
        <w:r w:rsidRPr="00F566DB">
          <w:rPr>
            <w:rStyle w:val="Hyperlink"/>
            <w:rFonts w:ascii="Georgia" w:hAnsi="Georgia"/>
            <w:color w:val="auto"/>
            <w:u w:val="none"/>
          </w:rPr>
          <w:t>www.ofgem.gov.uk/publications-and-updates/bulb-pay-176-million-compliance-issues</w:t>
        </w:r>
      </w:hyperlink>
    </w:p>
  </w:footnote>
  <w:footnote w:id="3">
    <w:p w14:paraId="588B82A5" w14:textId="519F67E6" w:rsidR="00751379" w:rsidRDefault="00751379">
      <w:pPr>
        <w:pStyle w:val="FootnoteText"/>
      </w:pPr>
      <w:r w:rsidRPr="00F566DB">
        <w:rPr>
          <w:rStyle w:val="FootnoteReference"/>
          <w:rFonts w:ascii="Georgia" w:hAnsi="Georgia"/>
        </w:rPr>
        <w:footnoteRef/>
      </w:r>
      <w:r w:rsidRPr="00F566DB">
        <w:rPr>
          <w:rFonts w:ascii="Georgia" w:hAnsi="Georgia"/>
        </w:rPr>
        <w:t xml:space="preserve"> </w:t>
      </w:r>
      <w:r w:rsidRPr="00F566DB">
        <w:rPr>
          <w:rFonts w:ascii="Georgia" w:hAnsi="Georgia"/>
        </w:rPr>
        <w:t xml:space="preserve">Nathalie Thomas, </w:t>
      </w:r>
      <w:r w:rsidR="00F566DB">
        <w:rPr>
          <w:rFonts w:ascii="Georgia" w:hAnsi="Georgia"/>
        </w:rPr>
        <w:t>“</w:t>
      </w:r>
      <w:r w:rsidRPr="00F566DB">
        <w:rPr>
          <w:rFonts w:ascii="Georgia" w:hAnsi="Georgia"/>
        </w:rPr>
        <w:t>Bulb to pay £1.76m for overcharging customers and other failures,</w:t>
      </w:r>
      <w:r w:rsidR="00F566DB">
        <w:rPr>
          <w:rFonts w:ascii="Georgia" w:hAnsi="Georgia"/>
        </w:rPr>
        <w:t>”</w:t>
      </w:r>
      <w:r w:rsidRPr="00F566DB">
        <w:rPr>
          <w:rFonts w:ascii="Georgia" w:hAnsi="Georgia"/>
        </w:rPr>
        <w:t xml:space="preserve"> </w:t>
      </w:r>
      <w:r w:rsidRPr="00483748">
        <w:rPr>
          <w:rFonts w:ascii="Georgia" w:hAnsi="Georgia"/>
          <w:i/>
          <w:iCs/>
        </w:rPr>
        <w:t>Financial Times</w:t>
      </w:r>
      <w:r w:rsidRPr="00F566DB">
        <w:rPr>
          <w:rFonts w:ascii="Georgia" w:hAnsi="Georgia"/>
        </w:rPr>
        <w:t>, August 13, 2020.</w:t>
      </w:r>
    </w:p>
  </w:footnote>
  <w:footnote w:id="4">
    <w:p w14:paraId="4B36A953" w14:textId="06593150" w:rsidR="00DE7FE0" w:rsidRDefault="00DE7FE0">
      <w:pPr>
        <w:pStyle w:val="FootnoteText"/>
      </w:pPr>
      <w:r>
        <w:rPr>
          <w:rStyle w:val="FootnoteReference"/>
        </w:rPr>
        <w:footnoteRef/>
      </w:r>
      <w:r>
        <w:t xml:space="preserve"> </w:t>
      </w:r>
      <w:r w:rsidR="0077626C" w:rsidRPr="0077626C">
        <w:rPr>
          <w:rFonts w:ascii="Georgia" w:hAnsi="Georgia"/>
        </w:rPr>
        <w:t xml:space="preserve">Ed Clowes, </w:t>
      </w:r>
      <w:r w:rsidR="0077626C">
        <w:rPr>
          <w:rFonts w:ascii="Georgia" w:hAnsi="Georgia"/>
        </w:rPr>
        <w:t>“</w:t>
      </w:r>
      <w:r w:rsidR="0077626C" w:rsidRPr="0077626C">
        <w:rPr>
          <w:rFonts w:ascii="Georgia" w:hAnsi="Georgia"/>
        </w:rPr>
        <w:t>Future of fizzling Bulb may not be as bright as it hopes,</w:t>
      </w:r>
      <w:r w:rsidR="0077626C">
        <w:rPr>
          <w:rFonts w:ascii="Georgia" w:hAnsi="Georgia"/>
        </w:rPr>
        <w:t>”</w:t>
      </w:r>
      <w:r w:rsidR="0077626C" w:rsidRPr="0077626C">
        <w:rPr>
          <w:rFonts w:ascii="Georgia" w:hAnsi="Georgia"/>
        </w:rPr>
        <w:t xml:space="preserve"> </w:t>
      </w:r>
      <w:r w:rsidR="0077626C" w:rsidRPr="0077626C">
        <w:rPr>
          <w:rFonts w:ascii="Georgia" w:hAnsi="Georgia"/>
          <w:i/>
          <w:iCs/>
        </w:rPr>
        <w:t>The Daily Telegraph</w:t>
      </w:r>
      <w:r w:rsidR="0077626C" w:rsidRPr="0077626C">
        <w:rPr>
          <w:rFonts w:ascii="Georgia" w:hAnsi="Georgia"/>
        </w:rPr>
        <w:t>, January 27, 2020.</w:t>
      </w:r>
    </w:p>
  </w:footnote>
  <w:footnote w:id="5">
    <w:p w14:paraId="6B9A8177" w14:textId="2826AA5E" w:rsidR="006F58D1" w:rsidRDefault="006F58D1">
      <w:pPr>
        <w:pStyle w:val="FootnoteText"/>
      </w:pPr>
      <w:r>
        <w:rPr>
          <w:rStyle w:val="FootnoteReference"/>
        </w:rPr>
        <w:footnoteRef/>
      </w:r>
      <w:r>
        <w:t xml:space="preserve"> </w:t>
      </w:r>
      <w:r w:rsidRPr="006F58D1">
        <w:rPr>
          <w:rFonts w:ascii="Georgia" w:hAnsi="Georgia"/>
        </w:rPr>
        <w:t xml:space="preserve">January 29, 2018 U.S. Treasury </w:t>
      </w:r>
      <w:r w:rsidRPr="006F58D1">
        <w:rPr>
          <w:rFonts w:ascii="Georgia" w:hAnsi="Georgia"/>
          <w:i/>
          <w:iCs/>
        </w:rPr>
        <w:t>Report to Congress Pursuant to Section 241 of the Countering America's Adversaries Through Sanctions Act of 2017 Regarding Senior Foreign Political Figures and Oligarchs in the Russian Federation and Russian Parastatal Entities</w:t>
      </w:r>
      <w:r w:rsidRPr="006F58D1">
        <w:rPr>
          <w:rFonts w:ascii="Georgia" w:hAnsi="Georgia"/>
        </w:rPr>
        <w:t>, Appendix B: List of Oligarchs, www.hsdl.org/?view&amp;did=808185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D8"/>
    <w:rsid w:val="0001200B"/>
    <w:rsid w:val="00055101"/>
    <w:rsid w:val="00063136"/>
    <w:rsid w:val="00070393"/>
    <w:rsid w:val="000E15EC"/>
    <w:rsid w:val="000E6729"/>
    <w:rsid w:val="001A0ED4"/>
    <w:rsid w:val="001B050E"/>
    <w:rsid w:val="001B7FF6"/>
    <w:rsid w:val="001E68F3"/>
    <w:rsid w:val="001F6C5D"/>
    <w:rsid w:val="002010D8"/>
    <w:rsid w:val="00234652"/>
    <w:rsid w:val="0024181F"/>
    <w:rsid w:val="0025069C"/>
    <w:rsid w:val="00256D3B"/>
    <w:rsid w:val="00265FB5"/>
    <w:rsid w:val="00282C57"/>
    <w:rsid w:val="00370E47"/>
    <w:rsid w:val="00393E2B"/>
    <w:rsid w:val="003D4907"/>
    <w:rsid w:val="0044211B"/>
    <w:rsid w:val="00446969"/>
    <w:rsid w:val="00483748"/>
    <w:rsid w:val="004838FB"/>
    <w:rsid w:val="004A0350"/>
    <w:rsid w:val="004A4C76"/>
    <w:rsid w:val="004C28A3"/>
    <w:rsid w:val="004D667D"/>
    <w:rsid w:val="004F675A"/>
    <w:rsid w:val="00542923"/>
    <w:rsid w:val="005B7D26"/>
    <w:rsid w:val="005F0708"/>
    <w:rsid w:val="00614B64"/>
    <w:rsid w:val="00655F1A"/>
    <w:rsid w:val="00662EDA"/>
    <w:rsid w:val="006B1313"/>
    <w:rsid w:val="006D15B2"/>
    <w:rsid w:val="006F58D1"/>
    <w:rsid w:val="00751379"/>
    <w:rsid w:val="0077626C"/>
    <w:rsid w:val="007934F9"/>
    <w:rsid w:val="007B2E3A"/>
    <w:rsid w:val="007E273D"/>
    <w:rsid w:val="00800F5D"/>
    <w:rsid w:val="00804FB9"/>
    <w:rsid w:val="008844B3"/>
    <w:rsid w:val="00900171"/>
    <w:rsid w:val="00917F43"/>
    <w:rsid w:val="00923EAE"/>
    <w:rsid w:val="00947360"/>
    <w:rsid w:val="00954D63"/>
    <w:rsid w:val="00976968"/>
    <w:rsid w:val="009C7200"/>
    <w:rsid w:val="00AE58E5"/>
    <w:rsid w:val="00AF44B3"/>
    <w:rsid w:val="00B0580A"/>
    <w:rsid w:val="00BA2AA9"/>
    <w:rsid w:val="00C72E7A"/>
    <w:rsid w:val="00C73D6A"/>
    <w:rsid w:val="00CC6396"/>
    <w:rsid w:val="00CE7A84"/>
    <w:rsid w:val="00D019BD"/>
    <w:rsid w:val="00D115FC"/>
    <w:rsid w:val="00D17500"/>
    <w:rsid w:val="00D64347"/>
    <w:rsid w:val="00D808BB"/>
    <w:rsid w:val="00D90A80"/>
    <w:rsid w:val="00DB3887"/>
    <w:rsid w:val="00DD47D5"/>
    <w:rsid w:val="00DE7FE0"/>
    <w:rsid w:val="00E41032"/>
    <w:rsid w:val="00E439DF"/>
    <w:rsid w:val="00E503FB"/>
    <w:rsid w:val="00E95827"/>
    <w:rsid w:val="00EA1165"/>
    <w:rsid w:val="00EA3D33"/>
    <w:rsid w:val="00EE7CAA"/>
    <w:rsid w:val="00EF363E"/>
    <w:rsid w:val="00F41AE5"/>
    <w:rsid w:val="00F5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E32E"/>
  <w15:chartTrackingRefBased/>
  <w15:docId w15:val="{AEDCB1BF-F203-48A8-94CE-DFD69D03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E68F3"/>
    <w:pPr>
      <w:keepLines/>
      <w:widowControl w:val="0"/>
    </w:pPr>
  </w:style>
  <w:style w:type="character" w:customStyle="1" w:styleId="FootnoteTextChar">
    <w:name w:val="Footnote Text Char"/>
    <w:basedOn w:val="DefaultParagraphFont"/>
    <w:link w:val="FootnoteText"/>
    <w:uiPriority w:val="99"/>
    <w:rsid w:val="001E68F3"/>
  </w:style>
  <w:style w:type="character" w:styleId="Hyperlink">
    <w:name w:val="Hyperlink"/>
    <w:basedOn w:val="DefaultParagraphFont"/>
    <w:uiPriority w:val="99"/>
    <w:unhideWhenUsed/>
    <w:rsid w:val="002010D8"/>
    <w:rPr>
      <w:color w:val="0000FF"/>
      <w:u w:val="single"/>
    </w:rPr>
  </w:style>
  <w:style w:type="character" w:styleId="FootnoteReference">
    <w:name w:val="footnote reference"/>
    <w:basedOn w:val="DefaultParagraphFont"/>
    <w:uiPriority w:val="99"/>
    <w:semiHidden/>
    <w:unhideWhenUsed/>
    <w:rsid w:val="001A0ED4"/>
    <w:rPr>
      <w:vertAlign w:val="superscript"/>
    </w:rPr>
  </w:style>
  <w:style w:type="character" w:styleId="UnresolvedMention">
    <w:name w:val="Unresolved Mention"/>
    <w:basedOn w:val="DefaultParagraphFont"/>
    <w:uiPriority w:val="99"/>
    <w:semiHidden/>
    <w:unhideWhenUsed/>
    <w:rsid w:val="001A0ED4"/>
    <w:rPr>
      <w:color w:val="605E5C"/>
      <w:shd w:val="clear" w:color="auto" w:fill="E1DFDD"/>
    </w:rPr>
  </w:style>
  <w:style w:type="paragraph" w:styleId="Header">
    <w:name w:val="header"/>
    <w:basedOn w:val="Normal"/>
    <w:link w:val="HeaderChar"/>
    <w:uiPriority w:val="99"/>
    <w:unhideWhenUsed/>
    <w:rsid w:val="004A4C76"/>
    <w:pPr>
      <w:tabs>
        <w:tab w:val="center" w:pos="4680"/>
        <w:tab w:val="right" w:pos="9360"/>
      </w:tabs>
    </w:pPr>
  </w:style>
  <w:style w:type="character" w:customStyle="1" w:styleId="HeaderChar">
    <w:name w:val="Header Char"/>
    <w:basedOn w:val="DefaultParagraphFont"/>
    <w:link w:val="Header"/>
    <w:uiPriority w:val="99"/>
    <w:rsid w:val="004A4C76"/>
  </w:style>
  <w:style w:type="paragraph" w:styleId="Footer">
    <w:name w:val="footer"/>
    <w:basedOn w:val="Normal"/>
    <w:link w:val="FooterChar"/>
    <w:uiPriority w:val="99"/>
    <w:unhideWhenUsed/>
    <w:rsid w:val="004A4C76"/>
    <w:pPr>
      <w:tabs>
        <w:tab w:val="center" w:pos="4680"/>
        <w:tab w:val="right" w:pos="9360"/>
      </w:tabs>
    </w:pPr>
  </w:style>
  <w:style w:type="character" w:customStyle="1" w:styleId="FooterChar">
    <w:name w:val="Footer Char"/>
    <w:basedOn w:val="DefaultParagraphFont"/>
    <w:link w:val="Footer"/>
    <w:uiPriority w:val="99"/>
    <w:rsid w:val="004A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locum@citiz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fgem.gov.uk/publications-and-updates/bulb-pay-176-million-compliance-issues" TargetMode="External"/><Relationship Id="rId1" Type="http://schemas.openxmlformats.org/officeDocument/2006/relationships/hyperlink" Target="http://www.citizen.org/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A84D-0B2A-48F1-A89C-D59C57ED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75</cp:revision>
  <dcterms:created xsi:type="dcterms:W3CDTF">2020-08-26T19:54:00Z</dcterms:created>
  <dcterms:modified xsi:type="dcterms:W3CDTF">2020-08-27T19:51:00Z</dcterms:modified>
</cp:coreProperties>
</file>