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C8E9" w14:textId="3307D4AF" w:rsidR="006443BB" w:rsidRPr="00081A76" w:rsidRDefault="0061158F" w:rsidP="00670DC8">
      <w:pPr>
        <w:jc w:val="center"/>
        <w:rPr>
          <w:rFonts w:ascii="Georgia" w:hAnsi="Georgia"/>
          <w:sz w:val="24"/>
          <w:szCs w:val="24"/>
        </w:rPr>
      </w:pPr>
      <w:r w:rsidRPr="00081A76">
        <w:rPr>
          <w:rFonts w:ascii="Georgia" w:hAnsi="Georgia"/>
          <w:sz w:val="24"/>
          <w:szCs w:val="24"/>
        </w:rPr>
        <w:t>UNITED STATES OF AMERICA</w:t>
      </w:r>
    </w:p>
    <w:p w14:paraId="4E771910" w14:textId="35CAB0CE" w:rsidR="0061158F" w:rsidRPr="00081A76" w:rsidRDefault="0061158F" w:rsidP="00670DC8">
      <w:pPr>
        <w:jc w:val="center"/>
        <w:rPr>
          <w:rFonts w:ascii="Georgia" w:hAnsi="Georgia"/>
          <w:sz w:val="24"/>
          <w:szCs w:val="24"/>
        </w:rPr>
      </w:pPr>
      <w:r w:rsidRPr="00081A76">
        <w:rPr>
          <w:rFonts w:ascii="Georgia" w:hAnsi="Georgia"/>
          <w:sz w:val="24"/>
          <w:szCs w:val="24"/>
        </w:rPr>
        <w:t>BEFORE THE</w:t>
      </w:r>
    </w:p>
    <w:p w14:paraId="3BEDAF32" w14:textId="48BDE940" w:rsidR="0061158F" w:rsidRPr="00081A76" w:rsidRDefault="0061158F" w:rsidP="00670DC8">
      <w:pPr>
        <w:jc w:val="center"/>
        <w:rPr>
          <w:rFonts w:ascii="Georgia" w:hAnsi="Georgia"/>
          <w:sz w:val="24"/>
          <w:szCs w:val="24"/>
        </w:rPr>
      </w:pPr>
      <w:r w:rsidRPr="00081A76">
        <w:rPr>
          <w:rFonts w:ascii="Georgia" w:hAnsi="Georgia"/>
          <w:sz w:val="24"/>
          <w:szCs w:val="24"/>
        </w:rPr>
        <w:t>FEDERAL ENERGY REGULATORY COMMISSION</w:t>
      </w:r>
    </w:p>
    <w:p w14:paraId="38AA1F75" w14:textId="718591DC" w:rsidR="0061158F" w:rsidRPr="00081A76" w:rsidRDefault="0061158F">
      <w:pPr>
        <w:rPr>
          <w:rFonts w:ascii="Georgia" w:hAnsi="Georgia"/>
          <w:sz w:val="24"/>
          <w:szCs w:val="24"/>
        </w:rPr>
      </w:pPr>
    </w:p>
    <w:p w14:paraId="2C399444" w14:textId="0710A90F" w:rsidR="0061158F" w:rsidRPr="00081A76" w:rsidRDefault="0061158F">
      <w:pPr>
        <w:rPr>
          <w:rFonts w:ascii="Georgia" w:hAnsi="Georgia"/>
          <w:sz w:val="24"/>
          <w:szCs w:val="24"/>
        </w:rPr>
      </w:pPr>
      <w:r w:rsidRPr="00081A76">
        <w:rPr>
          <w:rFonts w:ascii="Georgia" w:hAnsi="Georgia"/>
          <w:sz w:val="24"/>
          <w:szCs w:val="24"/>
        </w:rPr>
        <w:t>Nevada Power Co</w:t>
      </w:r>
      <w:r w:rsidR="00E50C48">
        <w:rPr>
          <w:rFonts w:ascii="Georgia" w:hAnsi="Georgia"/>
          <w:sz w:val="24"/>
          <w:szCs w:val="24"/>
        </w:rPr>
        <w:t>.</w:t>
      </w:r>
      <w:r w:rsidRPr="00081A76">
        <w:rPr>
          <w:rFonts w:ascii="Georgia" w:hAnsi="Georgia"/>
          <w:sz w:val="24"/>
          <w:szCs w:val="24"/>
        </w:rPr>
        <w:t xml:space="preserve"> &amp; Sierra Pacific Power Co</w:t>
      </w:r>
      <w:r w:rsidR="00E50C48">
        <w:rPr>
          <w:rFonts w:ascii="Georgia" w:hAnsi="Georgia"/>
          <w:sz w:val="24"/>
          <w:szCs w:val="24"/>
        </w:rPr>
        <w:t>.</w:t>
      </w:r>
      <w:r w:rsidRPr="00081A76">
        <w:rPr>
          <w:rFonts w:ascii="Georgia" w:hAnsi="Georgia"/>
          <w:sz w:val="24"/>
          <w:szCs w:val="24"/>
        </w:rPr>
        <w:tab/>
      </w:r>
      <w:r w:rsidR="000D15DE">
        <w:rPr>
          <w:rFonts w:ascii="Georgia" w:hAnsi="Georgia"/>
          <w:sz w:val="24"/>
          <w:szCs w:val="24"/>
        </w:rPr>
        <w:tab/>
      </w:r>
      <w:r w:rsidR="000D15DE">
        <w:rPr>
          <w:rFonts w:ascii="Georgia" w:hAnsi="Georgia"/>
          <w:sz w:val="24"/>
          <w:szCs w:val="24"/>
        </w:rPr>
        <w:tab/>
      </w:r>
      <w:r w:rsidRPr="00081A76">
        <w:rPr>
          <w:rFonts w:ascii="Georgia" w:hAnsi="Georgia"/>
          <w:sz w:val="24"/>
          <w:szCs w:val="24"/>
        </w:rPr>
        <w:t>FERC Docket No. EL22-73</w:t>
      </w:r>
    </w:p>
    <w:p w14:paraId="2A068318" w14:textId="56DFF89F" w:rsidR="0061158F" w:rsidRDefault="0061158F">
      <w:pPr>
        <w:rPr>
          <w:rFonts w:ascii="Georgia" w:hAnsi="Georgia"/>
          <w:sz w:val="24"/>
          <w:szCs w:val="24"/>
        </w:rPr>
      </w:pPr>
    </w:p>
    <w:p w14:paraId="496EDFF2" w14:textId="77777777" w:rsidR="001012BF" w:rsidRPr="00081A76" w:rsidRDefault="001012BF">
      <w:pPr>
        <w:rPr>
          <w:rFonts w:ascii="Georgia" w:hAnsi="Georgia"/>
          <w:sz w:val="24"/>
          <w:szCs w:val="24"/>
        </w:rPr>
      </w:pPr>
    </w:p>
    <w:p w14:paraId="6951E1D9" w14:textId="2F8144D2" w:rsidR="0061158F" w:rsidRPr="000E7D29" w:rsidRDefault="0061158F" w:rsidP="000E7D29">
      <w:pPr>
        <w:jc w:val="center"/>
        <w:rPr>
          <w:rFonts w:ascii="Georgia" w:hAnsi="Georgia"/>
          <w:b/>
          <w:bCs/>
          <w:sz w:val="24"/>
          <w:szCs w:val="24"/>
        </w:rPr>
      </w:pPr>
      <w:r w:rsidRPr="000E7D29">
        <w:rPr>
          <w:rFonts w:ascii="Georgia" w:hAnsi="Georgia"/>
          <w:b/>
          <w:bCs/>
          <w:sz w:val="24"/>
          <w:szCs w:val="24"/>
        </w:rPr>
        <w:t>Protest of Public Citizen, Inc.</w:t>
      </w:r>
    </w:p>
    <w:p w14:paraId="0D39FB0B" w14:textId="3D9214EA" w:rsidR="0061158F" w:rsidRDefault="001012BF">
      <w:pPr>
        <w:rPr>
          <w:rFonts w:ascii="Georgia" w:hAnsi="Georgia"/>
          <w:sz w:val="24"/>
          <w:szCs w:val="24"/>
        </w:rPr>
      </w:pPr>
      <w:r>
        <w:rPr>
          <w:rFonts w:ascii="Georgia" w:hAnsi="Georgia"/>
          <w:sz w:val="24"/>
          <w:szCs w:val="24"/>
        </w:rPr>
        <w:tab/>
      </w:r>
    </w:p>
    <w:p w14:paraId="354866AF" w14:textId="4A4ACCEE" w:rsidR="001012BF" w:rsidRDefault="001012BF" w:rsidP="00007654">
      <w:pPr>
        <w:spacing w:line="360" w:lineRule="auto"/>
        <w:rPr>
          <w:rFonts w:ascii="Georgia" w:hAnsi="Georgia"/>
          <w:sz w:val="24"/>
          <w:szCs w:val="24"/>
        </w:rPr>
      </w:pPr>
      <w:r>
        <w:rPr>
          <w:rFonts w:ascii="Georgia" w:hAnsi="Georgia"/>
          <w:sz w:val="24"/>
          <w:szCs w:val="24"/>
        </w:rPr>
        <w:tab/>
        <w:t xml:space="preserve">On June 30, </w:t>
      </w:r>
      <w:r w:rsidR="004C0ED3">
        <w:rPr>
          <w:rFonts w:ascii="Georgia" w:hAnsi="Georgia"/>
          <w:sz w:val="24"/>
          <w:szCs w:val="24"/>
        </w:rPr>
        <w:t xml:space="preserve">two </w:t>
      </w:r>
      <w:r w:rsidR="004A18AE">
        <w:rPr>
          <w:rFonts w:ascii="Georgia" w:hAnsi="Georgia"/>
          <w:sz w:val="24"/>
          <w:szCs w:val="24"/>
        </w:rPr>
        <w:t xml:space="preserve">Nevada </w:t>
      </w:r>
      <w:r w:rsidR="004C0ED3">
        <w:rPr>
          <w:rFonts w:ascii="Georgia" w:hAnsi="Georgia"/>
          <w:sz w:val="24"/>
          <w:szCs w:val="24"/>
        </w:rPr>
        <w:t xml:space="preserve">utilities owned by </w:t>
      </w:r>
      <w:r w:rsidR="000A72D5">
        <w:rPr>
          <w:rFonts w:ascii="Georgia" w:hAnsi="Georgia"/>
          <w:sz w:val="24"/>
          <w:szCs w:val="24"/>
        </w:rPr>
        <w:t>Berkshire Hathaway―</w:t>
      </w:r>
      <w:r w:rsidR="00D77A10">
        <w:rPr>
          <w:rFonts w:ascii="Georgia" w:hAnsi="Georgia"/>
          <w:sz w:val="24"/>
          <w:szCs w:val="24"/>
        </w:rPr>
        <w:t>one of t</w:t>
      </w:r>
      <w:r w:rsidR="004C0ED3">
        <w:rPr>
          <w:rFonts w:ascii="Georgia" w:hAnsi="Georgia"/>
          <w:sz w:val="24"/>
          <w:szCs w:val="24"/>
        </w:rPr>
        <w:t xml:space="preserve">he </w:t>
      </w:r>
      <w:r w:rsidR="004A18AE">
        <w:rPr>
          <w:rFonts w:ascii="Georgia" w:hAnsi="Georgia"/>
          <w:sz w:val="24"/>
          <w:szCs w:val="24"/>
        </w:rPr>
        <w:t>most well-capitalized</w:t>
      </w:r>
      <w:r w:rsidR="004C0ED3">
        <w:rPr>
          <w:rFonts w:ascii="Georgia" w:hAnsi="Georgia"/>
          <w:sz w:val="24"/>
          <w:szCs w:val="24"/>
        </w:rPr>
        <w:t xml:space="preserve"> and </w:t>
      </w:r>
      <w:proofErr w:type="gramStart"/>
      <w:r w:rsidR="003B6AD1">
        <w:rPr>
          <w:rFonts w:ascii="Georgia" w:hAnsi="Georgia"/>
          <w:sz w:val="24"/>
          <w:szCs w:val="24"/>
        </w:rPr>
        <w:t>consistently-</w:t>
      </w:r>
      <w:r w:rsidR="004C0ED3">
        <w:rPr>
          <w:rFonts w:ascii="Georgia" w:hAnsi="Georgia"/>
          <w:sz w:val="24"/>
          <w:szCs w:val="24"/>
        </w:rPr>
        <w:t>profitable</w:t>
      </w:r>
      <w:proofErr w:type="gramEnd"/>
      <w:r w:rsidR="004C0ED3">
        <w:rPr>
          <w:rFonts w:ascii="Georgia" w:hAnsi="Georgia"/>
          <w:sz w:val="24"/>
          <w:szCs w:val="24"/>
        </w:rPr>
        <w:t xml:space="preserve"> conglomerate</w:t>
      </w:r>
      <w:r w:rsidR="00D77A10">
        <w:rPr>
          <w:rFonts w:ascii="Georgia" w:hAnsi="Georgia"/>
          <w:sz w:val="24"/>
          <w:szCs w:val="24"/>
        </w:rPr>
        <w:t>s</w:t>
      </w:r>
      <w:r w:rsidR="004C0ED3">
        <w:rPr>
          <w:rFonts w:ascii="Georgia" w:hAnsi="Georgia"/>
          <w:sz w:val="24"/>
          <w:szCs w:val="24"/>
        </w:rPr>
        <w:t xml:space="preserve"> in </w:t>
      </w:r>
      <w:r w:rsidR="00472ABF">
        <w:rPr>
          <w:rFonts w:ascii="Georgia" w:hAnsi="Georgia"/>
          <w:sz w:val="24"/>
          <w:szCs w:val="24"/>
        </w:rPr>
        <w:t xml:space="preserve">modern </w:t>
      </w:r>
      <w:r w:rsidR="001468B3">
        <w:rPr>
          <w:rFonts w:ascii="Georgia" w:hAnsi="Georgia"/>
          <w:sz w:val="24"/>
          <w:szCs w:val="24"/>
        </w:rPr>
        <w:t>corporate history</w:t>
      </w:r>
      <w:r w:rsidR="000A72D5">
        <w:rPr>
          <w:rFonts w:ascii="Georgia" w:hAnsi="Georgia"/>
          <w:sz w:val="24"/>
          <w:szCs w:val="24"/>
        </w:rPr>
        <w:t>―</w:t>
      </w:r>
      <w:r w:rsidR="00756F48">
        <w:rPr>
          <w:rFonts w:ascii="Georgia" w:hAnsi="Georgia"/>
          <w:sz w:val="24"/>
          <w:szCs w:val="24"/>
        </w:rPr>
        <w:t xml:space="preserve">submitted a Petition for </w:t>
      </w:r>
      <w:r w:rsidR="00967475">
        <w:rPr>
          <w:rFonts w:ascii="Georgia" w:hAnsi="Georgia"/>
          <w:sz w:val="24"/>
          <w:szCs w:val="24"/>
        </w:rPr>
        <w:t>Declaratory</w:t>
      </w:r>
      <w:r w:rsidR="00756F48">
        <w:rPr>
          <w:rFonts w:ascii="Georgia" w:hAnsi="Georgia"/>
          <w:sz w:val="24"/>
          <w:szCs w:val="24"/>
        </w:rPr>
        <w:t xml:space="preserve"> Order seeking the Commission’s authorization to</w:t>
      </w:r>
      <w:r w:rsidR="00D70B68">
        <w:rPr>
          <w:rFonts w:ascii="Georgia" w:hAnsi="Georgia"/>
          <w:sz w:val="24"/>
          <w:szCs w:val="24"/>
        </w:rPr>
        <w:t xml:space="preserve"> </w:t>
      </w:r>
      <w:r w:rsidR="008C2D35">
        <w:rPr>
          <w:rFonts w:ascii="Georgia" w:hAnsi="Georgia"/>
          <w:sz w:val="24"/>
          <w:szCs w:val="24"/>
        </w:rPr>
        <w:t xml:space="preserve">allow its </w:t>
      </w:r>
      <w:proofErr w:type="spellStart"/>
      <w:r w:rsidR="008C2D35">
        <w:rPr>
          <w:rFonts w:ascii="Georgia" w:hAnsi="Georgia"/>
          <w:sz w:val="24"/>
          <w:szCs w:val="24"/>
        </w:rPr>
        <w:t>Greenlink</w:t>
      </w:r>
      <w:proofErr w:type="spellEnd"/>
      <w:r w:rsidR="008C2D35">
        <w:rPr>
          <w:rFonts w:ascii="Georgia" w:hAnsi="Georgia"/>
          <w:sz w:val="24"/>
          <w:szCs w:val="24"/>
        </w:rPr>
        <w:t xml:space="preserve"> </w:t>
      </w:r>
      <w:r w:rsidR="00B664F3">
        <w:rPr>
          <w:rFonts w:ascii="Georgia" w:hAnsi="Georgia"/>
          <w:sz w:val="24"/>
          <w:szCs w:val="24"/>
        </w:rPr>
        <w:t>project</w:t>
      </w:r>
      <w:r w:rsidR="008C2D35">
        <w:rPr>
          <w:rFonts w:ascii="Georgia" w:hAnsi="Georgia"/>
          <w:sz w:val="24"/>
          <w:szCs w:val="24"/>
        </w:rPr>
        <w:t xml:space="preserve"> to</w:t>
      </w:r>
      <w:r w:rsidR="00CA0043">
        <w:rPr>
          <w:rFonts w:ascii="Georgia" w:hAnsi="Georgia"/>
          <w:sz w:val="24"/>
          <w:szCs w:val="24"/>
        </w:rPr>
        <w:t xml:space="preserve"> charge consumers</w:t>
      </w:r>
      <w:r w:rsidR="000B3F42">
        <w:rPr>
          <w:rFonts w:ascii="Georgia" w:hAnsi="Georgia"/>
          <w:sz w:val="24"/>
          <w:szCs w:val="24"/>
        </w:rPr>
        <w:t xml:space="preserve"> three </w:t>
      </w:r>
      <w:r w:rsidR="003D79E6">
        <w:rPr>
          <w:rFonts w:ascii="Georgia" w:hAnsi="Georgia"/>
          <w:sz w:val="24"/>
          <w:szCs w:val="24"/>
        </w:rPr>
        <w:t>separate</w:t>
      </w:r>
      <w:r w:rsidR="00EF061A">
        <w:rPr>
          <w:rFonts w:ascii="Georgia" w:hAnsi="Georgia"/>
          <w:sz w:val="24"/>
          <w:szCs w:val="24"/>
        </w:rPr>
        <w:t xml:space="preserve"> incentive rate</w:t>
      </w:r>
      <w:r w:rsidR="000B3F42">
        <w:rPr>
          <w:rFonts w:ascii="Georgia" w:hAnsi="Georgia"/>
          <w:sz w:val="24"/>
          <w:szCs w:val="24"/>
        </w:rPr>
        <w:t>s</w:t>
      </w:r>
      <w:r w:rsidR="00967475">
        <w:rPr>
          <w:rFonts w:ascii="Georgia" w:hAnsi="Georgia"/>
          <w:sz w:val="24"/>
          <w:szCs w:val="24"/>
        </w:rPr>
        <w:t xml:space="preserve">. </w:t>
      </w:r>
      <w:r w:rsidR="006B2ADE">
        <w:rPr>
          <w:rFonts w:ascii="Georgia" w:hAnsi="Georgia"/>
          <w:sz w:val="24"/>
          <w:szCs w:val="24"/>
        </w:rPr>
        <w:t xml:space="preserve">The Commission must disallow the rate incentives as </w:t>
      </w:r>
      <w:r w:rsidR="008324E6">
        <w:rPr>
          <w:rFonts w:ascii="Georgia" w:hAnsi="Georgia"/>
          <w:sz w:val="24"/>
          <w:szCs w:val="24"/>
        </w:rPr>
        <w:t>unjust and unreasonable</w:t>
      </w:r>
      <w:r w:rsidR="006142B9">
        <w:rPr>
          <w:rFonts w:ascii="Georgia" w:hAnsi="Georgia"/>
          <w:sz w:val="24"/>
          <w:szCs w:val="24"/>
        </w:rPr>
        <w:t>, as the Berkshire Hathaway utilities have failed to demonstrate that “</w:t>
      </w:r>
      <w:r w:rsidR="006142B9" w:rsidRPr="0071739E">
        <w:rPr>
          <w:rFonts w:ascii="Georgia" w:hAnsi="Georgia"/>
          <w:sz w:val="24"/>
          <w:szCs w:val="24"/>
        </w:rPr>
        <w:t>substantial challenges and risks</w:t>
      </w:r>
      <w:r w:rsidR="006142B9">
        <w:rPr>
          <w:rFonts w:ascii="Georgia" w:hAnsi="Georgia"/>
          <w:sz w:val="24"/>
          <w:szCs w:val="24"/>
        </w:rPr>
        <w:t xml:space="preserve">” </w:t>
      </w:r>
      <w:r w:rsidR="003D79E6">
        <w:rPr>
          <w:rFonts w:ascii="Georgia" w:hAnsi="Georgia"/>
          <w:sz w:val="24"/>
          <w:szCs w:val="24"/>
        </w:rPr>
        <w:t>necessitate</w:t>
      </w:r>
      <w:r w:rsidR="00DC6EA9">
        <w:rPr>
          <w:rFonts w:ascii="Georgia" w:hAnsi="Georgia"/>
          <w:sz w:val="24"/>
          <w:szCs w:val="24"/>
        </w:rPr>
        <w:t xml:space="preserve"> such incentives</w:t>
      </w:r>
      <w:r w:rsidR="00FB1AF8">
        <w:rPr>
          <w:rFonts w:ascii="Georgia" w:hAnsi="Georgia"/>
          <w:sz w:val="24"/>
          <w:szCs w:val="24"/>
        </w:rPr>
        <w:t xml:space="preserve">. Nevada state law </w:t>
      </w:r>
      <w:r w:rsidR="00FB1AF8" w:rsidRPr="00F52EAB">
        <w:rPr>
          <w:rFonts w:ascii="Georgia" w:hAnsi="Georgia"/>
          <w:sz w:val="24"/>
          <w:szCs w:val="24"/>
        </w:rPr>
        <w:t>requires</w:t>
      </w:r>
      <w:r w:rsidR="00FB1AF8">
        <w:rPr>
          <w:rFonts w:ascii="Georgia" w:hAnsi="Georgia"/>
          <w:sz w:val="24"/>
          <w:szCs w:val="24"/>
        </w:rPr>
        <w:t xml:space="preserve"> Berkshire Hathaway’s utilities to construct and operate </w:t>
      </w:r>
      <w:proofErr w:type="spellStart"/>
      <w:r w:rsidR="00FB1AF8">
        <w:rPr>
          <w:rFonts w:ascii="Georgia" w:hAnsi="Georgia"/>
          <w:sz w:val="24"/>
          <w:szCs w:val="24"/>
        </w:rPr>
        <w:t>Greenlink</w:t>
      </w:r>
      <w:proofErr w:type="spellEnd"/>
      <w:r w:rsidR="001C6275">
        <w:rPr>
          <w:rFonts w:ascii="Georgia" w:hAnsi="Georgia"/>
          <w:sz w:val="24"/>
          <w:szCs w:val="24"/>
        </w:rPr>
        <w:t xml:space="preserve">, thereby rendering rate incentives </w:t>
      </w:r>
      <w:r w:rsidR="007C475D">
        <w:rPr>
          <w:rFonts w:ascii="Georgia" w:hAnsi="Georgia"/>
          <w:sz w:val="24"/>
          <w:szCs w:val="24"/>
        </w:rPr>
        <w:t xml:space="preserve">unnecessary. </w:t>
      </w:r>
      <w:r w:rsidR="00C92A84">
        <w:rPr>
          <w:rFonts w:ascii="Georgia" w:hAnsi="Georgia"/>
          <w:sz w:val="24"/>
          <w:szCs w:val="24"/>
        </w:rPr>
        <w:t>T</w:t>
      </w:r>
      <w:r w:rsidR="007B317A">
        <w:rPr>
          <w:rFonts w:ascii="Georgia" w:hAnsi="Georgia"/>
          <w:sz w:val="24"/>
          <w:szCs w:val="24"/>
        </w:rPr>
        <w:t>he CEO of</w:t>
      </w:r>
      <w:r w:rsidR="004C6321">
        <w:rPr>
          <w:rFonts w:ascii="Georgia" w:hAnsi="Georgia"/>
          <w:sz w:val="24"/>
          <w:szCs w:val="24"/>
        </w:rPr>
        <w:t xml:space="preserve"> Berkshire Hathaway’s </w:t>
      </w:r>
      <w:r w:rsidR="007B317A">
        <w:rPr>
          <w:rFonts w:ascii="Georgia" w:hAnsi="Georgia"/>
          <w:sz w:val="24"/>
          <w:szCs w:val="24"/>
        </w:rPr>
        <w:t xml:space="preserve">Nevada </w:t>
      </w:r>
      <w:r w:rsidR="004C6321">
        <w:rPr>
          <w:rFonts w:ascii="Georgia" w:hAnsi="Georgia"/>
          <w:sz w:val="24"/>
          <w:szCs w:val="24"/>
        </w:rPr>
        <w:t>utility testi</w:t>
      </w:r>
      <w:r w:rsidR="00A2295D">
        <w:rPr>
          <w:rFonts w:ascii="Georgia" w:hAnsi="Georgia"/>
          <w:sz w:val="24"/>
          <w:szCs w:val="24"/>
        </w:rPr>
        <w:t>fied</w:t>
      </w:r>
      <w:r w:rsidR="004C6321">
        <w:rPr>
          <w:rFonts w:ascii="Georgia" w:hAnsi="Georgia"/>
          <w:sz w:val="24"/>
          <w:szCs w:val="24"/>
        </w:rPr>
        <w:t xml:space="preserve"> t</w:t>
      </w:r>
      <w:r w:rsidR="00C92A84">
        <w:rPr>
          <w:rFonts w:ascii="Georgia" w:hAnsi="Georgia"/>
          <w:sz w:val="24"/>
          <w:szCs w:val="24"/>
        </w:rPr>
        <w:t>hat</w:t>
      </w:r>
      <w:r w:rsidR="007A4511">
        <w:rPr>
          <w:rFonts w:ascii="Georgia" w:hAnsi="Georgia"/>
          <w:sz w:val="24"/>
          <w:szCs w:val="24"/>
        </w:rPr>
        <w:t xml:space="preserve"> its</w:t>
      </w:r>
      <w:r w:rsidR="004C6321">
        <w:rPr>
          <w:rFonts w:ascii="Georgia" w:hAnsi="Georgia"/>
          <w:sz w:val="24"/>
          <w:szCs w:val="24"/>
        </w:rPr>
        <w:t xml:space="preserve"> consumers </w:t>
      </w:r>
      <w:r w:rsidR="0014148F">
        <w:rPr>
          <w:rFonts w:ascii="Georgia" w:hAnsi="Georgia"/>
          <w:sz w:val="24"/>
          <w:szCs w:val="24"/>
        </w:rPr>
        <w:t xml:space="preserve">would not be charged incentive rates </w:t>
      </w:r>
      <w:r w:rsidR="004C6321">
        <w:rPr>
          <w:rFonts w:ascii="Georgia" w:hAnsi="Georgia"/>
          <w:sz w:val="24"/>
          <w:szCs w:val="24"/>
        </w:rPr>
        <w:t xml:space="preserve">prior to </w:t>
      </w:r>
      <w:proofErr w:type="spellStart"/>
      <w:r w:rsidR="004C6321">
        <w:rPr>
          <w:rFonts w:ascii="Georgia" w:hAnsi="Georgia"/>
          <w:sz w:val="24"/>
          <w:szCs w:val="24"/>
        </w:rPr>
        <w:t>Greenlink</w:t>
      </w:r>
      <w:proofErr w:type="spellEnd"/>
      <w:r w:rsidR="004C6321">
        <w:rPr>
          <w:rFonts w:ascii="Georgia" w:hAnsi="Georgia"/>
          <w:sz w:val="24"/>
          <w:szCs w:val="24"/>
        </w:rPr>
        <w:t xml:space="preserve"> being placed in service. </w:t>
      </w:r>
      <w:r w:rsidR="002454B6">
        <w:rPr>
          <w:rFonts w:ascii="Georgia" w:hAnsi="Georgia"/>
          <w:sz w:val="24"/>
          <w:szCs w:val="24"/>
        </w:rPr>
        <w:t>T</w:t>
      </w:r>
      <w:r w:rsidR="007C475D">
        <w:rPr>
          <w:rFonts w:ascii="Georgia" w:hAnsi="Georgia"/>
          <w:sz w:val="24"/>
          <w:szCs w:val="24"/>
        </w:rPr>
        <w:t>he proposed</w:t>
      </w:r>
      <w:r w:rsidR="00CE13AE">
        <w:rPr>
          <w:rFonts w:ascii="Georgia" w:hAnsi="Georgia"/>
          <w:sz w:val="24"/>
          <w:szCs w:val="24"/>
        </w:rPr>
        <w:t xml:space="preserve"> incentives are</w:t>
      </w:r>
      <w:r w:rsidR="00725CA5">
        <w:rPr>
          <w:rFonts w:ascii="Georgia" w:hAnsi="Georgia"/>
          <w:sz w:val="24"/>
          <w:szCs w:val="24"/>
        </w:rPr>
        <w:t xml:space="preserve"> contrary to the justifications Berkshire Hathaway pledged to the Commission when it acquired the Nevada utilities </w:t>
      </w:r>
      <w:r w:rsidR="00E929FA">
        <w:rPr>
          <w:rFonts w:ascii="Georgia" w:hAnsi="Georgia"/>
          <w:sz w:val="24"/>
          <w:szCs w:val="24"/>
        </w:rPr>
        <w:t>in 201</w:t>
      </w:r>
      <w:r w:rsidR="00AF0FBD">
        <w:rPr>
          <w:rFonts w:ascii="Georgia" w:hAnsi="Georgia"/>
          <w:sz w:val="24"/>
          <w:szCs w:val="24"/>
        </w:rPr>
        <w:t>3</w:t>
      </w:r>
      <w:r w:rsidR="00E929FA">
        <w:rPr>
          <w:rFonts w:ascii="Georgia" w:hAnsi="Georgia"/>
          <w:sz w:val="24"/>
          <w:szCs w:val="24"/>
        </w:rPr>
        <w:t>.</w:t>
      </w:r>
      <w:r w:rsidR="00CE13AE">
        <w:rPr>
          <w:rFonts w:ascii="Georgia" w:hAnsi="Georgia"/>
          <w:sz w:val="24"/>
          <w:szCs w:val="24"/>
        </w:rPr>
        <w:t xml:space="preserve"> </w:t>
      </w:r>
      <w:r w:rsidR="004638C2">
        <w:rPr>
          <w:rFonts w:ascii="Georgia" w:hAnsi="Georgia"/>
          <w:sz w:val="24"/>
          <w:szCs w:val="24"/>
        </w:rPr>
        <w:t>Finally,</w:t>
      </w:r>
      <w:r w:rsidR="00617D57">
        <w:rPr>
          <w:rFonts w:ascii="Georgia" w:hAnsi="Georgia"/>
          <w:sz w:val="24"/>
          <w:szCs w:val="24"/>
        </w:rPr>
        <w:t xml:space="preserve"> Berkshire Hathaway’s superior financial resources render </w:t>
      </w:r>
      <w:r w:rsidR="004638C2">
        <w:rPr>
          <w:rFonts w:ascii="Georgia" w:hAnsi="Georgia"/>
          <w:sz w:val="24"/>
          <w:szCs w:val="24"/>
        </w:rPr>
        <w:t>these</w:t>
      </w:r>
      <w:r w:rsidR="00617D57">
        <w:rPr>
          <w:rFonts w:ascii="Georgia" w:hAnsi="Georgia"/>
          <w:sz w:val="24"/>
          <w:szCs w:val="24"/>
        </w:rPr>
        <w:t xml:space="preserve"> incentive rate treatment</w:t>
      </w:r>
      <w:r w:rsidR="004638C2">
        <w:rPr>
          <w:rFonts w:ascii="Georgia" w:hAnsi="Georgia"/>
          <w:sz w:val="24"/>
          <w:szCs w:val="24"/>
        </w:rPr>
        <w:t>s</w:t>
      </w:r>
      <w:r w:rsidR="00617D57">
        <w:rPr>
          <w:rFonts w:ascii="Georgia" w:hAnsi="Georgia"/>
          <w:sz w:val="24"/>
          <w:szCs w:val="24"/>
        </w:rPr>
        <w:t xml:space="preserve"> unneeded</w:t>
      </w:r>
      <w:r w:rsidR="00525B75">
        <w:rPr>
          <w:rFonts w:ascii="Georgia" w:hAnsi="Georgia"/>
          <w:sz w:val="24"/>
          <w:szCs w:val="24"/>
        </w:rPr>
        <w:t>,</w:t>
      </w:r>
      <w:r w:rsidR="00617D57">
        <w:rPr>
          <w:rFonts w:ascii="Georgia" w:hAnsi="Georgia"/>
          <w:sz w:val="24"/>
          <w:szCs w:val="24"/>
        </w:rPr>
        <w:t xml:space="preserve"> and unjust and</w:t>
      </w:r>
      <w:r w:rsidR="00AF0FBD">
        <w:rPr>
          <w:rFonts w:ascii="Georgia" w:hAnsi="Georgia"/>
          <w:sz w:val="24"/>
          <w:szCs w:val="24"/>
        </w:rPr>
        <w:t xml:space="preserve"> </w:t>
      </w:r>
      <w:r w:rsidR="00617D57">
        <w:rPr>
          <w:rFonts w:ascii="Georgia" w:hAnsi="Georgia"/>
          <w:sz w:val="24"/>
          <w:szCs w:val="24"/>
        </w:rPr>
        <w:t xml:space="preserve">unreasonable. </w:t>
      </w:r>
      <w:r w:rsidR="00CE13AE">
        <w:rPr>
          <w:rFonts w:ascii="Georgia" w:hAnsi="Georgia"/>
          <w:sz w:val="24"/>
          <w:szCs w:val="24"/>
        </w:rPr>
        <w:t xml:space="preserve">For these reasons, the Commission must dismiss the Petition and </w:t>
      </w:r>
      <w:r w:rsidR="005D5260">
        <w:rPr>
          <w:rFonts w:ascii="Georgia" w:hAnsi="Georgia"/>
          <w:sz w:val="24"/>
          <w:szCs w:val="24"/>
        </w:rPr>
        <w:t>disallow the proposed rate incentives.</w:t>
      </w:r>
    </w:p>
    <w:p w14:paraId="2A4DDD02" w14:textId="2DAD3DA1" w:rsidR="00686E39" w:rsidRDefault="00686E39" w:rsidP="00007654">
      <w:pPr>
        <w:spacing w:line="360" w:lineRule="auto"/>
        <w:rPr>
          <w:rFonts w:ascii="Georgia" w:hAnsi="Georgia"/>
          <w:sz w:val="24"/>
          <w:szCs w:val="24"/>
        </w:rPr>
      </w:pPr>
      <w:r>
        <w:rPr>
          <w:rFonts w:ascii="Georgia" w:hAnsi="Georgia"/>
          <w:sz w:val="24"/>
          <w:szCs w:val="24"/>
        </w:rPr>
        <w:tab/>
      </w:r>
      <w:r w:rsidR="00CB58C2">
        <w:rPr>
          <w:rFonts w:ascii="Georgia" w:hAnsi="Georgia"/>
          <w:sz w:val="24"/>
          <w:szCs w:val="24"/>
        </w:rPr>
        <w:t>R</w:t>
      </w:r>
      <w:r w:rsidR="00A2106E">
        <w:rPr>
          <w:rFonts w:ascii="Georgia" w:hAnsi="Georgia"/>
          <w:sz w:val="24"/>
          <w:szCs w:val="24"/>
        </w:rPr>
        <w:t>ecent Congressional action</w:t>
      </w:r>
      <w:r w:rsidR="009505B9">
        <w:rPr>
          <w:rFonts w:ascii="Georgia" w:hAnsi="Georgia"/>
          <w:sz w:val="24"/>
          <w:szCs w:val="24"/>
        </w:rPr>
        <w:t xml:space="preserve"> mitigat</w:t>
      </w:r>
      <w:r w:rsidR="008A5EF1">
        <w:rPr>
          <w:rFonts w:ascii="Georgia" w:hAnsi="Georgia"/>
          <w:sz w:val="24"/>
          <w:szCs w:val="24"/>
        </w:rPr>
        <w:t>es</w:t>
      </w:r>
      <w:r w:rsidR="009505B9">
        <w:rPr>
          <w:rFonts w:ascii="Georgia" w:hAnsi="Georgia"/>
          <w:sz w:val="24"/>
          <w:szCs w:val="24"/>
        </w:rPr>
        <w:t xml:space="preserve"> risk for transmission projects</w:t>
      </w:r>
      <w:r w:rsidR="00125CFB">
        <w:rPr>
          <w:rFonts w:ascii="Georgia" w:hAnsi="Georgia"/>
          <w:sz w:val="24"/>
          <w:szCs w:val="24"/>
        </w:rPr>
        <w:t xml:space="preserve"> like</w:t>
      </w:r>
      <w:r w:rsidR="009505B9">
        <w:rPr>
          <w:rFonts w:ascii="Georgia" w:hAnsi="Georgia"/>
          <w:sz w:val="24"/>
          <w:szCs w:val="24"/>
        </w:rPr>
        <w:t xml:space="preserve"> </w:t>
      </w:r>
      <w:proofErr w:type="spellStart"/>
      <w:r w:rsidR="009505B9">
        <w:rPr>
          <w:rFonts w:ascii="Georgia" w:hAnsi="Georgia"/>
          <w:sz w:val="24"/>
          <w:szCs w:val="24"/>
        </w:rPr>
        <w:t>Greenlink</w:t>
      </w:r>
      <w:proofErr w:type="spellEnd"/>
      <w:r w:rsidR="009505B9">
        <w:rPr>
          <w:rFonts w:ascii="Georgia" w:hAnsi="Georgia"/>
          <w:sz w:val="24"/>
          <w:szCs w:val="24"/>
        </w:rPr>
        <w:t xml:space="preserve">. On November 15, 2021, President Biden signed </w:t>
      </w:r>
      <w:r w:rsidR="00482FB7" w:rsidRPr="00482FB7">
        <w:rPr>
          <w:rFonts w:ascii="Georgia" w:hAnsi="Georgia"/>
          <w:sz w:val="24"/>
          <w:szCs w:val="24"/>
        </w:rPr>
        <w:t>H.R.3684</w:t>
      </w:r>
      <w:r w:rsidR="00482FB7">
        <w:rPr>
          <w:rFonts w:ascii="Georgia" w:hAnsi="Georgia"/>
          <w:sz w:val="24"/>
          <w:szCs w:val="24"/>
        </w:rPr>
        <w:t xml:space="preserve"> into law, establishing </w:t>
      </w:r>
      <w:r w:rsidR="00DC7703">
        <w:rPr>
          <w:rFonts w:ascii="Georgia" w:hAnsi="Georgia"/>
          <w:sz w:val="24"/>
          <w:szCs w:val="24"/>
        </w:rPr>
        <w:t>new authority for the Commission to expedite transmission siting</w:t>
      </w:r>
      <w:r w:rsidR="00AB45E5">
        <w:rPr>
          <w:rFonts w:ascii="Georgia" w:hAnsi="Georgia"/>
          <w:sz w:val="24"/>
          <w:szCs w:val="24"/>
        </w:rPr>
        <w:t xml:space="preserve">, and a $10 billion loan fund to </w:t>
      </w:r>
      <w:r w:rsidR="00545441">
        <w:rPr>
          <w:rFonts w:ascii="Georgia" w:hAnsi="Georgia"/>
          <w:sz w:val="24"/>
          <w:szCs w:val="24"/>
        </w:rPr>
        <w:t>help</w:t>
      </w:r>
      <w:r w:rsidR="00AB45E5">
        <w:rPr>
          <w:rFonts w:ascii="Georgia" w:hAnsi="Georgia"/>
          <w:sz w:val="24"/>
          <w:szCs w:val="24"/>
        </w:rPr>
        <w:t xml:space="preserve"> financ</w:t>
      </w:r>
      <w:r w:rsidR="00545441">
        <w:rPr>
          <w:rFonts w:ascii="Georgia" w:hAnsi="Georgia"/>
          <w:sz w:val="24"/>
          <w:szCs w:val="24"/>
        </w:rPr>
        <w:t>e</w:t>
      </w:r>
      <w:r w:rsidR="00AB45E5">
        <w:rPr>
          <w:rFonts w:ascii="Georgia" w:hAnsi="Georgia"/>
          <w:sz w:val="24"/>
          <w:szCs w:val="24"/>
        </w:rPr>
        <w:t xml:space="preserve"> transmission</w:t>
      </w:r>
      <w:r w:rsidR="00EA150A">
        <w:rPr>
          <w:rFonts w:ascii="Georgia" w:hAnsi="Georgia"/>
          <w:sz w:val="24"/>
          <w:szCs w:val="24"/>
        </w:rPr>
        <w:t xml:space="preserve"> projects</w:t>
      </w:r>
      <w:r w:rsidR="00AB45E5">
        <w:rPr>
          <w:rFonts w:ascii="Georgia" w:hAnsi="Georgia"/>
          <w:sz w:val="24"/>
          <w:szCs w:val="24"/>
        </w:rPr>
        <w:t xml:space="preserve"> like </w:t>
      </w:r>
      <w:proofErr w:type="spellStart"/>
      <w:r w:rsidR="00AB45E5">
        <w:rPr>
          <w:rFonts w:ascii="Georgia" w:hAnsi="Georgia"/>
          <w:sz w:val="24"/>
          <w:szCs w:val="24"/>
        </w:rPr>
        <w:t>Greenlink</w:t>
      </w:r>
      <w:proofErr w:type="spellEnd"/>
      <w:r w:rsidR="00AB45E5">
        <w:rPr>
          <w:rFonts w:ascii="Georgia" w:hAnsi="Georgia"/>
          <w:sz w:val="24"/>
          <w:szCs w:val="24"/>
        </w:rPr>
        <w:t>.</w:t>
      </w:r>
      <w:r w:rsidR="00207333">
        <w:rPr>
          <w:rStyle w:val="FootnoteReference"/>
          <w:rFonts w:ascii="Georgia" w:hAnsi="Georgia"/>
          <w:sz w:val="24"/>
          <w:szCs w:val="24"/>
        </w:rPr>
        <w:footnoteReference w:id="1"/>
      </w:r>
    </w:p>
    <w:p w14:paraId="418ED949" w14:textId="77777777" w:rsidR="00FA478C" w:rsidRDefault="00FA478C" w:rsidP="00007654">
      <w:pPr>
        <w:spacing w:line="360" w:lineRule="auto"/>
        <w:rPr>
          <w:rFonts w:ascii="Georgia" w:hAnsi="Georgia"/>
          <w:sz w:val="24"/>
          <w:szCs w:val="24"/>
        </w:rPr>
      </w:pPr>
    </w:p>
    <w:p w14:paraId="49443D7F" w14:textId="7EC32EB7" w:rsidR="00E929FA" w:rsidRDefault="00846BE0" w:rsidP="00007654">
      <w:pPr>
        <w:spacing w:line="360" w:lineRule="auto"/>
        <w:rPr>
          <w:rFonts w:ascii="Georgia" w:hAnsi="Georgia"/>
          <w:sz w:val="24"/>
          <w:szCs w:val="24"/>
        </w:rPr>
      </w:pPr>
      <w:r>
        <w:rPr>
          <w:rFonts w:ascii="Georgia" w:hAnsi="Georgia"/>
          <w:sz w:val="24"/>
          <w:szCs w:val="24"/>
        </w:rPr>
        <w:tab/>
      </w:r>
      <w:r w:rsidR="0079649C" w:rsidRPr="00081A76">
        <w:rPr>
          <w:rFonts w:ascii="Georgia" w:hAnsi="Georgia"/>
          <w:sz w:val="24"/>
          <w:szCs w:val="24"/>
        </w:rPr>
        <w:t xml:space="preserve">Nevada Power Co </w:t>
      </w:r>
      <w:r w:rsidR="0079649C">
        <w:rPr>
          <w:rFonts w:ascii="Georgia" w:hAnsi="Georgia"/>
          <w:sz w:val="24"/>
          <w:szCs w:val="24"/>
        </w:rPr>
        <w:t>and</w:t>
      </w:r>
      <w:r w:rsidR="0079649C" w:rsidRPr="00081A76">
        <w:rPr>
          <w:rFonts w:ascii="Georgia" w:hAnsi="Georgia"/>
          <w:sz w:val="24"/>
          <w:szCs w:val="24"/>
        </w:rPr>
        <w:t xml:space="preserve"> Sierra Pacific Power Co</w:t>
      </w:r>
      <w:r w:rsidR="0079649C">
        <w:rPr>
          <w:rFonts w:ascii="Georgia" w:hAnsi="Georgia"/>
          <w:sz w:val="24"/>
          <w:szCs w:val="24"/>
        </w:rPr>
        <w:t>―</w:t>
      </w:r>
      <w:r w:rsidR="002254D3">
        <w:rPr>
          <w:rFonts w:ascii="Georgia" w:hAnsi="Georgia"/>
          <w:sz w:val="24"/>
          <w:szCs w:val="24"/>
        </w:rPr>
        <w:t xml:space="preserve">utilities operating </w:t>
      </w:r>
      <w:r w:rsidR="00F751B5">
        <w:rPr>
          <w:rFonts w:ascii="Georgia" w:hAnsi="Georgia"/>
          <w:sz w:val="24"/>
          <w:szCs w:val="24"/>
        </w:rPr>
        <w:t>as</w:t>
      </w:r>
      <w:r w:rsidR="002254D3">
        <w:rPr>
          <w:rFonts w:ascii="Georgia" w:hAnsi="Georgia"/>
          <w:sz w:val="24"/>
          <w:szCs w:val="24"/>
        </w:rPr>
        <w:t xml:space="preserve"> NV </w:t>
      </w:r>
      <w:proofErr w:type="gramStart"/>
      <w:r w:rsidR="002254D3">
        <w:rPr>
          <w:rFonts w:ascii="Georgia" w:hAnsi="Georgia"/>
          <w:sz w:val="24"/>
          <w:szCs w:val="24"/>
        </w:rPr>
        <w:t xml:space="preserve">Energy, </w:t>
      </w:r>
      <w:r w:rsidR="00F751B5">
        <w:rPr>
          <w:rFonts w:ascii="Georgia" w:hAnsi="Georgia"/>
          <w:sz w:val="24"/>
          <w:szCs w:val="24"/>
        </w:rPr>
        <w:t>and</w:t>
      </w:r>
      <w:proofErr w:type="gramEnd"/>
      <w:r w:rsidR="002254D3">
        <w:rPr>
          <w:rFonts w:ascii="Georgia" w:hAnsi="Georgia"/>
          <w:sz w:val="24"/>
          <w:szCs w:val="24"/>
        </w:rPr>
        <w:t xml:space="preserve"> </w:t>
      </w:r>
      <w:r w:rsidR="00C740BB">
        <w:rPr>
          <w:rFonts w:ascii="Georgia" w:hAnsi="Georgia"/>
          <w:sz w:val="24"/>
          <w:szCs w:val="24"/>
        </w:rPr>
        <w:t>owned by the financial conglomerate Berkshire Hathaway―ha</w:t>
      </w:r>
      <w:r w:rsidR="00282721">
        <w:rPr>
          <w:rFonts w:ascii="Georgia" w:hAnsi="Georgia"/>
          <w:sz w:val="24"/>
          <w:szCs w:val="24"/>
        </w:rPr>
        <w:t>ve</w:t>
      </w:r>
      <w:r w:rsidR="00C740BB">
        <w:rPr>
          <w:rFonts w:ascii="Georgia" w:hAnsi="Georgia"/>
          <w:sz w:val="24"/>
          <w:szCs w:val="24"/>
        </w:rPr>
        <w:t xml:space="preserve"> been ordered by the State of Nevada</w:t>
      </w:r>
      <w:r w:rsidR="00F751B5">
        <w:rPr>
          <w:rFonts w:ascii="Georgia" w:hAnsi="Georgia"/>
          <w:sz w:val="24"/>
          <w:szCs w:val="24"/>
        </w:rPr>
        <w:t xml:space="preserve"> to build n</w:t>
      </w:r>
      <w:r w:rsidR="0079649C">
        <w:rPr>
          <w:rFonts w:ascii="Georgia" w:hAnsi="Georgia"/>
          <w:sz w:val="24"/>
          <w:szCs w:val="24"/>
        </w:rPr>
        <w:t xml:space="preserve">early 600 miles of </w:t>
      </w:r>
      <w:r w:rsidR="0079649C" w:rsidRPr="0079649C">
        <w:rPr>
          <w:rFonts w:ascii="Georgia" w:hAnsi="Georgia"/>
          <w:sz w:val="24"/>
          <w:szCs w:val="24"/>
        </w:rPr>
        <w:t>525 kV transmission lines</w:t>
      </w:r>
      <w:r w:rsidR="00F751B5">
        <w:rPr>
          <w:rFonts w:ascii="Georgia" w:hAnsi="Georgia"/>
          <w:sz w:val="24"/>
          <w:szCs w:val="24"/>
        </w:rPr>
        <w:t xml:space="preserve">, </w:t>
      </w:r>
      <w:r w:rsidR="005E2975">
        <w:rPr>
          <w:rFonts w:ascii="Georgia" w:hAnsi="Georgia"/>
          <w:sz w:val="24"/>
          <w:szCs w:val="24"/>
        </w:rPr>
        <w:t xml:space="preserve">along with substations and </w:t>
      </w:r>
      <w:r w:rsidR="005E2975" w:rsidRPr="005E2975">
        <w:rPr>
          <w:rFonts w:ascii="Georgia" w:hAnsi="Georgia"/>
          <w:sz w:val="24"/>
          <w:szCs w:val="24"/>
        </w:rPr>
        <w:t>three 345 kV transmission</w:t>
      </w:r>
      <w:r w:rsidR="005E2975">
        <w:rPr>
          <w:rFonts w:ascii="Georgia" w:hAnsi="Georgia"/>
          <w:sz w:val="24"/>
          <w:szCs w:val="24"/>
        </w:rPr>
        <w:t xml:space="preserve"> lines</w:t>
      </w:r>
      <w:r w:rsidR="00282721">
        <w:rPr>
          <w:rFonts w:ascii="Georgia" w:hAnsi="Georgia"/>
          <w:sz w:val="24"/>
          <w:szCs w:val="24"/>
        </w:rPr>
        <w:t xml:space="preserve">, known as </w:t>
      </w:r>
      <w:proofErr w:type="spellStart"/>
      <w:r w:rsidR="00282721">
        <w:rPr>
          <w:rFonts w:ascii="Georgia" w:hAnsi="Georgia"/>
          <w:sz w:val="24"/>
          <w:szCs w:val="24"/>
        </w:rPr>
        <w:t>Greenlink</w:t>
      </w:r>
      <w:proofErr w:type="spellEnd"/>
      <w:r w:rsidR="00282721">
        <w:rPr>
          <w:rFonts w:ascii="Georgia" w:hAnsi="Georgia"/>
          <w:sz w:val="24"/>
          <w:szCs w:val="24"/>
        </w:rPr>
        <w:t xml:space="preserve"> Nevada</w:t>
      </w:r>
      <w:r w:rsidR="005E2975">
        <w:rPr>
          <w:rFonts w:ascii="Georgia" w:hAnsi="Georgia"/>
          <w:sz w:val="24"/>
          <w:szCs w:val="24"/>
        </w:rPr>
        <w:t>.</w:t>
      </w:r>
      <w:r w:rsidR="00842B8A">
        <w:rPr>
          <w:rFonts w:ascii="Georgia" w:hAnsi="Georgia"/>
          <w:sz w:val="24"/>
          <w:szCs w:val="24"/>
        </w:rPr>
        <w:t xml:space="preserve"> </w:t>
      </w:r>
    </w:p>
    <w:p w14:paraId="198B045C" w14:textId="1688D572" w:rsidR="00E929FA" w:rsidRDefault="001C55E2" w:rsidP="00007654">
      <w:pPr>
        <w:spacing w:line="360" w:lineRule="auto"/>
        <w:rPr>
          <w:rFonts w:ascii="Georgia" w:hAnsi="Georgia"/>
          <w:sz w:val="24"/>
          <w:szCs w:val="24"/>
        </w:rPr>
      </w:pPr>
      <w:r>
        <w:rPr>
          <w:rFonts w:ascii="Georgia" w:hAnsi="Georgia"/>
          <w:sz w:val="24"/>
          <w:szCs w:val="24"/>
        </w:rPr>
        <w:lastRenderedPageBreak/>
        <w:tab/>
        <w:t>The June 30 Petition</w:t>
      </w:r>
      <w:r w:rsidR="00036869">
        <w:rPr>
          <w:rFonts w:ascii="Georgia" w:hAnsi="Georgia"/>
          <w:sz w:val="24"/>
          <w:szCs w:val="24"/>
        </w:rPr>
        <w:t xml:space="preserve"> </w:t>
      </w:r>
      <w:r w:rsidR="00167204">
        <w:rPr>
          <w:rFonts w:ascii="Georgia" w:hAnsi="Georgia"/>
          <w:sz w:val="24"/>
          <w:szCs w:val="24"/>
        </w:rPr>
        <w:t>“</w:t>
      </w:r>
      <w:r w:rsidR="00167204" w:rsidRPr="00167204">
        <w:rPr>
          <w:rFonts w:ascii="Georgia" w:hAnsi="Georgia"/>
          <w:sz w:val="24"/>
          <w:szCs w:val="24"/>
        </w:rPr>
        <w:t xml:space="preserve">requests three incentives for </w:t>
      </w:r>
      <w:proofErr w:type="spellStart"/>
      <w:r w:rsidR="00167204" w:rsidRPr="00167204">
        <w:rPr>
          <w:rFonts w:ascii="Georgia" w:hAnsi="Georgia"/>
          <w:sz w:val="24"/>
          <w:szCs w:val="24"/>
        </w:rPr>
        <w:t>Greenlink</w:t>
      </w:r>
      <w:proofErr w:type="spellEnd"/>
      <w:r w:rsidR="00167204" w:rsidRPr="00167204">
        <w:rPr>
          <w:rFonts w:ascii="Georgia" w:hAnsi="Georgia"/>
          <w:sz w:val="24"/>
          <w:szCs w:val="24"/>
        </w:rPr>
        <w:t xml:space="preserve"> Nevada:</w:t>
      </w:r>
      <w:r w:rsidR="005D5260">
        <w:rPr>
          <w:rFonts w:ascii="Georgia" w:hAnsi="Georgia"/>
          <w:sz w:val="24"/>
          <w:szCs w:val="24"/>
        </w:rPr>
        <w:t xml:space="preserve"> </w:t>
      </w:r>
      <w:r w:rsidR="00036869" w:rsidRPr="00036869">
        <w:rPr>
          <w:rFonts w:ascii="Georgia" w:hAnsi="Georgia"/>
          <w:sz w:val="24"/>
          <w:szCs w:val="24"/>
        </w:rPr>
        <w:t>recovery of 100 percent</w:t>
      </w:r>
      <w:r w:rsidR="005D5260">
        <w:rPr>
          <w:rFonts w:ascii="Georgia" w:hAnsi="Georgia"/>
          <w:sz w:val="24"/>
          <w:szCs w:val="24"/>
        </w:rPr>
        <w:t xml:space="preserve"> </w:t>
      </w:r>
      <w:r w:rsidR="00036869" w:rsidRPr="00036869">
        <w:rPr>
          <w:rFonts w:ascii="Georgia" w:hAnsi="Georgia"/>
          <w:sz w:val="24"/>
          <w:szCs w:val="24"/>
        </w:rPr>
        <w:t xml:space="preserve">of prudently incurred costs in the event that </w:t>
      </w:r>
      <w:proofErr w:type="spellStart"/>
      <w:r w:rsidR="00036869" w:rsidRPr="00036869">
        <w:rPr>
          <w:rFonts w:ascii="Georgia" w:hAnsi="Georgia"/>
          <w:sz w:val="24"/>
          <w:szCs w:val="24"/>
        </w:rPr>
        <w:t>Greenlink</w:t>
      </w:r>
      <w:proofErr w:type="spellEnd"/>
      <w:r w:rsidR="00036869" w:rsidRPr="00036869">
        <w:rPr>
          <w:rFonts w:ascii="Georgia" w:hAnsi="Georgia"/>
          <w:sz w:val="24"/>
          <w:szCs w:val="24"/>
        </w:rPr>
        <w:t xml:space="preserve"> Nevada is abandoned or cancelled, in</w:t>
      </w:r>
      <w:r w:rsidR="007B3ED1">
        <w:rPr>
          <w:rFonts w:ascii="Georgia" w:hAnsi="Georgia"/>
          <w:sz w:val="24"/>
          <w:szCs w:val="24"/>
        </w:rPr>
        <w:t xml:space="preserve"> </w:t>
      </w:r>
      <w:r w:rsidR="00036869" w:rsidRPr="00036869">
        <w:rPr>
          <w:rFonts w:ascii="Georgia" w:hAnsi="Georgia"/>
          <w:sz w:val="24"/>
          <w:szCs w:val="24"/>
        </w:rPr>
        <w:t>whole or in part, for reasons outside of NV Energy’s control (“Abandoned Plant Incentive”);</w:t>
      </w:r>
      <w:r w:rsidR="007B3ED1">
        <w:rPr>
          <w:rFonts w:ascii="Georgia" w:hAnsi="Georgia"/>
          <w:sz w:val="24"/>
          <w:szCs w:val="24"/>
        </w:rPr>
        <w:t xml:space="preserve"> </w:t>
      </w:r>
      <w:r w:rsidR="00036869" w:rsidRPr="00036869">
        <w:rPr>
          <w:rFonts w:ascii="Georgia" w:hAnsi="Georgia"/>
          <w:sz w:val="24"/>
          <w:szCs w:val="24"/>
        </w:rPr>
        <w:t>(2) the deferral of prudently incurred pre-commercial costs through the creation of a regulatory</w:t>
      </w:r>
      <w:r w:rsidR="007B3ED1">
        <w:rPr>
          <w:rFonts w:ascii="Georgia" w:hAnsi="Georgia"/>
          <w:sz w:val="24"/>
          <w:szCs w:val="24"/>
        </w:rPr>
        <w:t xml:space="preserve"> </w:t>
      </w:r>
      <w:r w:rsidR="00036869" w:rsidRPr="00036869">
        <w:rPr>
          <w:rFonts w:ascii="Georgia" w:hAnsi="Georgia"/>
          <w:sz w:val="24"/>
          <w:szCs w:val="24"/>
        </w:rPr>
        <w:t>asset (“Regulatory Asset Incentive”); and (3) the opportunity to include 100 percent of</w:t>
      </w:r>
      <w:r w:rsidR="007B3ED1">
        <w:rPr>
          <w:rFonts w:ascii="Georgia" w:hAnsi="Georgia"/>
          <w:sz w:val="24"/>
          <w:szCs w:val="24"/>
        </w:rPr>
        <w:t xml:space="preserve"> </w:t>
      </w:r>
      <w:r w:rsidR="00036869" w:rsidRPr="00036869">
        <w:rPr>
          <w:rFonts w:ascii="Georgia" w:hAnsi="Georgia"/>
          <w:sz w:val="24"/>
          <w:szCs w:val="24"/>
        </w:rPr>
        <w:t>Construction Work in Progress in rate base (“CWIP Incentive”).</w:t>
      </w:r>
      <w:r w:rsidR="007B3ED1">
        <w:rPr>
          <w:rFonts w:ascii="Georgia" w:hAnsi="Georgia"/>
          <w:sz w:val="24"/>
          <w:szCs w:val="24"/>
        </w:rPr>
        <w:t>”</w:t>
      </w:r>
      <w:r w:rsidR="007C3DDD">
        <w:rPr>
          <w:rStyle w:val="FootnoteReference"/>
          <w:rFonts w:ascii="Georgia" w:hAnsi="Georgia"/>
          <w:sz w:val="24"/>
          <w:szCs w:val="24"/>
        </w:rPr>
        <w:footnoteReference w:id="2"/>
      </w:r>
      <w:r w:rsidR="0084649B">
        <w:rPr>
          <w:rFonts w:ascii="Georgia" w:hAnsi="Georgia"/>
          <w:sz w:val="24"/>
          <w:szCs w:val="24"/>
        </w:rPr>
        <w:t xml:space="preserve"> With such cost-recovery rate incentives, there is limited </w:t>
      </w:r>
      <w:r w:rsidR="0084649B" w:rsidRPr="00FC6674">
        <w:rPr>
          <w:rFonts w:ascii="Georgia" w:hAnsi="Georgia"/>
          <w:sz w:val="24"/>
          <w:szCs w:val="24"/>
        </w:rPr>
        <w:t>opportunity for a comprehensive review of project</w:t>
      </w:r>
      <w:r w:rsidR="0084649B">
        <w:rPr>
          <w:rFonts w:ascii="Georgia" w:hAnsi="Georgia"/>
          <w:sz w:val="24"/>
          <w:szCs w:val="24"/>
        </w:rPr>
        <w:t xml:space="preserve"> </w:t>
      </w:r>
      <w:r w:rsidR="0084649B" w:rsidRPr="00FC6674">
        <w:rPr>
          <w:rFonts w:ascii="Georgia" w:hAnsi="Georgia"/>
          <w:sz w:val="24"/>
          <w:szCs w:val="24"/>
        </w:rPr>
        <w:t xml:space="preserve">costs </w:t>
      </w:r>
      <w:r w:rsidR="0084649B">
        <w:rPr>
          <w:rFonts w:ascii="Georgia" w:hAnsi="Georgia"/>
          <w:sz w:val="24"/>
          <w:szCs w:val="24"/>
        </w:rPr>
        <w:t>before those costs</w:t>
      </w:r>
      <w:r w:rsidR="0084649B" w:rsidRPr="00FC6674">
        <w:rPr>
          <w:rFonts w:ascii="Georgia" w:hAnsi="Georgia"/>
          <w:sz w:val="24"/>
          <w:szCs w:val="24"/>
        </w:rPr>
        <w:t xml:space="preserve"> are passed on to ratepayers</w:t>
      </w:r>
      <w:r w:rsidR="0084649B">
        <w:rPr>
          <w:rFonts w:ascii="Georgia" w:hAnsi="Georgia"/>
          <w:sz w:val="24"/>
          <w:szCs w:val="24"/>
        </w:rPr>
        <w:t>.</w:t>
      </w:r>
    </w:p>
    <w:p w14:paraId="37A276B3" w14:textId="5415190F" w:rsidR="00710084" w:rsidRDefault="00710084" w:rsidP="00007654">
      <w:pPr>
        <w:spacing w:line="360" w:lineRule="auto"/>
        <w:rPr>
          <w:rFonts w:ascii="Georgia" w:hAnsi="Georgia"/>
          <w:sz w:val="24"/>
          <w:szCs w:val="24"/>
        </w:rPr>
      </w:pPr>
      <w:r>
        <w:rPr>
          <w:rFonts w:ascii="Georgia" w:hAnsi="Georgia"/>
          <w:sz w:val="24"/>
          <w:szCs w:val="24"/>
        </w:rPr>
        <w:tab/>
        <w:t xml:space="preserve">Commissioner </w:t>
      </w:r>
      <w:r w:rsidR="00B76803" w:rsidRPr="00B76803">
        <w:rPr>
          <w:rFonts w:ascii="Georgia" w:hAnsi="Georgia"/>
          <w:sz w:val="24"/>
          <w:szCs w:val="24"/>
        </w:rPr>
        <w:t>Mark C. Christie</w:t>
      </w:r>
      <w:r w:rsidR="00C8655A">
        <w:rPr>
          <w:rFonts w:ascii="Georgia" w:hAnsi="Georgia"/>
          <w:sz w:val="24"/>
          <w:szCs w:val="24"/>
        </w:rPr>
        <w:t xml:space="preserve"> </w:t>
      </w:r>
      <w:r w:rsidR="0071739E">
        <w:rPr>
          <w:rFonts w:ascii="Georgia" w:hAnsi="Georgia"/>
          <w:sz w:val="24"/>
          <w:szCs w:val="24"/>
        </w:rPr>
        <w:t xml:space="preserve">articulates </w:t>
      </w:r>
      <w:r w:rsidR="00C8655A">
        <w:rPr>
          <w:rFonts w:ascii="Georgia" w:hAnsi="Georgia"/>
          <w:sz w:val="24"/>
          <w:szCs w:val="24"/>
        </w:rPr>
        <w:t xml:space="preserve">why asking consumers to pay </w:t>
      </w:r>
      <w:r w:rsidR="0059465B">
        <w:rPr>
          <w:rFonts w:ascii="Georgia" w:hAnsi="Georgia"/>
          <w:sz w:val="24"/>
          <w:szCs w:val="24"/>
        </w:rPr>
        <w:t>such</w:t>
      </w:r>
      <w:r w:rsidR="00C8655A">
        <w:rPr>
          <w:rFonts w:ascii="Georgia" w:hAnsi="Georgia"/>
          <w:sz w:val="24"/>
          <w:szCs w:val="24"/>
        </w:rPr>
        <w:t xml:space="preserve"> </w:t>
      </w:r>
      <w:r w:rsidR="00265348">
        <w:rPr>
          <w:rFonts w:ascii="Georgia" w:hAnsi="Georgia"/>
          <w:sz w:val="24"/>
          <w:szCs w:val="24"/>
        </w:rPr>
        <w:t>generous subsidies</w:t>
      </w:r>
      <w:r w:rsidR="00C8655A">
        <w:rPr>
          <w:rFonts w:ascii="Georgia" w:hAnsi="Georgia"/>
          <w:sz w:val="24"/>
          <w:szCs w:val="24"/>
        </w:rPr>
        <w:t xml:space="preserve"> </w:t>
      </w:r>
      <w:r w:rsidR="003C04CF">
        <w:rPr>
          <w:rFonts w:ascii="Georgia" w:hAnsi="Georgia"/>
          <w:sz w:val="24"/>
          <w:szCs w:val="24"/>
        </w:rPr>
        <w:t>is</w:t>
      </w:r>
      <w:r w:rsidR="00C8655A">
        <w:rPr>
          <w:rFonts w:ascii="Georgia" w:hAnsi="Georgia"/>
          <w:sz w:val="24"/>
          <w:szCs w:val="24"/>
        </w:rPr>
        <w:t xml:space="preserve"> generally wrong and inconsistent with</w:t>
      </w:r>
      <w:r w:rsidR="00B46E8F">
        <w:rPr>
          <w:rFonts w:ascii="Georgia" w:hAnsi="Georgia"/>
          <w:sz w:val="24"/>
          <w:szCs w:val="24"/>
        </w:rPr>
        <w:t xml:space="preserve"> the history of utility regulation</w:t>
      </w:r>
      <w:r w:rsidR="0071739E">
        <w:rPr>
          <w:rFonts w:ascii="Georgia" w:hAnsi="Georgia"/>
          <w:sz w:val="24"/>
          <w:szCs w:val="24"/>
        </w:rPr>
        <w:t>:</w:t>
      </w:r>
    </w:p>
    <w:p w14:paraId="1830619B" w14:textId="77777777" w:rsidR="0071739E" w:rsidRDefault="0071739E" w:rsidP="00036869">
      <w:pPr>
        <w:rPr>
          <w:rFonts w:ascii="Georgia" w:hAnsi="Georgia"/>
          <w:sz w:val="24"/>
          <w:szCs w:val="24"/>
        </w:rPr>
      </w:pPr>
    </w:p>
    <w:p w14:paraId="3BC005A9" w14:textId="27F0A408" w:rsidR="0071739E" w:rsidRPr="006E5FA7" w:rsidRDefault="0071739E" w:rsidP="006E5FA7">
      <w:pPr>
        <w:ind w:left="720"/>
        <w:rPr>
          <w:rFonts w:ascii="Georgia" w:hAnsi="Georgia"/>
          <w:i/>
          <w:iCs/>
        </w:rPr>
      </w:pPr>
      <w:r w:rsidRPr="006E5FA7">
        <w:rPr>
          <w:rFonts w:ascii="Georgia" w:hAnsi="Georgia"/>
          <w:i/>
          <w:iCs/>
        </w:rPr>
        <w:t>A core principle of utility law and regulation for decades is that consumers can only be forced to pay costs for assets that are “used and useful” to them. In Order No. 679, the Commission determined that it may be necessary to depart from this long-standing ratemaking principle to “address the substantial challenges and risks in constructing new transmission.” In my concurrence to a prior order</w:t>
      </w:r>
      <w:r w:rsidR="00F64B7F">
        <w:rPr>
          <w:rFonts w:ascii="Georgia" w:hAnsi="Georgia"/>
          <w:i/>
          <w:iCs/>
        </w:rPr>
        <w:t xml:space="preserve"> . . .</w:t>
      </w:r>
      <w:r w:rsidRPr="006E5FA7">
        <w:rPr>
          <w:rFonts w:ascii="Georgia" w:hAnsi="Georgia"/>
          <w:i/>
          <w:iCs/>
        </w:rPr>
        <w:t xml:space="preserve"> I questioned, among other concerns, whether the Commission’s determination of whether “substantial challenges and risks” exist when granting the abandoned plant and other incentives has become nothing more than a check-the-box exercise. As I have previously discussed:</w:t>
      </w:r>
    </w:p>
    <w:p w14:paraId="390FD29F" w14:textId="77777777" w:rsidR="000362F9" w:rsidRPr="006E5FA7" w:rsidRDefault="000362F9" w:rsidP="006E5FA7">
      <w:pPr>
        <w:ind w:left="720"/>
        <w:rPr>
          <w:rFonts w:ascii="Georgia" w:hAnsi="Georgia"/>
          <w:i/>
          <w:iCs/>
        </w:rPr>
      </w:pPr>
    </w:p>
    <w:p w14:paraId="50A60799" w14:textId="549A287B" w:rsidR="0071739E" w:rsidRPr="006E5FA7" w:rsidRDefault="0071739E" w:rsidP="006E5FA7">
      <w:pPr>
        <w:ind w:left="720"/>
        <w:rPr>
          <w:rFonts w:ascii="Georgia" w:hAnsi="Georgia"/>
          <w:i/>
          <w:iCs/>
        </w:rPr>
      </w:pPr>
      <w:r w:rsidRPr="006E5FA7">
        <w:rPr>
          <w:rFonts w:ascii="Georgia" w:hAnsi="Georgia"/>
          <w:i/>
          <w:iCs/>
        </w:rPr>
        <w:t xml:space="preserve">The Commission’s incentive policies—particularly the CWIP Incentive, which allows recovery of costs before a project has been put into service—run the risk of making consumers “the bank” for the transmission developer; but, unlike a real bank, which gets to charge interest for the money it loans, under our existing incentives policies the consumer not only effectively “loans” the money through the formula rates mechanism, but also pays the utility a profit, known as Return on Equity, or “ROE,” for the privilege of serving as the utility’s de facto lender.  </w:t>
      </w:r>
    </w:p>
    <w:p w14:paraId="1759EF26" w14:textId="77777777" w:rsidR="00B53DEB" w:rsidRPr="006E5FA7" w:rsidRDefault="00B53DEB" w:rsidP="006E5FA7">
      <w:pPr>
        <w:ind w:left="720"/>
        <w:rPr>
          <w:rFonts w:ascii="Georgia" w:hAnsi="Georgia"/>
          <w:i/>
          <w:iCs/>
        </w:rPr>
      </w:pPr>
    </w:p>
    <w:p w14:paraId="64C5073C" w14:textId="251929FD" w:rsidR="0071739E" w:rsidRDefault="0071739E" w:rsidP="006E5FA7">
      <w:pPr>
        <w:ind w:left="720"/>
        <w:rPr>
          <w:rFonts w:ascii="Georgia" w:hAnsi="Georgia"/>
          <w:sz w:val="24"/>
          <w:szCs w:val="24"/>
        </w:rPr>
      </w:pPr>
      <w:r w:rsidRPr="006E5FA7">
        <w:rPr>
          <w:rFonts w:ascii="Georgia" w:hAnsi="Georgia"/>
          <w:i/>
          <w:iCs/>
        </w:rPr>
        <w:t xml:space="preserve">Further, just as the CWIP Incentive effectively makes consumers the bank for transmission developers, the Abandoned Plant Incentive effectively makes them the insurer of last resort as well. This incentive allows transmission developers to recover from consumers the costs of investments in projects that fail to materialize and thus do not benefit consumers. Just as consumers receive no interest for the </w:t>
      </w:r>
      <w:proofErr w:type="gramStart"/>
      <w:r w:rsidRPr="006E5FA7">
        <w:rPr>
          <w:rFonts w:ascii="Georgia" w:hAnsi="Georgia"/>
          <w:i/>
          <w:iCs/>
        </w:rPr>
        <w:t>money</w:t>
      </w:r>
      <w:proofErr w:type="gramEnd"/>
      <w:r w:rsidRPr="006E5FA7">
        <w:rPr>
          <w:rFonts w:ascii="Georgia" w:hAnsi="Georgia"/>
          <w:i/>
          <w:iCs/>
        </w:rPr>
        <w:t xml:space="preserve"> they effectively loan transmission developers, they receive no premiums for the insurance they provide if the project is never built</w:t>
      </w:r>
      <w:r w:rsidR="00C21F72" w:rsidRPr="006E5FA7">
        <w:rPr>
          <w:rFonts w:ascii="Georgia" w:hAnsi="Georgia"/>
          <w:i/>
          <w:iCs/>
        </w:rPr>
        <w:t xml:space="preserve"> . . . </w:t>
      </w:r>
      <w:r w:rsidRPr="006E5FA7">
        <w:rPr>
          <w:rFonts w:ascii="Georgia" w:hAnsi="Georgia"/>
          <w:i/>
          <w:iCs/>
        </w:rPr>
        <w:t>the CWIP Incentive is a de facto loan and the Abandoned Plant Incentive is de facto insurance — both provided by consumers</w:t>
      </w:r>
      <w:r w:rsidR="00C21F72" w:rsidRPr="006E5FA7">
        <w:rPr>
          <w:rFonts w:ascii="Georgia" w:hAnsi="Georgia"/>
          <w:i/>
          <w:iCs/>
        </w:rPr>
        <w:t>”</w:t>
      </w:r>
      <w:r w:rsidR="006E5FA7" w:rsidRPr="006E5FA7">
        <w:rPr>
          <w:rFonts w:ascii="Georgia" w:hAnsi="Georgia"/>
          <w:i/>
          <w:iCs/>
        </w:rPr>
        <w:t>.</w:t>
      </w:r>
      <w:r w:rsidR="006E5FA7">
        <w:rPr>
          <w:rStyle w:val="FootnoteReference"/>
          <w:rFonts w:ascii="Georgia" w:hAnsi="Georgia"/>
          <w:sz w:val="24"/>
          <w:szCs w:val="24"/>
        </w:rPr>
        <w:footnoteReference w:id="3"/>
      </w:r>
    </w:p>
    <w:p w14:paraId="7F44E245" w14:textId="61EA9BA4" w:rsidR="00B46E8F" w:rsidRPr="00081A76" w:rsidRDefault="00B46E8F" w:rsidP="00036869">
      <w:pPr>
        <w:rPr>
          <w:rFonts w:ascii="Georgia" w:hAnsi="Georgia"/>
          <w:sz w:val="24"/>
          <w:szCs w:val="24"/>
        </w:rPr>
      </w:pPr>
    </w:p>
    <w:p w14:paraId="389C6D08" w14:textId="42BCA142" w:rsidR="009B600B" w:rsidRDefault="009B600B" w:rsidP="009B600B">
      <w:pPr>
        <w:spacing w:line="360" w:lineRule="auto"/>
        <w:ind w:firstLine="720"/>
        <w:rPr>
          <w:rFonts w:ascii="Georgia" w:hAnsi="Georgia"/>
          <w:sz w:val="24"/>
          <w:szCs w:val="24"/>
        </w:rPr>
      </w:pPr>
      <w:r>
        <w:rPr>
          <w:rFonts w:ascii="Georgia" w:hAnsi="Georgia"/>
          <w:sz w:val="24"/>
          <w:szCs w:val="24"/>
        </w:rPr>
        <w:lastRenderedPageBreak/>
        <w:t>FERC Order 679 states that “</w:t>
      </w:r>
      <w:r w:rsidRPr="007A1E23">
        <w:rPr>
          <w:rFonts w:ascii="Georgia" w:hAnsi="Georgia"/>
          <w:sz w:val="24"/>
          <w:szCs w:val="24"/>
        </w:rPr>
        <w:t>The purpose of our Rule is to benefit</w:t>
      </w:r>
      <w:r>
        <w:rPr>
          <w:rFonts w:ascii="Georgia" w:hAnsi="Georgia"/>
          <w:sz w:val="24"/>
          <w:szCs w:val="24"/>
        </w:rPr>
        <w:t xml:space="preserve"> </w:t>
      </w:r>
      <w:r w:rsidRPr="007A1E23">
        <w:rPr>
          <w:rFonts w:ascii="Georgia" w:hAnsi="Georgia"/>
          <w:sz w:val="24"/>
          <w:szCs w:val="24"/>
        </w:rPr>
        <w:t xml:space="preserve">customers by providing real incentives to </w:t>
      </w:r>
      <w:r w:rsidRPr="00FB5053">
        <w:rPr>
          <w:rFonts w:ascii="Georgia" w:hAnsi="Georgia"/>
          <w:sz w:val="24"/>
          <w:szCs w:val="24"/>
        </w:rPr>
        <w:t>encourage</w:t>
      </w:r>
      <w:r w:rsidRPr="007A1E23">
        <w:rPr>
          <w:rFonts w:ascii="Georgia" w:hAnsi="Georgia"/>
          <w:sz w:val="24"/>
          <w:szCs w:val="24"/>
        </w:rPr>
        <w:t xml:space="preserve"> new infrastructure, not simply</w:t>
      </w:r>
      <w:r>
        <w:rPr>
          <w:rFonts w:ascii="Georgia" w:hAnsi="Georgia"/>
          <w:sz w:val="24"/>
          <w:szCs w:val="24"/>
        </w:rPr>
        <w:t xml:space="preserve"> </w:t>
      </w:r>
      <w:r w:rsidRPr="007A1E23">
        <w:rPr>
          <w:rFonts w:ascii="Georgia" w:hAnsi="Georgia"/>
          <w:sz w:val="24"/>
          <w:szCs w:val="24"/>
        </w:rPr>
        <w:t xml:space="preserve">increasing rates in a manner that has no correlation to </w:t>
      </w:r>
      <w:r w:rsidRPr="00FB5053">
        <w:rPr>
          <w:rFonts w:ascii="Georgia" w:hAnsi="Georgia"/>
          <w:sz w:val="24"/>
          <w:szCs w:val="24"/>
        </w:rPr>
        <w:t>encouraging new investment</w:t>
      </w:r>
      <w:r w:rsidRPr="007A1E23">
        <w:rPr>
          <w:rFonts w:ascii="Georgia" w:hAnsi="Georgia"/>
          <w:sz w:val="24"/>
          <w:szCs w:val="24"/>
        </w:rPr>
        <w:t>.</w:t>
      </w:r>
      <w:r>
        <w:rPr>
          <w:rFonts w:ascii="Georgia" w:hAnsi="Georgia"/>
          <w:sz w:val="24"/>
          <w:szCs w:val="24"/>
        </w:rPr>
        <w:t xml:space="preserve"> </w:t>
      </w:r>
      <w:r w:rsidRPr="007A1E23">
        <w:rPr>
          <w:rFonts w:ascii="Georgia" w:hAnsi="Georgia"/>
          <w:sz w:val="24"/>
          <w:szCs w:val="24"/>
        </w:rPr>
        <w:t>The Final Rule, therefore, makes clear that not every incentive identified herein will be</w:t>
      </w:r>
      <w:r>
        <w:rPr>
          <w:rFonts w:ascii="Georgia" w:hAnsi="Georgia"/>
          <w:sz w:val="24"/>
          <w:szCs w:val="24"/>
        </w:rPr>
        <w:t xml:space="preserve"> </w:t>
      </w:r>
      <w:r w:rsidRPr="007A1E23">
        <w:rPr>
          <w:rFonts w:ascii="Georgia" w:hAnsi="Georgia"/>
          <w:sz w:val="24"/>
          <w:szCs w:val="24"/>
        </w:rPr>
        <w:t>necessary or appropriate for every new transmission investment</w:t>
      </w:r>
      <w:r>
        <w:rPr>
          <w:rFonts w:ascii="Georgia" w:hAnsi="Georgia"/>
          <w:sz w:val="24"/>
          <w:szCs w:val="24"/>
        </w:rPr>
        <w:t>”; that incentive rates are required only if there are “</w:t>
      </w:r>
      <w:r w:rsidRPr="00F40E46">
        <w:rPr>
          <w:rFonts w:ascii="Georgia" w:hAnsi="Georgia"/>
          <w:sz w:val="24"/>
          <w:szCs w:val="24"/>
        </w:rPr>
        <w:t>substantial challenges and risks in constructing new transmission</w:t>
      </w:r>
      <w:r>
        <w:rPr>
          <w:rFonts w:ascii="Georgia" w:hAnsi="Georgia"/>
          <w:sz w:val="24"/>
          <w:szCs w:val="24"/>
        </w:rPr>
        <w:t>”; that “</w:t>
      </w:r>
      <w:r w:rsidRPr="004562FD">
        <w:rPr>
          <w:rFonts w:ascii="Georgia" w:hAnsi="Georgia"/>
          <w:sz w:val="24"/>
          <w:szCs w:val="24"/>
        </w:rPr>
        <w:t>the Commission will permit incentives only if the</w:t>
      </w:r>
      <w:r>
        <w:rPr>
          <w:rFonts w:ascii="Georgia" w:hAnsi="Georgia"/>
          <w:sz w:val="24"/>
          <w:szCs w:val="24"/>
        </w:rPr>
        <w:t xml:space="preserve"> </w:t>
      </w:r>
      <w:r w:rsidRPr="004562FD">
        <w:rPr>
          <w:rFonts w:ascii="Georgia" w:hAnsi="Georgia"/>
          <w:sz w:val="24"/>
          <w:szCs w:val="24"/>
        </w:rPr>
        <w:t>incentive package as a whole results in a just and reasonable rate</w:t>
      </w:r>
      <w:r>
        <w:rPr>
          <w:rFonts w:ascii="Georgia" w:hAnsi="Georgia"/>
          <w:sz w:val="24"/>
          <w:szCs w:val="24"/>
        </w:rPr>
        <w:t xml:space="preserve">”; and acknowledged that the certain rate incentives departed </w:t>
      </w:r>
      <w:r w:rsidRPr="00FE0DCA">
        <w:rPr>
          <w:rFonts w:ascii="Georgia" w:hAnsi="Georgia"/>
          <w:sz w:val="24"/>
          <w:szCs w:val="24"/>
        </w:rPr>
        <w:t>from the existing ratemaking doctrine that rates should be based on plant costs that</w:t>
      </w:r>
      <w:r>
        <w:rPr>
          <w:rFonts w:ascii="Georgia" w:hAnsi="Georgia"/>
          <w:sz w:val="24"/>
          <w:szCs w:val="24"/>
        </w:rPr>
        <w:t xml:space="preserve"> </w:t>
      </w:r>
      <w:r w:rsidRPr="00FE0DCA">
        <w:rPr>
          <w:rFonts w:ascii="Georgia" w:hAnsi="Georgia"/>
          <w:sz w:val="24"/>
          <w:szCs w:val="24"/>
        </w:rPr>
        <w:t xml:space="preserve">are </w:t>
      </w:r>
      <w:r w:rsidRPr="00F30625">
        <w:rPr>
          <w:rFonts w:ascii="Georgia" w:hAnsi="Georgia"/>
          <w:i/>
          <w:iCs/>
          <w:sz w:val="24"/>
          <w:szCs w:val="24"/>
        </w:rPr>
        <w:t>used and useful</w:t>
      </w:r>
      <w:r w:rsidRPr="00FE0DCA">
        <w:rPr>
          <w:rFonts w:ascii="Georgia" w:hAnsi="Georgia"/>
          <w:sz w:val="24"/>
          <w:szCs w:val="24"/>
        </w:rPr>
        <w:t>.</w:t>
      </w:r>
      <w:r>
        <w:rPr>
          <w:rStyle w:val="FootnoteReference"/>
          <w:rFonts w:ascii="Georgia" w:hAnsi="Georgia"/>
          <w:sz w:val="24"/>
          <w:szCs w:val="24"/>
        </w:rPr>
        <w:footnoteReference w:id="4"/>
      </w:r>
      <w:r>
        <w:rPr>
          <w:rFonts w:ascii="Georgia" w:hAnsi="Georgia"/>
          <w:sz w:val="24"/>
          <w:szCs w:val="24"/>
        </w:rPr>
        <w:t xml:space="preserve"> </w:t>
      </w:r>
    </w:p>
    <w:p w14:paraId="0C4B89C1" w14:textId="1D5503B6" w:rsidR="009B600B" w:rsidRDefault="009B600B" w:rsidP="009B600B">
      <w:pPr>
        <w:spacing w:line="360" w:lineRule="auto"/>
        <w:ind w:firstLine="720"/>
        <w:rPr>
          <w:rFonts w:ascii="Georgia" w:hAnsi="Georgia"/>
          <w:sz w:val="24"/>
          <w:szCs w:val="24"/>
        </w:rPr>
      </w:pPr>
      <w:r>
        <w:rPr>
          <w:rFonts w:ascii="Georgia" w:hAnsi="Georgia"/>
          <w:sz w:val="24"/>
          <w:szCs w:val="24"/>
        </w:rPr>
        <w:t xml:space="preserve">The Commission’s purpose in considering whether to allow incentive rate treatment therefore is conditioned on whether the incentives are necessary to encourage new transmission investment, and that they be just and reasonable. </w:t>
      </w:r>
      <w:r w:rsidR="00D33EF9">
        <w:rPr>
          <w:rFonts w:ascii="Georgia" w:hAnsi="Georgia"/>
          <w:sz w:val="24"/>
          <w:szCs w:val="24"/>
        </w:rPr>
        <w:t xml:space="preserve">The Petition fails to make the case that </w:t>
      </w:r>
      <w:r w:rsidR="00C25104">
        <w:rPr>
          <w:rFonts w:ascii="Georgia" w:hAnsi="Georgia"/>
          <w:sz w:val="24"/>
          <w:szCs w:val="24"/>
        </w:rPr>
        <w:t>“</w:t>
      </w:r>
      <w:r w:rsidR="00C25104" w:rsidRPr="0071739E">
        <w:rPr>
          <w:rFonts w:ascii="Georgia" w:hAnsi="Georgia"/>
          <w:sz w:val="24"/>
          <w:szCs w:val="24"/>
        </w:rPr>
        <w:t>substantial challenges and risks</w:t>
      </w:r>
      <w:r w:rsidR="00C25104">
        <w:rPr>
          <w:rFonts w:ascii="Georgia" w:hAnsi="Georgia"/>
          <w:sz w:val="24"/>
          <w:szCs w:val="24"/>
        </w:rPr>
        <w:t xml:space="preserve">” exist requiring the incentive rates. Instead, </w:t>
      </w:r>
      <w:r w:rsidR="00FD2344">
        <w:rPr>
          <w:rFonts w:ascii="Georgia" w:hAnsi="Georgia"/>
          <w:sz w:val="24"/>
          <w:szCs w:val="24"/>
        </w:rPr>
        <w:t>the facts demonstrate that t</w:t>
      </w:r>
      <w:r>
        <w:rPr>
          <w:rFonts w:ascii="Georgia" w:hAnsi="Georgia"/>
          <w:sz w:val="24"/>
          <w:szCs w:val="24"/>
        </w:rPr>
        <w:t xml:space="preserve">he incentive rates are unneeded, as state law imposes a mandate upon Berkshire Hathaway to build the </w:t>
      </w:r>
      <w:proofErr w:type="spellStart"/>
      <w:r>
        <w:rPr>
          <w:rFonts w:ascii="Georgia" w:hAnsi="Georgia"/>
          <w:sz w:val="24"/>
          <w:szCs w:val="24"/>
        </w:rPr>
        <w:t>Greenlink</w:t>
      </w:r>
      <w:proofErr w:type="spellEnd"/>
      <w:r>
        <w:rPr>
          <w:rFonts w:ascii="Georgia" w:hAnsi="Georgia"/>
          <w:sz w:val="24"/>
          <w:szCs w:val="24"/>
        </w:rPr>
        <w:t xml:space="preserve"> transmission line; </w:t>
      </w:r>
      <w:r w:rsidR="00671A21">
        <w:rPr>
          <w:rFonts w:ascii="Georgia" w:hAnsi="Georgia"/>
          <w:sz w:val="24"/>
          <w:szCs w:val="24"/>
        </w:rPr>
        <w:t xml:space="preserve">a </w:t>
      </w:r>
      <w:r>
        <w:rPr>
          <w:rFonts w:ascii="Georgia" w:hAnsi="Georgia"/>
          <w:sz w:val="24"/>
          <w:szCs w:val="24"/>
        </w:rPr>
        <w:t xml:space="preserve">Berkshire Hathaway executive pledged in testimony that it would not seek such consumer-funded incentive rates; and </w:t>
      </w:r>
      <w:proofErr w:type="gramStart"/>
      <w:r>
        <w:rPr>
          <w:rFonts w:ascii="Georgia" w:hAnsi="Georgia"/>
          <w:sz w:val="24"/>
          <w:szCs w:val="24"/>
        </w:rPr>
        <w:t xml:space="preserve">that </w:t>
      </w:r>
      <w:r w:rsidR="006926C5">
        <w:rPr>
          <w:rFonts w:ascii="Georgia" w:hAnsi="Georgia"/>
          <w:sz w:val="24"/>
          <w:szCs w:val="24"/>
        </w:rPr>
        <w:t>financial attributes</w:t>
      </w:r>
      <w:r>
        <w:rPr>
          <w:rFonts w:ascii="Georgia" w:hAnsi="Georgia"/>
          <w:sz w:val="24"/>
          <w:szCs w:val="24"/>
        </w:rPr>
        <w:t xml:space="preserve"> of Berkshire Hathaway</w:t>
      </w:r>
      <w:proofErr w:type="gramEnd"/>
      <w:r>
        <w:rPr>
          <w:rFonts w:ascii="Georgia" w:hAnsi="Georgia"/>
          <w:sz w:val="24"/>
          <w:szCs w:val="24"/>
        </w:rPr>
        <w:t xml:space="preserve"> renders the need for any such incentive rates unnecessary. The Commission must dismiss the Petition and disallow the requested incentive rate treatment.</w:t>
      </w:r>
    </w:p>
    <w:p w14:paraId="2FFA83BB" w14:textId="77777777" w:rsidR="009B600B" w:rsidRDefault="009B600B" w:rsidP="001D42A6">
      <w:pPr>
        <w:spacing w:line="360" w:lineRule="auto"/>
        <w:rPr>
          <w:rFonts w:ascii="Georgia" w:hAnsi="Georgia"/>
          <w:sz w:val="24"/>
          <w:szCs w:val="24"/>
        </w:rPr>
      </w:pPr>
    </w:p>
    <w:p w14:paraId="37CC2E64" w14:textId="51E05E69" w:rsidR="00C15C9F" w:rsidRDefault="00FE5DEC" w:rsidP="002F6686">
      <w:pPr>
        <w:spacing w:line="360" w:lineRule="auto"/>
        <w:ind w:firstLine="720"/>
        <w:rPr>
          <w:rFonts w:ascii="Georgia" w:hAnsi="Georgia"/>
          <w:sz w:val="24"/>
          <w:szCs w:val="24"/>
        </w:rPr>
      </w:pPr>
      <w:r w:rsidRPr="00556A49">
        <w:rPr>
          <w:rFonts w:ascii="Georgia" w:hAnsi="Georgia"/>
          <w:sz w:val="24"/>
          <w:szCs w:val="24"/>
        </w:rPr>
        <w:t>Nevada</w:t>
      </w:r>
      <w:r>
        <w:rPr>
          <w:rFonts w:ascii="Georgia" w:hAnsi="Georgia"/>
          <w:sz w:val="24"/>
          <w:szCs w:val="24"/>
        </w:rPr>
        <w:t xml:space="preserve"> law </w:t>
      </w:r>
      <w:r w:rsidRPr="00BF12FD">
        <w:rPr>
          <w:rFonts w:ascii="Georgia" w:hAnsi="Georgia"/>
          <w:sz w:val="24"/>
          <w:szCs w:val="24"/>
        </w:rPr>
        <w:t>mandates</w:t>
      </w:r>
      <w:r>
        <w:rPr>
          <w:rFonts w:ascii="Georgia" w:hAnsi="Georgia"/>
          <w:sz w:val="24"/>
          <w:szCs w:val="24"/>
        </w:rPr>
        <w:t xml:space="preserve"> Berkshire Hathaway’s utilities </w:t>
      </w:r>
      <w:r w:rsidR="00636DF4">
        <w:rPr>
          <w:rFonts w:ascii="Georgia" w:hAnsi="Georgia"/>
          <w:sz w:val="24"/>
          <w:szCs w:val="24"/>
        </w:rPr>
        <w:t xml:space="preserve">construct </w:t>
      </w:r>
      <w:proofErr w:type="spellStart"/>
      <w:r w:rsidR="00E13652">
        <w:rPr>
          <w:rFonts w:ascii="Georgia" w:hAnsi="Georgia"/>
          <w:sz w:val="24"/>
          <w:szCs w:val="24"/>
        </w:rPr>
        <w:t>Greenlink</w:t>
      </w:r>
      <w:proofErr w:type="spellEnd"/>
      <w:r w:rsidR="00636DF4">
        <w:rPr>
          <w:rFonts w:ascii="Georgia" w:hAnsi="Georgia"/>
          <w:sz w:val="24"/>
          <w:szCs w:val="24"/>
        </w:rPr>
        <w:t xml:space="preserve">. </w:t>
      </w:r>
      <w:r w:rsidR="00C15C9F" w:rsidRPr="00C15C9F">
        <w:rPr>
          <w:rFonts w:ascii="Georgia" w:hAnsi="Georgia"/>
          <w:sz w:val="24"/>
          <w:szCs w:val="24"/>
        </w:rPr>
        <w:t>SB 448 was signed into law by Nevada Governor Stephen F. Sisolak on June 10, 2021.</w:t>
      </w:r>
      <w:r w:rsidR="00C15C9F">
        <w:rPr>
          <w:rFonts w:ascii="Georgia" w:hAnsi="Georgia"/>
          <w:sz w:val="24"/>
          <w:szCs w:val="24"/>
        </w:rPr>
        <w:t xml:space="preserve"> Sections 15-24 of SB 448 </w:t>
      </w:r>
      <w:r w:rsidR="00C15C9F" w:rsidRPr="00826E9E">
        <w:rPr>
          <w:rFonts w:ascii="Georgia" w:hAnsi="Georgia"/>
          <w:sz w:val="24"/>
          <w:szCs w:val="24"/>
        </w:rPr>
        <w:t>require</w:t>
      </w:r>
      <w:r w:rsidR="00EF0EFB">
        <w:rPr>
          <w:rFonts w:ascii="Georgia" w:hAnsi="Georgia"/>
          <w:sz w:val="24"/>
          <w:szCs w:val="24"/>
        </w:rPr>
        <w:t xml:space="preserve"> Berkshire Hathaway’s</w:t>
      </w:r>
      <w:r w:rsidR="00C15C9F">
        <w:rPr>
          <w:rFonts w:ascii="Georgia" w:hAnsi="Georgia"/>
          <w:sz w:val="24"/>
          <w:szCs w:val="24"/>
        </w:rPr>
        <w:t xml:space="preserve"> utilities</w:t>
      </w:r>
      <w:r w:rsidR="0071125B">
        <w:rPr>
          <w:rFonts w:ascii="Georgia" w:hAnsi="Georgia"/>
          <w:sz w:val="24"/>
          <w:szCs w:val="24"/>
        </w:rPr>
        <w:t xml:space="preserve"> </w:t>
      </w:r>
      <w:r w:rsidR="00497FF2">
        <w:rPr>
          <w:rFonts w:ascii="Georgia" w:hAnsi="Georgia"/>
          <w:sz w:val="24"/>
          <w:szCs w:val="24"/>
        </w:rPr>
        <w:t xml:space="preserve">to </w:t>
      </w:r>
      <w:r w:rsidR="0071125B">
        <w:rPr>
          <w:rFonts w:ascii="Georgia" w:hAnsi="Georgia"/>
          <w:sz w:val="24"/>
          <w:szCs w:val="24"/>
        </w:rPr>
        <w:t xml:space="preserve">build the </w:t>
      </w:r>
      <w:proofErr w:type="spellStart"/>
      <w:r w:rsidR="0071125B">
        <w:rPr>
          <w:rFonts w:ascii="Georgia" w:hAnsi="Georgia"/>
          <w:sz w:val="24"/>
          <w:szCs w:val="24"/>
        </w:rPr>
        <w:t>Greenlink</w:t>
      </w:r>
      <w:proofErr w:type="spellEnd"/>
      <w:r w:rsidR="0071125B">
        <w:rPr>
          <w:rFonts w:ascii="Georgia" w:hAnsi="Georgia"/>
          <w:sz w:val="24"/>
          <w:szCs w:val="24"/>
        </w:rPr>
        <w:t xml:space="preserve"> transmission line</w:t>
      </w:r>
      <w:r w:rsidR="00497FF2">
        <w:rPr>
          <w:rFonts w:ascii="Georgia" w:hAnsi="Georgia"/>
          <w:sz w:val="24"/>
          <w:szCs w:val="24"/>
        </w:rPr>
        <w:t xml:space="preserve"> and place it into service by 2028.</w:t>
      </w:r>
      <w:r w:rsidR="00D25903">
        <w:rPr>
          <w:rStyle w:val="FootnoteReference"/>
          <w:rFonts w:ascii="Georgia" w:hAnsi="Georgia"/>
          <w:sz w:val="24"/>
          <w:szCs w:val="24"/>
        </w:rPr>
        <w:footnoteReference w:id="5"/>
      </w:r>
      <w:r w:rsidR="00D25903">
        <w:rPr>
          <w:rFonts w:ascii="Georgia" w:hAnsi="Georgia"/>
          <w:sz w:val="24"/>
          <w:szCs w:val="24"/>
        </w:rPr>
        <w:t xml:space="preserve"> </w:t>
      </w:r>
      <w:r w:rsidR="0078441F">
        <w:rPr>
          <w:rFonts w:ascii="Georgia" w:hAnsi="Georgia"/>
          <w:sz w:val="24"/>
          <w:szCs w:val="24"/>
        </w:rPr>
        <w:t xml:space="preserve">A state mandate </w:t>
      </w:r>
      <w:r w:rsidR="00592858">
        <w:rPr>
          <w:rFonts w:ascii="Georgia" w:hAnsi="Georgia"/>
          <w:sz w:val="24"/>
          <w:szCs w:val="24"/>
        </w:rPr>
        <w:t>forcing</w:t>
      </w:r>
      <w:r w:rsidR="00E2010A">
        <w:rPr>
          <w:rFonts w:ascii="Georgia" w:hAnsi="Georgia"/>
          <w:sz w:val="24"/>
          <w:szCs w:val="24"/>
        </w:rPr>
        <w:t xml:space="preserve"> Berkshire Hathaway to build the </w:t>
      </w:r>
      <w:proofErr w:type="spellStart"/>
      <w:r w:rsidR="00E2010A">
        <w:rPr>
          <w:rFonts w:ascii="Georgia" w:hAnsi="Georgia"/>
          <w:sz w:val="24"/>
          <w:szCs w:val="24"/>
        </w:rPr>
        <w:t>Greenlink</w:t>
      </w:r>
      <w:proofErr w:type="spellEnd"/>
      <w:r w:rsidR="00E2010A">
        <w:rPr>
          <w:rFonts w:ascii="Georgia" w:hAnsi="Georgia"/>
          <w:sz w:val="24"/>
          <w:szCs w:val="24"/>
        </w:rPr>
        <w:t xml:space="preserve"> transmission line sig</w:t>
      </w:r>
      <w:r w:rsidR="00D12E8B">
        <w:rPr>
          <w:rFonts w:ascii="Georgia" w:hAnsi="Georgia"/>
          <w:sz w:val="24"/>
          <w:szCs w:val="24"/>
        </w:rPr>
        <w:t>nificantly mitigates</w:t>
      </w:r>
      <w:r w:rsidR="00E2010A">
        <w:rPr>
          <w:rFonts w:ascii="Georgia" w:hAnsi="Georgia"/>
          <w:sz w:val="24"/>
          <w:szCs w:val="24"/>
        </w:rPr>
        <w:t xml:space="preserve"> </w:t>
      </w:r>
      <w:r w:rsidR="00E30ADB">
        <w:rPr>
          <w:rFonts w:ascii="Georgia" w:hAnsi="Georgia"/>
          <w:sz w:val="24"/>
          <w:szCs w:val="24"/>
        </w:rPr>
        <w:t xml:space="preserve">risk </w:t>
      </w:r>
      <w:r w:rsidR="00D12E8B">
        <w:rPr>
          <w:rFonts w:ascii="Georgia" w:hAnsi="Georgia"/>
          <w:sz w:val="24"/>
          <w:szCs w:val="24"/>
        </w:rPr>
        <w:t>for</w:t>
      </w:r>
      <w:r w:rsidR="00E30ADB">
        <w:rPr>
          <w:rFonts w:ascii="Georgia" w:hAnsi="Georgia"/>
          <w:sz w:val="24"/>
          <w:szCs w:val="24"/>
        </w:rPr>
        <w:t xml:space="preserve"> Berkshire Hathaway, and therefore does not require any of the three proposed incentive rate treatments.</w:t>
      </w:r>
    </w:p>
    <w:p w14:paraId="21A3EC5F" w14:textId="32554900" w:rsidR="00E30ADB" w:rsidRDefault="00E30ADB" w:rsidP="002F6686">
      <w:pPr>
        <w:spacing w:line="360" w:lineRule="auto"/>
        <w:ind w:firstLine="720"/>
        <w:rPr>
          <w:rFonts w:ascii="Georgia" w:hAnsi="Georgia"/>
          <w:sz w:val="24"/>
          <w:szCs w:val="24"/>
        </w:rPr>
      </w:pPr>
      <w:r>
        <w:rPr>
          <w:rFonts w:ascii="Georgia" w:hAnsi="Georgia"/>
          <w:sz w:val="24"/>
          <w:szCs w:val="24"/>
        </w:rPr>
        <w:lastRenderedPageBreak/>
        <w:t>Furthermore</w:t>
      </w:r>
      <w:r w:rsidR="00064AE6">
        <w:rPr>
          <w:rFonts w:ascii="Georgia" w:hAnsi="Georgia"/>
          <w:sz w:val="24"/>
          <w:szCs w:val="24"/>
        </w:rPr>
        <w:t>,</w:t>
      </w:r>
      <w:r w:rsidR="00F203AA">
        <w:rPr>
          <w:rFonts w:ascii="Georgia" w:hAnsi="Georgia"/>
          <w:sz w:val="24"/>
          <w:szCs w:val="24"/>
        </w:rPr>
        <w:t xml:space="preserve"> </w:t>
      </w:r>
      <w:r w:rsidR="00F203AA" w:rsidRPr="00F203AA">
        <w:rPr>
          <w:rFonts w:ascii="Georgia" w:hAnsi="Georgia"/>
          <w:sz w:val="24"/>
          <w:szCs w:val="24"/>
        </w:rPr>
        <w:t>Doug Cannon</w:t>
      </w:r>
      <w:r w:rsidR="00F203AA">
        <w:rPr>
          <w:rFonts w:ascii="Georgia" w:hAnsi="Georgia"/>
          <w:sz w:val="24"/>
          <w:szCs w:val="24"/>
        </w:rPr>
        <w:t>,</w:t>
      </w:r>
      <w:r w:rsidR="00064AE6">
        <w:rPr>
          <w:rFonts w:ascii="Georgia" w:hAnsi="Georgia"/>
          <w:sz w:val="24"/>
          <w:szCs w:val="24"/>
        </w:rPr>
        <w:t xml:space="preserve"> the </w:t>
      </w:r>
      <w:proofErr w:type="gramStart"/>
      <w:r w:rsidR="00064AE6">
        <w:rPr>
          <w:rFonts w:ascii="Georgia" w:hAnsi="Georgia"/>
          <w:sz w:val="24"/>
          <w:szCs w:val="24"/>
        </w:rPr>
        <w:t>President</w:t>
      </w:r>
      <w:proofErr w:type="gramEnd"/>
      <w:r w:rsidR="00064AE6">
        <w:rPr>
          <w:rFonts w:ascii="Georgia" w:hAnsi="Georgia"/>
          <w:sz w:val="24"/>
          <w:szCs w:val="24"/>
        </w:rPr>
        <w:t xml:space="preserve"> and CEO of </w:t>
      </w:r>
      <w:r w:rsidR="00F203AA">
        <w:rPr>
          <w:rFonts w:ascii="Georgia" w:hAnsi="Georgia"/>
          <w:sz w:val="24"/>
          <w:szCs w:val="24"/>
        </w:rPr>
        <w:t xml:space="preserve">NV Energy (parent of </w:t>
      </w:r>
      <w:r w:rsidR="00064AE6">
        <w:rPr>
          <w:rFonts w:ascii="Georgia" w:hAnsi="Georgia"/>
          <w:sz w:val="24"/>
          <w:szCs w:val="24"/>
        </w:rPr>
        <w:t>Berkshire Hathaway’s Nevada utilities</w:t>
      </w:r>
      <w:r w:rsidR="00F203AA">
        <w:rPr>
          <w:rFonts w:ascii="Georgia" w:hAnsi="Georgia"/>
          <w:sz w:val="24"/>
          <w:szCs w:val="24"/>
        </w:rPr>
        <w:t>)</w:t>
      </w:r>
      <w:r w:rsidR="00064AE6">
        <w:rPr>
          <w:rFonts w:ascii="Georgia" w:hAnsi="Georgia"/>
          <w:sz w:val="24"/>
          <w:szCs w:val="24"/>
        </w:rPr>
        <w:t xml:space="preserve"> explicitly pledged that </w:t>
      </w:r>
      <w:r w:rsidR="003A2B0A">
        <w:rPr>
          <w:rFonts w:ascii="Georgia" w:hAnsi="Georgia"/>
          <w:sz w:val="24"/>
          <w:szCs w:val="24"/>
        </w:rPr>
        <w:t xml:space="preserve">the utility would not seek incentive rate treatments that charged consumers prior to </w:t>
      </w:r>
      <w:proofErr w:type="spellStart"/>
      <w:r w:rsidR="003A2B0A">
        <w:rPr>
          <w:rFonts w:ascii="Georgia" w:hAnsi="Georgia"/>
          <w:sz w:val="24"/>
          <w:szCs w:val="24"/>
        </w:rPr>
        <w:t>Greenlink</w:t>
      </w:r>
      <w:proofErr w:type="spellEnd"/>
      <w:r w:rsidR="003A2B0A">
        <w:rPr>
          <w:rFonts w:ascii="Georgia" w:hAnsi="Georgia"/>
          <w:sz w:val="24"/>
          <w:szCs w:val="24"/>
        </w:rPr>
        <w:t xml:space="preserve"> </w:t>
      </w:r>
      <w:r w:rsidR="00CA57FE">
        <w:rPr>
          <w:rFonts w:ascii="Georgia" w:hAnsi="Georgia"/>
          <w:sz w:val="24"/>
          <w:szCs w:val="24"/>
        </w:rPr>
        <w:t>being</w:t>
      </w:r>
      <w:r w:rsidR="003A2B0A">
        <w:rPr>
          <w:rFonts w:ascii="Georgia" w:hAnsi="Georgia"/>
          <w:sz w:val="24"/>
          <w:szCs w:val="24"/>
        </w:rPr>
        <w:t xml:space="preserve"> placed in service. Four days after making this</w:t>
      </w:r>
      <w:r w:rsidR="00B06E40" w:rsidRPr="00B06E40">
        <w:rPr>
          <w:rFonts w:ascii="Georgia" w:hAnsi="Georgia"/>
          <w:sz w:val="24"/>
          <w:szCs w:val="24"/>
        </w:rPr>
        <w:t xml:space="preserve"> </w:t>
      </w:r>
      <w:r w:rsidR="00B06E40">
        <w:rPr>
          <w:rFonts w:ascii="Georgia" w:hAnsi="Georgia"/>
          <w:sz w:val="24"/>
          <w:szCs w:val="24"/>
        </w:rPr>
        <w:t>vow</w:t>
      </w:r>
      <w:r w:rsidR="003A2B0A">
        <w:rPr>
          <w:rFonts w:ascii="Georgia" w:hAnsi="Georgia"/>
          <w:sz w:val="24"/>
          <w:szCs w:val="24"/>
        </w:rPr>
        <w:t xml:space="preserve">, the Nevada Senate unanimously passed the legislation requiring the construction of </w:t>
      </w:r>
      <w:proofErr w:type="spellStart"/>
      <w:r w:rsidR="00BA0BB0">
        <w:rPr>
          <w:rFonts w:ascii="Georgia" w:hAnsi="Georgia"/>
          <w:sz w:val="24"/>
          <w:szCs w:val="24"/>
        </w:rPr>
        <w:t>Greenlink</w:t>
      </w:r>
      <w:proofErr w:type="spellEnd"/>
      <w:r w:rsidR="00F203AA">
        <w:rPr>
          <w:rFonts w:ascii="Georgia" w:hAnsi="Georgia"/>
          <w:sz w:val="24"/>
          <w:szCs w:val="24"/>
        </w:rPr>
        <w:t xml:space="preserve">. From </w:t>
      </w:r>
      <w:r w:rsidR="00A718E4">
        <w:rPr>
          <w:rFonts w:ascii="Georgia" w:hAnsi="Georgia"/>
          <w:sz w:val="24"/>
          <w:szCs w:val="24"/>
        </w:rPr>
        <w:t>the official</w:t>
      </w:r>
      <w:r w:rsidR="00F203AA">
        <w:rPr>
          <w:rFonts w:ascii="Georgia" w:hAnsi="Georgia"/>
          <w:sz w:val="24"/>
          <w:szCs w:val="24"/>
        </w:rPr>
        <w:t xml:space="preserve"> transcript of </w:t>
      </w:r>
      <w:r w:rsidR="00263436">
        <w:rPr>
          <w:rFonts w:ascii="Georgia" w:hAnsi="Georgia"/>
          <w:sz w:val="24"/>
          <w:szCs w:val="24"/>
        </w:rPr>
        <w:t>Cannon’s</w:t>
      </w:r>
      <w:r w:rsidR="00F203AA">
        <w:rPr>
          <w:rFonts w:ascii="Georgia" w:hAnsi="Georgia"/>
          <w:sz w:val="24"/>
          <w:szCs w:val="24"/>
        </w:rPr>
        <w:t xml:space="preserve"> testimony:</w:t>
      </w:r>
    </w:p>
    <w:p w14:paraId="31EFB55D" w14:textId="77777777" w:rsidR="00F203AA" w:rsidRDefault="00F203AA" w:rsidP="00636DF4">
      <w:pPr>
        <w:ind w:firstLine="720"/>
        <w:rPr>
          <w:rFonts w:ascii="Georgia" w:hAnsi="Georgia"/>
          <w:sz w:val="24"/>
          <w:szCs w:val="24"/>
        </w:rPr>
      </w:pPr>
    </w:p>
    <w:p w14:paraId="2F3F0604" w14:textId="0D071BB4" w:rsidR="00C7721F" w:rsidRDefault="00C7721F" w:rsidP="008C27C3">
      <w:pPr>
        <w:ind w:left="720"/>
        <w:rPr>
          <w:rFonts w:ascii="Georgia" w:hAnsi="Georgia"/>
          <w:sz w:val="24"/>
          <w:szCs w:val="24"/>
        </w:rPr>
      </w:pPr>
      <w:r w:rsidRPr="008C27C3">
        <w:rPr>
          <w:rFonts w:ascii="Georgia" w:hAnsi="Georgia"/>
          <w:i/>
          <w:iCs/>
        </w:rPr>
        <w:t xml:space="preserve">NV Energy is coming forward with private money and saying we are prepared to fund $2.5 billion into the State. </w:t>
      </w:r>
      <w:r w:rsidRPr="008C27C3">
        <w:rPr>
          <w:rFonts w:ascii="Georgia" w:hAnsi="Georgia"/>
          <w:b/>
          <w:bCs/>
          <w:i/>
          <w:iCs/>
        </w:rPr>
        <w:t>Shareholders do not recover on that money until that asset goes into service.</w:t>
      </w:r>
      <w:r w:rsidRPr="008C27C3">
        <w:rPr>
          <w:rFonts w:ascii="Georgia" w:hAnsi="Georgia"/>
          <w:i/>
          <w:iCs/>
        </w:rPr>
        <w:t xml:space="preserve"> When that asset goes into service, through a contested proceeding with the PUCN where parties can intervene, every party is allowed to question every cost we put into the project. The PUCN then sets how much of the investment we can recover and the rate we can earn on that asset. We will bring $2.5 billion to the table. We will put thousands of people to work today, </w:t>
      </w:r>
      <w:r w:rsidRPr="008C27C3">
        <w:rPr>
          <w:rFonts w:ascii="Georgia" w:hAnsi="Georgia"/>
          <w:b/>
          <w:bCs/>
          <w:i/>
          <w:iCs/>
        </w:rPr>
        <w:t>and Nevadans will not be asked to pay for this investment until at least five to six years down the road.</w:t>
      </w:r>
      <w:r w:rsidR="008C27C3" w:rsidRPr="008C27C3">
        <w:rPr>
          <w:rFonts w:ascii="Georgia" w:hAnsi="Georgia"/>
        </w:rPr>
        <w:t xml:space="preserve"> [emphasis added]</w:t>
      </w:r>
      <w:r w:rsidR="00700D27">
        <w:rPr>
          <w:rStyle w:val="FootnoteReference"/>
          <w:rFonts w:ascii="Georgia" w:hAnsi="Georgia"/>
          <w:sz w:val="24"/>
          <w:szCs w:val="24"/>
        </w:rPr>
        <w:footnoteReference w:id="6"/>
      </w:r>
    </w:p>
    <w:p w14:paraId="3E0F1E10" w14:textId="77777777" w:rsidR="005019C7" w:rsidRDefault="005019C7">
      <w:pPr>
        <w:rPr>
          <w:rFonts w:ascii="Georgia" w:hAnsi="Georgia"/>
          <w:sz w:val="24"/>
          <w:szCs w:val="24"/>
        </w:rPr>
      </w:pPr>
    </w:p>
    <w:p w14:paraId="7702F55D" w14:textId="6D0565FE" w:rsidR="005019C7" w:rsidRDefault="003617D8" w:rsidP="00B71C2D">
      <w:pPr>
        <w:spacing w:line="360" w:lineRule="auto"/>
        <w:rPr>
          <w:rFonts w:ascii="Georgia" w:hAnsi="Georgia"/>
          <w:sz w:val="24"/>
          <w:szCs w:val="24"/>
        </w:rPr>
      </w:pPr>
      <w:r>
        <w:rPr>
          <w:rFonts w:ascii="Georgia" w:hAnsi="Georgia"/>
          <w:sz w:val="24"/>
          <w:szCs w:val="24"/>
        </w:rPr>
        <w:tab/>
      </w:r>
      <w:r w:rsidR="005E294D">
        <w:rPr>
          <w:rFonts w:ascii="Georgia" w:hAnsi="Georgia"/>
          <w:sz w:val="24"/>
          <w:szCs w:val="24"/>
        </w:rPr>
        <w:t>The Commission must hold Berkshire Hathaway to its word and</w:t>
      </w:r>
      <w:r w:rsidR="00AE067B">
        <w:rPr>
          <w:rFonts w:ascii="Georgia" w:hAnsi="Georgia"/>
          <w:sz w:val="24"/>
          <w:szCs w:val="24"/>
        </w:rPr>
        <w:t xml:space="preserve"> reject</w:t>
      </w:r>
      <w:r w:rsidR="00924EE6">
        <w:rPr>
          <w:rFonts w:ascii="Georgia" w:hAnsi="Georgia"/>
          <w:sz w:val="24"/>
          <w:szCs w:val="24"/>
        </w:rPr>
        <w:t xml:space="preserve"> the Petition and its request for incentive rate treatment, and only allow for cost </w:t>
      </w:r>
      <w:r w:rsidR="00C96F93">
        <w:rPr>
          <w:rFonts w:ascii="Georgia" w:hAnsi="Georgia"/>
          <w:sz w:val="24"/>
          <w:szCs w:val="24"/>
        </w:rPr>
        <w:t xml:space="preserve">recovery once the </w:t>
      </w:r>
      <w:proofErr w:type="spellStart"/>
      <w:r w:rsidR="00C96F93">
        <w:rPr>
          <w:rFonts w:ascii="Georgia" w:hAnsi="Georgia"/>
          <w:sz w:val="24"/>
          <w:szCs w:val="24"/>
        </w:rPr>
        <w:t>Greenlink</w:t>
      </w:r>
      <w:proofErr w:type="spellEnd"/>
      <w:r w:rsidR="00C96F93">
        <w:rPr>
          <w:rFonts w:ascii="Georgia" w:hAnsi="Georgia"/>
          <w:sz w:val="24"/>
          <w:szCs w:val="24"/>
        </w:rPr>
        <w:t xml:space="preserve"> </w:t>
      </w:r>
      <w:r w:rsidR="00357DAA">
        <w:rPr>
          <w:rFonts w:ascii="Georgia" w:hAnsi="Georgia"/>
          <w:sz w:val="24"/>
          <w:szCs w:val="24"/>
        </w:rPr>
        <w:t>system is “used and useful”.</w:t>
      </w:r>
      <w:r w:rsidR="001A5201">
        <w:rPr>
          <w:rFonts w:ascii="Georgia" w:hAnsi="Georgia"/>
          <w:sz w:val="24"/>
          <w:szCs w:val="24"/>
        </w:rPr>
        <w:t xml:space="preserve"> </w:t>
      </w:r>
    </w:p>
    <w:p w14:paraId="1D3C8957" w14:textId="77777777" w:rsidR="00BD04BF" w:rsidRDefault="00BD04BF" w:rsidP="00B71C2D">
      <w:pPr>
        <w:spacing w:line="360" w:lineRule="auto"/>
        <w:rPr>
          <w:rFonts w:ascii="Georgia" w:hAnsi="Georgia"/>
          <w:sz w:val="24"/>
          <w:szCs w:val="24"/>
        </w:rPr>
      </w:pPr>
    </w:p>
    <w:p w14:paraId="05D381F8" w14:textId="4B12DB48" w:rsidR="0061158F" w:rsidRDefault="0005677B" w:rsidP="00B71C2D">
      <w:pPr>
        <w:spacing w:line="360" w:lineRule="auto"/>
        <w:ind w:firstLine="720"/>
        <w:rPr>
          <w:rFonts w:ascii="Georgia" w:hAnsi="Georgia"/>
          <w:sz w:val="24"/>
          <w:szCs w:val="24"/>
        </w:rPr>
      </w:pPr>
      <w:r>
        <w:rPr>
          <w:rFonts w:ascii="Georgia" w:hAnsi="Georgia"/>
          <w:sz w:val="24"/>
          <w:szCs w:val="24"/>
        </w:rPr>
        <w:t>Petitioners</w:t>
      </w:r>
      <w:r w:rsidR="0061158F" w:rsidRPr="00081A76">
        <w:rPr>
          <w:rFonts w:ascii="Georgia" w:hAnsi="Georgia"/>
          <w:sz w:val="24"/>
          <w:szCs w:val="24"/>
        </w:rPr>
        <w:t xml:space="preserve"> are subsidiaries of the most well capitalized, and consistently </w:t>
      </w:r>
      <w:r w:rsidR="00AB0682" w:rsidRPr="00081A76">
        <w:rPr>
          <w:rFonts w:ascii="Georgia" w:hAnsi="Georgia"/>
          <w:sz w:val="24"/>
          <w:szCs w:val="24"/>
        </w:rPr>
        <w:t>profitable</w:t>
      </w:r>
      <w:r w:rsidR="0061158F" w:rsidRPr="00081A76">
        <w:rPr>
          <w:rFonts w:ascii="Georgia" w:hAnsi="Georgia"/>
          <w:sz w:val="24"/>
          <w:szCs w:val="24"/>
        </w:rPr>
        <w:t xml:space="preserve"> corporations in the history of capitalism</w:t>
      </w:r>
      <w:r w:rsidR="00C90688">
        <w:rPr>
          <w:rFonts w:ascii="Georgia" w:hAnsi="Georgia"/>
          <w:sz w:val="24"/>
          <w:szCs w:val="24"/>
        </w:rPr>
        <w:t xml:space="preserve">: </w:t>
      </w:r>
      <w:r w:rsidR="0061158F" w:rsidRPr="00081A76">
        <w:rPr>
          <w:rFonts w:ascii="Georgia" w:hAnsi="Georgia"/>
          <w:sz w:val="24"/>
          <w:szCs w:val="24"/>
        </w:rPr>
        <w:t>Berkshire Hathaway</w:t>
      </w:r>
      <w:r w:rsidR="00C90688">
        <w:rPr>
          <w:rFonts w:ascii="Georgia" w:hAnsi="Georgia"/>
          <w:sz w:val="24"/>
          <w:szCs w:val="24"/>
        </w:rPr>
        <w:t xml:space="preserve">. Berkshire’s </w:t>
      </w:r>
      <w:r w:rsidR="003A133D">
        <w:rPr>
          <w:rFonts w:ascii="Georgia" w:hAnsi="Georgia"/>
          <w:sz w:val="24"/>
          <w:szCs w:val="24"/>
        </w:rPr>
        <w:t>Chairman and CEO</w:t>
      </w:r>
      <w:r w:rsidR="00CA7555">
        <w:rPr>
          <w:rFonts w:ascii="Georgia" w:hAnsi="Georgia"/>
          <w:sz w:val="24"/>
          <w:szCs w:val="24"/>
        </w:rPr>
        <w:t xml:space="preserve"> </w:t>
      </w:r>
      <w:r w:rsidR="003A133D">
        <w:rPr>
          <w:rFonts w:ascii="Georgia" w:hAnsi="Georgia"/>
          <w:sz w:val="24"/>
          <w:szCs w:val="24"/>
        </w:rPr>
        <w:t>Warren Buffett is the world’s</w:t>
      </w:r>
      <w:r w:rsidR="00CA7555">
        <w:rPr>
          <w:rFonts w:ascii="Georgia" w:hAnsi="Georgia"/>
          <w:sz w:val="24"/>
          <w:szCs w:val="24"/>
        </w:rPr>
        <w:t xml:space="preserve"> </w:t>
      </w:r>
      <w:r w:rsidR="00D01E4F">
        <w:rPr>
          <w:rFonts w:ascii="Georgia" w:hAnsi="Georgia"/>
          <w:sz w:val="24"/>
          <w:szCs w:val="24"/>
        </w:rPr>
        <w:t>7</w:t>
      </w:r>
      <w:r w:rsidR="00D01E4F" w:rsidRPr="00D01E4F">
        <w:rPr>
          <w:rFonts w:ascii="Georgia" w:hAnsi="Georgia"/>
          <w:sz w:val="24"/>
          <w:szCs w:val="24"/>
          <w:vertAlign w:val="superscript"/>
        </w:rPr>
        <w:t>th</w:t>
      </w:r>
      <w:r w:rsidR="00D01E4F">
        <w:rPr>
          <w:rFonts w:ascii="Georgia" w:hAnsi="Georgia"/>
          <w:sz w:val="24"/>
          <w:szCs w:val="24"/>
        </w:rPr>
        <w:t xml:space="preserve"> </w:t>
      </w:r>
      <w:r w:rsidR="001904CB">
        <w:rPr>
          <w:rFonts w:ascii="Georgia" w:hAnsi="Georgia"/>
          <w:sz w:val="24"/>
          <w:szCs w:val="24"/>
        </w:rPr>
        <w:t>wealthiest</w:t>
      </w:r>
      <w:r w:rsidR="00D01E4F">
        <w:rPr>
          <w:rFonts w:ascii="Georgia" w:hAnsi="Georgia"/>
          <w:sz w:val="24"/>
          <w:szCs w:val="24"/>
        </w:rPr>
        <w:t xml:space="preserve"> </w:t>
      </w:r>
      <w:r w:rsidR="00EA1AED">
        <w:rPr>
          <w:rFonts w:ascii="Georgia" w:hAnsi="Georgia"/>
          <w:sz w:val="24"/>
          <w:szCs w:val="24"/>
        </w:rPr>
        <w:t>individual</w:t>
      </w:r>
      <w:r w:rsidR="00D01E4F">
        <w:rPr>
          <w:rFonts w:ascii="Georgia" w:hAnsi="Georgia"/>
          <w:sz w:val="24"/>
          <w:szCs w:val="24"/>
        </w:rPr>
        <w:t>,</w:t>
      </w:r>
      <w:r w:rsidR="001904CB">
        <w:rPr>
          <w:rFonts w:ascii="Georgia" w:hAnsi="Georgia"/>
          <w:sz w:val="24"/>
          <w:szCs w:val="24"/>
        </w:rPr>
        <w:t xml:space="preserve"> with net</w:t>
      </w:r>
      <w:r w:rsidR="00FB585B">
        <w:rPr>
          <w:rFonts w:ascii="Georgia" w:hAnsi="Georgia"/>
          <w:sz w:val="24"/>
          <w:szCs w:val="24"/>
        </w:rPr>
        <w:t xml:space="preserve"> worth</w:t>
      </w:r>
      <w:r w:rsidR="001904CB">
        <w:rPr>
          <w:rFonts w:ascii="Georgia" w:hAnsi="Georgia"/>
          <w:sz w:val="24"/>
          <w:szCs w:val="24"/>
        </w:rPr>
        <w:t xml:space="preserve"> of</w:t>
      </w:r>
      <w:r w:rsidR="00FB585B">
        <w:rPr>
          <w:rFonts w:ascii="Georgia" w:hAnsi="Georgia"/>
          <w:sz w:val="24"/>
          <w:szCs w:val="24"/>
        </w:rPr>
        <w:t xml:space="preserve"> $100 billion. </w:t>
      </w:r>
      <w:r w:rsidR="00064992">
        <w:rPr>
          <w:rFonts w:ascii="Georgia" w:hAnsi="Georgia"/>
          <w:sz w:val="24"/>
          <w:szCs w:val="24"/>
        </w:rPr>
        <w:t>Berkshire Hathaway currently has over $88 billion in cash, enjoyed net earnings of $90.8 billion in 2021 alone,</w:t>
      </w:r>
      <w:r w:rsidR="00064992">
        <w:rPr>
          <w:rStyle w:val="FootnoteReference"/>
          <w:rFonts w:ascii="Georgia" w:hAnsi="Georgia"/>
          <w:sz w:val="24"/>
          <w:szCs w:val="24"/>
        </w:rPr>
        <w:footnoteReference w:id="7"/>
      </w:r>
      <w:r w:rsidR="00064992">
        <w:rPr>
          <w:rFonts w:ascii="Georgia" w:hAnsi="Georgia"/>
          <w:sz w:val="24"/>
          <w:szCs w:val="24"/>
        </w:rPr>
        <w:t xml:space="preserve"> has the 7</w:t>
      </w:r>
      <w:r w:rsidR="00064992" w:rsidRPr="002F2E92">
        <w:rPr>
          <w:rFonts w:ascii="Georgia" w:hAnsi="Georgia"/>
          <w:sz w:val="24"/>
          <w:szCs w:val="24"/>
          <w:vertAlign w:val="superscript"/>
        </w:rPr>
        <w:t>th</w:t>
      </w:r>
      <w:r w:rsidR="00064992">
        <w:rPr>
          <w:rFonts w:ascii="Georgia" w:hAnsi="Georgia"/>
          <w:sz w:val="24"/>
          <w:szCs w:val="24"/>
        </w:rPr>
        <w:t xml:space="preserve"> highest market capitalization of corporations in the world with $664 billion</w:t>
      </w:r>
      <w:r w:rsidR="000756BD">
        <w:rPr>
          <w:rFonts w:ascii="Georgia" w:hAnsi="Georgia"/>
          <w:sz w:val="24"/>
          <w:szCs w:val="24"/>
        </w:rPr>
        <w:t>, and</w:t>
      </w:r>
      <w:r w:rsidR="000756BD" w:rsidRPr="000756BD">
        <w:rPr>
          <w:rFonts w:ascii="Georgia" w:hAnsi="Georgia"/>
          <w:sz w:val="24"/>
          <w:szCs w:val="24"/>
        </w:rPr>
        <w:t xml:space="preserve"> </w:t>
      </w:r>
      <w:r w:rsidR="000756BD">
        <w:rPr>
          <w:rFonts w:ascii="Georgia" w:hAnsi="Georgia"/>
          <w:sz w:val="24"/>
          <w:szCs w:val="24"/>
        </w:rPr>
        <w:t>possesses</w:t>
      </w:r>
      <w:r w:rsidR="00A75F42">
        <w:rPr>
          <w:rFonts w:ascii="Georgia" w:hAnsi="Georgia"/>
          <w:sz w:val="24"/>
          <w:szCs w:val="24"/>
        </w:rPr>
        <w:t xml:space="preserve"> </w:t>
      </w:r>
      <w:r w:rsidR="00186819">
        <w:rPr>
          <w:rFonts w:ascii="Georgia" w:hAnsi="Georgia"/>
          <w:sz w:val="24"/>
          <w:szCs w:val="24"/>
        </w:rPr>
        <w:t>superior credit ratings stemming from the company’s “</w:t>
      </w:r>
      <w:r w:rsidR="00186819" w:rsidRPr="00186819">
        <w:rPr>
          <w:rFonts w:ascii="Georgia" w:hAnsi="Georgia"/>
          <w:sz w:val="24"/>
          <w:szCs w:val="24"/>
        </w:rPr>
        <w:t>extraordinarily strong capitalization and liquidity and its highly diversified profits and cash flow</w:t>
      </w:r>
      <w:r w:rsidR="00855A13">
        <w:rPr>
          <w:rFonts w:ascii="Georgia" w:hAnsi="Georgia"/>
          <w:sz w:val="24"/>
          <w:szCs w:val="24"/>
        </w:rPr>
        <w:t>”</w:t>
      </w:r>
      <w:r w:rsidR="00064992">
        <w:rPr>
          <w:rFonts w:ascii="Georgia" w:hAnsi="Georgia"/>
          <w:sz w:val="24"/>
          <w:szCs w:val="24"/>
        </w:rPr>
        <w:t>.</w:t>
      </w:r>
      <w:r w:rsidR="008B4CAB">
        <w:rPr>
          <w:rStyle w:val="FootnoteReference"/>
          <w:rFonts w:ascii="Georgia" w:hAnsi="Georgia"/>
          <w:sz w:val="24"/>
          <w:szCs w:val="24"/>
        </w:rPr>
        <w:footnoteReference w:id="8"/>
      </w:r>
      <w:r w:rsidR="00701675">
        <w:rPr>
          <w:rFonts w:ascii="Georgia" w:hAnsi="Georgia"/>
          <w:sz w:val="24"/>
          <w:szCs w:val="24"/>
        </w:rPr>
        <w:t xml:space="preserve"> </w:t>
      </w:r>
      <w:r w:rsidR="0019624A">
        <w:rPr>
          <w:rFonts w:ascii="Georgia" w:hAnsi="Georgia"/>
          <w:sz w:val="24"/>
          <w:szCs w:val="24"/>
        </w:rPr>
        <w:t xml:space="preserve">And that balance sheet is about to get even more impressive, as just weeks ago </w:t>
      </w:r>
      <w:r w:rsidR="002E275D">
        <w:rPr>
          <w:rFonts w:ascii="Georgia" w:hAnsi="Georgia"/>
          <w:sz w:val="24"/>
          <w:szCs w:val="24"/>
        </w:rPr>
        <w:t xml:space="preserve">Berkshire Hathaway applied for permission with </w:t>
      </w:r>
      <w:r w:rsidR="00B46622">
        <w:rPr>
          <w:rFonts w:ascii="Georgia" w:hAnsi="Georgia"/>
          <w:sz w:val="24"/>
          <w:szCs w:val="24"/>
        </w:rPr>
        <w:t>FERC</w:t>
      </w:r>
      <w:r w:rsidR="002E275D">
        <w:rPr>
          <w:rFonts w:ascii="Georgia" w:hAnsi="Georgia"/>
          <w:sz w:val="24"/>
          <w:szCs w:val="24"/>
        </w:rPr>
        <w:t xml:space="preserve"> to acquire up to 50% of the voting securities of Occidental Petroleum.</w:t>
      </w:r>
      <w:r w:rsidR="002E275D">
        <w:rPr>
          <w:rStyle w:val="FootnoteReference"/>
          <w:rFonts w:ascii="Georgia" w:hAnsi="Georgia"/>
          <w:sz w:val="24"/>
          <w:szCs w:val="24"/>
        </w:rPr>
        <w:footnoteReference w:id="9"/>
      </w:r>
      <w:r w:rsidR="00A31833">
        <w:rPr>
          <w:rFonts w:ascii="Georgia" w:hAnsi="Georgia"/>
          <w:sz w:val="24"/>
          <w:szCs w:val="24"/>
        </w:rPr>
        <w:t xml:space="preserve"> Once its holdings of Occidental exceed 20%, Berkshire </w:t>
      </w:r>
      <w:r w:rsidR="00532B10">
        <w:rPr>
          <w:rFonts w:ascii="Georgia" w:hAnsi="Georgia"/>
          <w:sz w:val="24"/>
          <w:szCs w:val="24"/>
        </w:rPr>
        <w:t>will</w:t>
      </w:r>
      <w:r w:rsidR="00D859A5">
        <w:rPr>
          <w:rFonts w:ascii="Georgia" w:hAnsi="Georgia"/>
          <w:sz w:val="24"/>
          <w:szCs w:val="24"/>
        </w:rPr>
        <w:t xml:space="preserve"> book its </w:t>
      </w:r>
      <w:r w:rsidR="00D859A5" w:rsidRPr="00D859A5">
        <w:rPr>
          <w:rFonts w:ascii="Georgia" w:hAnsi="Georgia"/>
          <w:sz w:val="24"/>
          <w:szCs w:val="24"/>
        </w:rPr>
        <w:lastRenderedPageBreak/>
        <w:t>proportionate share of Occidental</w:t>
      </w:r>
      <w:r w:rsidR="00D859A5">
        <w:rPr>
          <w:rFonts w:ascii="Georgia" w:hAnsi="Georgia"/>
          <w:sz w:val="24"/>
          <w:szCs w:val="24"/>
        </w:rPr>
        <w:t>’</w:t>
      </w:r>
      <w:r w:rsidR="00D859A5" w:rsidRPr="00D859A5">
        <w:rPr>
          <w:rFonts w:ascii="Georgia" w:hAnsi="Georgia"/>
          <w:sz w:val="24"/>
          <w:szCs w:val="24"/>
        </w:rPr>
        <w:t>s earnings</w:t>
      </w:r>
      <w:r w:rsidR="005543A5">
        <w:rPr>
          <w:rFonts w:ascii="Georgia" w:hAnsi="Georgia"/>
          <w:sz w:val="24"/>
          <w:szCs w:val="24"/>
        </w:rPr>
        <w:t xml:space="preserve"> and</w:t>
      </w:r>
      <w:r w:rsidR="009A5096">
        <w:rPr>
          <w:rFonts w:ascii="Georgia" w:hAnsi="Georgia"/>
          <w:sz w:val="24"/>
          <w:szCs w:val="24"/>
        </w:rPr>
        <w:t xml:space="preserve"> cash flow</w:t>
      </w:r>
      <w:r w:rsidR="00D859A5" w:rsidRPr="00D859A5">
        <w:rPr>
          <w:rFonts w:ascii="Georgia" w:hAnsi="Georgia"/>
          <w:sz w:val="24"/>
          <w:szCs w:val="24"/>
        </w:rPr>
        <w:t xml:space="preserve"> with its own results</w:t>
      </w:r>
      <w:r w:rsidR="00D35BDE">
        <w:rPr>
          <w:rFonts w:ascii="Georgia" w:hAnsi="Georgia"/>
          <w:sz w:val="24"/>
          <w:szCs w:val="24"/>
        </w:rPr>
        <w:t>―</w:t>
      </w:r>
      <w:r w:rsidR="009A5096">
        <w:rPr>
          <w:rFonts w:ascii="Georgia" w:hAnsi="Georgia"/>
          <w:sz w:val="24"/>
          <w:szCs w:val="24"/>
        </w:rPr>
        <w:t>under</w:t>
      </w:r>
      <w:r w:rsidR="00D859A5" w:rsidRPr="00D859A5">
        <w:rPr>
          <w:rFonts w:ascii="Georgia" w:hAnsi="Georgia"/>
          <w:sz w:val="24"/>
          <w:szCs w:val="24"/>
        </w:rPr>
        <w:t xml:space="preserve"> the equity method of accounting</w:t>
      </w:r>
      <w:r w:rsidR="00C8110E">
        <w:rPr>
          <w:rFonts w:ascii="Georgia" w:hAnsi="Georgia"/>
          <w:sz w:val="24"/>
          <w:szCs w:val="24"/>
        </w:rPr>
        <w:t>―</w:t>
      </w:r>
      <w:r w:rsidR="00A418A4">
        <w:rPr>
          <w:rFonts w:ascii="Georgia" w:hAnsi="Georgia"/>
          <w:sz w:val="24"/>
          <w:szCs w:val="24"/>
        </w:rPr>
        <w:t>a</w:t>
      </w:r>
      <w:r w:rsidR="009A5096">
        <w:rPr>
          <w:rFonts w:ascii="Georgia" w:hAnsi="Georgia"/>
          <w:sz w:val="24"/>
          <w:szCs w:val="24"/>
        </w:rPr>
        <w:t xml:space="preserve">llowing </w:t>
      </w:r>
      <w:r w:rsidR="00193776">
        <w:rPr>
          <w:rFonts w:ascii="Georgia" w:hAnsi="Georgia"/>
          <w:sz w:val="24"/>
          <w:szCs w:val="24"/>
        </w:rPr>
        <w:t>it</w:t>
      </w:r>
      <w:r w:rsidR="009A5096">
        <w:rPr>
          <w:rFonts w:ascii="Georgia" w:hAnsi="Georgia"/>
          <w:sz w:val="24"/>
          <w:szCs w:val="24"/>
        </w:rPr>
        <w:t xml:space="preserve"> to </w:t>
      </w:r>
      <w:r w:rsidR="00A41EF0">
        <w:rPr>
          <w:rFonts w:ascii="Georgia" w:hAnsi="Georgia"/>
          <w:sz w:val="24"/>
          <w:szCs w:val="24"/>
        </w:rPr>
        <w:t>gobble half of Occidental’s</w:t>
      </w:r>
      <w:r w:rsidR="001E043F">
        <w:rPr>
          <w:rFonts w:ascii="Georgia" w:hAnsi="Georgia"/>
          <w:sz w:val="24"/>
          <w:szCs w:val="24"/>
        </w:rPr>
        <w:t xml:space="preserve"> future cash flows of $60 billion</w:t>
      </w:r>
      <w:r w:rsidR="00C8110E">
        <w:rPr>
          <w:rFonts w:ascii="Georgia" w:hAnsi="Georgia"/>
          <w:sz w:val="24"/>
          <w:szCs w:val="24"/>
        </w:rPr>
        <w:t xml:space="preserve">, and </w:t>
      </w:r>
      <w:r w:rsidR="00A418A4">
        <w:rPr>
          <w:rFonts w:ascii="Georgia" w:hAnsi="Georgia"/>
          <w:sz w:val="24"/>
          <w:szCs w:val="24"/>
        </w:rPr>
        <w:t xml:space="preserve">thereby boosting </w:t>
      </w:r>
      <w:r w:rsidR="00193776">
        <w:rPr>
          <w:rFonts w:ascii="Georgia" w:hAnsi="Georgia"/>
          <w:sz w:val="24"/>
          <w:szCs w:val="24"/>
        </w:rPr>
        <w:t>its</w:t>
      </w:r>
      <w:r w:rsidR="00A418A4">
        <w:rPr>
          <w:rFonts w:ascii="Georgia" w:hAnsi="Georgia"/>
          <w:sz w:val="24"/>
          <w:szCs w:val="24"/>
        </w:rPr>
        <w:t xml:space="preserve"> already</w:t>
      </w:r>
      <w:r w:rsidR="006702E1">
        <w:rPr>
          <w:rFonts w:ascii="Georgia" w:hAnsi="Georgia"/>
          <w:sz w:val="24"/>
          <w:szCs w:val="24"/>
        </w:rPr>
        <w:t xml:space="preserve"> extraordinary financial position.</w:t>
      </w:r>
      <w:r w:rsidR="00A41EF0">
        <w:rPr>
          <w:rFonts w:ascii="Georgia" w:hAnsi="Georgia"/>
          <w:sz w:val="24"/>
          <w:szCs w:val="24"/>
        </w:rPr>
        <w:t xml:space="preserve"> </w:t>
      </w:r>
    </w:p>
    <w:p w14:paraId="234B1926" w14:textId="104BFE98" w:rsidR="00556B03" w:rsidRDefault="00556B03" w:rsidP="00B71C2D">
      <w:pPr>
        <w:spacing w:line="360" w:lineRule="auto"/>
        <w:ind w:firstLine="720"/>
        <w:rPr>
          <w:rFonts w:ascii="Georgia" w:hAnsi="Georgia"/>
          <w:sz w:val="24"/>
          <w:szCs w:val="24"/>
        </w:rPr>
      </w:pPr>
      <w:r>
        <w:rPr>
          <w:rFonts w:ascii="Georgia" w:hAnsi="Georgia"/>
          <w:sz w:val="24"/>
          <w:szCs w:val="24"/>
        </w:rPr>
        <w:t>Berkshire Hathaway</w:t>
      </w:r>
      <w:r w:rsidR="00AE33B1">
        <w:rPr>
          <w:rFonts w:ascii="Georgia" w:hAnsi="Georgia"/>
          <w:sz w:val="24"/>
          <w:szCs w:val="24"/>
        </w:rPr>
        <w:t xml:space="preserve"> functions as</w:t>
      </w:r>
      <w:r>
        <w:rPr>
          <w:rFonts w:ascii="Georgia" w:hAnsi="Georgia"/>
          <w:sz w:val="24"/>
          <w:szCs w:val="24"/>
        </w:rPr>
        <w:t xml:space="preserve"> capitalism’s ATM: </w:t>
      </w:r>
      <w:r w:rsidR="009459D5">
        <w:rPr>
          <w:rFonts w:ascii="Georgia" w:hAnsi="Georgia"/>
          <w:sz w:val="24"/>
          <w:szCs w:val="24"/>
        </w:rPr>
        <w:t>corporations turn to</w:t>
      </w:r>
      <w:r w:rsidR="003E6FB3">
        <w:rPr>
          <w:rFonts w:ascii="Georgia" w:hAnsi="Georgia"/>
          <w:sz w:val="24"/>
          <w:szCs w:val="24"/>
        </w:rPr>
        <w:t xml:space="preserve"> </w:t>
      </w:r>
      <w:r w:rsidR="00916765">
        <w:rPr>
          <w:rFonts w:ascii="Georgia" w:hAnsi="Georgia"/>
          <w:sz w:val="24"/>
          <w:szCs w:val="24"/>
        </w:rPr>
        <w:t>it</w:t>
      </w:r>
      <w:r w:rsidR="003E6FB3">
        <w:rPr>
          <w:rFonts w:ascii="Georgia" w:hAnsi="Georgia"/>
          <w:sz w:val="24"/>
          <w:szCs w:val="24"/>
        </w:rPr>
        <w:t xml:space="preserve"> when</w:t>
      </w:r>
      <w:r w:rsidR="00E87AEB">
        <w:rPr>
          <w:rFonts w:ascii="Georgia" w:hAnsi="Georgia"/>
          <w:sz w:val="24"/>
          <w:szCs w:val="24"/>
        </w:rPr>
        <w:t xml:space="preserve"> desperate and</w:t>
      </w:r>
      <w:r w:rsidR="003E6FB3">
        <w:rPr>
          <w:rFonts w:ascii="Georgia" w:hAnsi="Georgia"/>
          <w:sz w:val="24"/>
          <w:szCs w:val="24"/>
        </w:rPr>
        <w:t xml:space="preserve"> </w:t>
      </w:r>
      <w:r w:rsidR="00981D59">
        <w:rPr>
          <w:rFonts w:ascii="Georgia" w:hAnsi="Georgia"/>
          <w:sz w:val="24"/>
          <w:szCs w:val="24"/>
        </w:rPr>
        <w:t>in need of cash</w:t>
      </w:r>
      <w:r w:rsidR="003E6FB3">
        <w:rPr>
          <w:rFonts w:ascii="Georgia" w:hAnsi="Georgia"/>
          <w:sz w:val="24"/>
          <w:szCs w:val="24"/>
        </w:rPr>
        <w:t xml:space="preserve">. During the 2008 financial crisis, Berkshire </w:t>
      </w:r>
      <w:r w:rsidR="0086402B">
        <w:rPr>
          <w:rFonts w:ascii="Georgia" w:hAnsi="Georgia"/>
          <w:sz w:val="24"/>
          <w:szCs w:val="24"/>
        </w:rPr>
        <w:t xml:space="preserve">Hathaway </w:t>
      </w:r>
      <w:r w:rsidR="003E6FB3">
        <w:rPr>
          <w:rFonts w:ascii="Georgia" w:hAnsi="Georgia"/>
          <w:sz w:val="24"/>
          <w:szCs w:val="24"/>
        </w:rPr>
        <w:t xml:space="preserve">was </w:t>
      </w:r>
      <w:r w:rsidR="006702E1">
        <w:rPr>
          <w:rFonts w:ascii="Georgia" w:hAnsi="Georgia"/>
          <w:sz w:val="24"/>
          <w:szCs w:val="24"/>
        </w:rPr>
        <w:t xml:space="preserve">the lone </w:t>
      </w:r>
      <w:r w:rsidR="003E6FB3">
        <w:rPr>
          <w:rFonts w:ascii="Georgia" w:hAnsi="Georgia"/>
          <w:sz w:val="24"/>
          <w:szCs w:val="24"/>
        </w:rPr>
        <w:t>corporation with ample cash</w:t>
      </w:r>
      <w:r w:rsidR="00010D67">
        <w:rPr>
          <w:rFonts w:ascii="Georgia" w:hAnsi="Georgia"/>
          <w:sz w:val="24"/>
          <w:szCs w:val="24"/>
        </w:rPr>
        <w:t xml:space="preserve"> to</w:t>
      </w:r>
      <w:r w:rsidR="00824D30">
        <w:rPr>
          <w:rFonts w:ascii="Georgia" w:hAnsi="Georgia"/>
          <w:sz w:val="24"/>
          <w:szCs w:val="24"/>
        </w:rPr>
        <w:t xml:space="preserve"> lend</w:t>
      </w:r>
      <w:r w:rsidR="00010D67">
        <w:rPr>
          <w:rFonts w:ascii="Georgia" w:hAnsi="Georgia"/>
          <w:sz w:val="24"/>
          <w:szCs w:val="24"/>
        </w:rPr>
        <w:t xml:space="preserve"> to needy </w:t>
      </w:r>
      <w:r w:rsidR="00E37342">
        <w:rPr>
          <w:rFonts w:ascii="Georgia" w:hAnsi="Georgia"/>
          <w:sz w:val="24"/>
          <w:szCs w:val="24"/>
        </w:rPr>
        <w:t>companies</w:t>
      </w:r>
      <w:r w:rsidR="00545154">
        <w:rPr>
          <w:rFonts w:ascii="Georgia" w:hAnsi="Georgia"/>
          <w:sz w:val="24"/>
          <w:szCs w:val="24"/>
        </w:rPr>
        <w:t xml:space="preserve">, injecting billions of dollars to keep the likes of Goldman Sachs and </w:t>
      </w:r>
      <w:r w:rsidR="009A7856">
        <w:rPr>
          <w:rFonts w:ascii="Georgia" w:hAnsi="Georgia"/>
          <w:sz w:val="24"/>
          <w:szCs w:val="24"/>
        </w:rPr>
        <w:t>GE</w:t>
      </w:r>
      <w:r w:rsidR="005C5C58">
        <w:rPr>
          <w:rFonts w:ascii="Georgia" w:hAnsi="Georgia"/>
          <w:sz w:val="24"/>
          <w:szCs w:val="24"/>
        </w:rPr>
        <w:t xml:space="preserve"> afloat</w:t>
      </w:r>
      <w:r w:rsidR="0064511B">
        <w:rPr>
          <w:rFonts w:ascii="Georgia" w:hAnsi="Georgia"/>
          <w:sz w:val="24"/>
          <w:szCs w:val="24"/>
        </w:rPr>
        <w:t xml:space="preserve">, akin to </w:t>
      </w:r>
      <w:r w:rsidR="00F157DE" w:rsidRPr="00F157DE">
        <w:rPr>
          <w:rFonts w:ascii="Georgia" w:hAnsi="Georgia"/>
          <w:sz w:val="24"/>
          <w:szCs w:val="24"/>
        </w:rPr>
        <w:t xml:space="preserve">John Pierpont Morgan </w:t>
      </w:r>
      <w:r w:rsidR="00684D6A">
        <w:rPr>
          <w:rFonts w:ascii="Georgia" w:hAnsi="Georgia"/>
          <w:sz w:val="24"/>
          <w:szCs w:val="24"/>
        </w:rPr>
        <w:t xml:space="preserve">single-handedly </w:t>
      </w:r>
      <w:r w:rsidR="00F157DE" w:rsidRPr="00F157DE">
        <w:rPr>
          <w:rFonts w:ascii="Georgia" w:hAnsi="Georgia"/>
          <w:sz w:val="24"/>
          <w:szCs w:val="24"/>
        </w:rPr>
        <w:t xml:space="preserve">bailing out the U.S. </w:t>
      </w:r>
      <w:r w:rsidR="00684D6A">
        <w:rPr>
          <w:rFonts w:ascii="Georgia" w:hAnsi="Georgia"/>
          <w:sz w:val="24"/>
          <w:szCs w:val="24"/>
        </w:rPr>
        <w:t xml:space="preserve">federal </w:t>
      </w:r>
      <w:r w:rsidR="00F157DE" w:rsidRPr="00F157DE">
        <w:rPr>
          <w:rFonts w:ascii="Georgia" w:hAnsi="Georgia"/>
          <w:sz w:val="24"/>
          <w:szCs w:val="24"/>
        </w:rPr>
        <w:t xml:space="preserve">government in 1893 and </w:t>
      </w:r>
      <w:r w:rsidR="005B73A3">
        <w:rPr>
          <w:rFonts w:ascii="Georgia" w:hAnsi="Georgia"/>
          <w:sz w:val="24"/>
          <w:szCs w:val="24"/>
        </w:rPr>
        <w:t xml:space="preserve">then </w:t>
      </w:r>
      <w:r w:rsidR="00F157DE" w:rsidRPr="00F157DE">
        <w:rPr>
          <w:rFonts w:ascii="Georgia" w:hAnsi="Georgia"/>
          <w:sz w:val="24"/>
          <w:szCs w:val="24"/>
        </w:rPr>
        <w:t>the U.S. economy in 1907</w:t>
      </w:r>
      <w:r w:rsidR="00EF10B7">
        <w:rPr>
          <w:rFonts w:ascii="Georgia" w:hAnsi="Georgia"/>
          <w:sz w:val="24"/>
          <w:szCs w:val="24"/>
        </w:rPr>
        <w:t>.</w:t>
      </w:r>
    </w:p>
    <w:p w14:paraId="65633716" w14:textId="150407C7" w:rsidR="002E0565" w:rsidRDefault="00EF10B7" w:rsidP="00B71C2D">
      <w:pPr>
        <w:spacing w:line="360" w:lineRule="auto"/>
        <w:rPr>
          <w:rFonts w:ascii="Georgia" w:hAnsi="Georgia"/>
          <w:sz w:val="24"/>
          <w:szCs w:val="24"/>
        </w:rPr>
      </w:pPr>
      <w:r>
        <w:rPr>
          <w:rFonts w:ascii="Georgia" w:hAnsi="Georgia"/>
          <w:sz w:val="24"/>
          <w:szCs w:val="24"/>
        </w:rPr>
        <w:tab/>
        <w:t xml:space="preserve">It is therefore </w:t>
      </w:r>
      <w:r w:rsidR="000A1A3D">
        <w:rPr>
          <w:rFonts w:ascii="Georgia" w:hAnsi="Georgia"/>
          <w:sz w:val="24"/>
          <w:szCs w:val="24"/>
        </w:rPr>
        <w:t>relevant</w:t>
      </w:r>
      <w:r>
        <w:rPr>
          <w:rFonts w:ascii="Georgia" w:hAnsi="Georgia"/>
          <w:sz w:val="24"/>
          <w:szCs w:val="24"/>
        </w:rPr>
        <w:t xml:space="preserve"> to return</w:t>
      </w:r>
      <w:r w:rsidR="002E0565">
        <w:rPr>
          <w:rFonts w:ascii="Georgia" w:hAnsi="Georgia"/>
          <w:sz w:val="24"/>
          <w:szCs w:val="24"/>
        </w:rPr>
        <w:t xml:space="preserve"> to </w:t>
      </w:r>
      <w:r w:rsidR="00276F42">
        <w:rPr>
          <w:rFonts w:ascii="Georgia" w:hAnsi="Georgia"/>
          <w:sz w:val="24"/>
          <w:szCs w:val="24"/>
        </w:rPr>
        <w:t>Berkshire Hathaway’s</w:t>
      </w:r>
      <w:r w:rsidR="002E0565">
        <w:rPr>
          <w:rFonts w:ascii="Georgia" w:hAnsi="Georgia"/>
          <w:sz w:val="24"/>
          <w:szCs w:val="24"/>
        </w:rPr>
        <w:t xml:space="preserve"> </w:t>
      </w:r>
      <w:r w:rsidR="009418BA">
        <w:rPr>
          <w:rFonts w:ascii="Georgia" w:hAnsi="Georgia"/>
          <w:sz w:val="24"/>
          <w:szCs w:val="24"/>
        </w:rPr>
        <w:t xml:space="preserve">justifications for the </w:t>
      </w:r>
      <w:r w:rsidR="002E0565">
        <w:rPr>
          <w:rFonts w:ascii="Georgia" w:hAnsi="Georgia"/>
          <w:sz w:val="24"/>
          <w:szCs w:val="24"/>
        </w:rPr>
        <w:t>201</w:t>
      </w:r>
      <w:r w:rsidR="00715ADA">
        <w:rPr>
          <w:rFonts w:ascii="Georgia" w:hAnsi="Georgia"/>
          <w:sz w:val="24"/>
          <w:szCs w:val="24"/>
        </w:rPr>
        <w:t>3</w:t>
      </w:r>
      <w:r w:rsidR="002E0565">
        <w:rPr>
          <w:rFonts w:ascii="Georgia" w:hAnsi="Georgia"/>
          <w:sz w:val="24"/>
          <w:szCs w:val="24"/>
        </w:rPr>
        <w:t xml:space="preserve"> takeover of Nevada Power and Sierra Pacific.</w:t>
      </w:r>
      <w:r w:rsidR="000A1A3D">
        <w:rPr>
          <w:rStyle w:val="FootnoteReference"/>
          <w:rFonts w:ascii="Georgia" w:hAnsi="Georgia"/>
          <w:sz w:val="24"/>
          <w:szCs w:val="24"/>
        </w:rPr>
        <w:footnoteReference w:id="10"/>
      </w:r>
      <w:r w:rsidR="002E0565">
        <w:rPr>
          <w:rFonts w:ascii="Georgia" w:hAnsi="Georgia"/>
          <w:sz w:val="24"/>
          <w:szCs w:val="24"/>
        </w:rPr>
        <w:t xml:space="preserve"> If </w:t>
      </w:r>
      <w:r w:rsidR="00A34F27">
        <w:rPr>
          <w:rFonts w:ascii="Georgia" w:hAnsi="Georgia"/>
          <w:sz w:val="24"/>
          <w:szCs w:val="24"/>
        </w:rPr>
        <w:t>the Commission is going to approve</w:t>
      </w:r>
      <w:r w:rsidR="002E0565">
        <w:rPr>
          <w:rFonts w:ascii="Georgia" w:hAnsi="Georgia"/>
          <w:sz w:val="24"/>
          <w:szCs w:val="24"/>
        </w:rPr>
        <w:t xml:space="preserve"> ginormous </w:t>
      </w:r>
      <w:r w:rsidR="00783F48">
        <w:rPr>
          <w:rFonts w:ascii="Georgia" w:hAnsi="Georgia"/>
          <w:sz w:val="24"/>
          <w:szCs w:val="24"/>
        </w:rPr>
        <w:t xml:space="preserve">utility mergers that claim to produce benefits for consumers, </w:t>
      </w:r>
      <w:r w:rsidR="00513AB9">
        <w:rPr>
          <w:rFonts w:ascii="Georgia" w:hAnsi="Georgia"/>
          <w:sz w:val="24"/>
          <w:szCs w:val="24"/>
        </w:rPr>
        <w:t>the Commission</w:t>
      </w:r>
      <w:r w:rsidR="00783F48">
        <w:rPr>
          <w:rFonts w:ascii="Georgia" w:hAnsi="Georgia"/>
          <w:sz w:val="24"/>
          <w:szCs w:val="24"/>
        </w:rPr>
        <w:t xml:space="preserve"> </w:t>
      </w:r>
      <w:r w:rsidR="00F76A26">
        <w:rPr>
          <w:rFonts w:ascii="Georgia" w:hAnsi="Georgia"/>
          <w:sz w:val="24"/>
          <w:szCs w:val="24"/>
        </w:rPr>
        <w:t>must</w:t>
      </w:r>
      <w:r w:rsidR="00783F48">
        <w:rPr>
          <w:rFonts w:ascii="Georgia" w:hAnsi="Georgia"/>
          <w:sz w:val="24"/>
          <w:szCs w:val="24"/>
        </w:rPr>
        <w:t xml:space="preserve"> hold</w:t>
      </w:r>
      <w:r w:rsidR="00264B03">
        <w:rPr>
          <w:rFonts w:ascii="Georgia" w:hAnsi="Georgia"/>
          <w:sz w:val="24"/>
          <w:szCs w:val="24"/>
        </w:rPr>
        <w:t xml:space="preserve"> companies to the promises they made t</w:t>
      </w:r>
      <w:r w:rsidR="00BE28A8">
        <w:rPr>
          <w:rFonts w:ascii="Georgia" w:hAnsi="Georgia"/>
          <w:sz w:val="24"/>
          <w:szCs w:val="24"/>
        </w:rPr>
        <w:t>o FERC</w:t>
      </w:r>
      <w:r w:rsidR="00783F48">
        <w:rPr>
          <w:rFonts w:ascii="Georgia" w:hAnsi="Georgia"/>
          <w:sz w:val="24"/>
          <w:szCs w:val="24"/>
        </w:rPr>
        <w:t xml:space="preserve">. </w:t>
      </w:r>
      <w:r w:rsidR="00BE0A6A">
        <w:rPr>
          <w:rFonts w:ascii="Georgia" w:hAnsi="Georgia"/>
          <w:sz w:val="24"/>
          <w:szCs w:val="24"/>
        </w:rPr>
        <w:t xml:space="preserve">Berkshire Hathaway </w:t>
      </w:r>
      <w:r w:rsidR="00FF59BB">
        <w:rPr>
          <w:rFonts w:ascii="Georgia" w:hAnsi="Georgia"/>
          <w:sz w:val="24"/>
          <w:szCs w:val="24"/>
        </w:rPr>
        <w:t>insisted to the Commission</w:t>
      </w:r>
      <w:r w:rsidR="00BE0A6A">
        <w:rPr>
          <w:rFonts w:ascii="Georgia" w:hAnsi="Georgia"/>
          <w:sz w:val="24"/>
          <w:szCs w:val="24"/>
        </w:rPr>
        <w:t xml:space="preserve"> </w:t>
      </w:r>
      <w:r w:rsidR="00B17751">
        <w:rPr>
          <w:rFonts w:ascii="Georgia" w:hAnsi="Georgia"/>
          <w:sz w:val="24"/>
          <w:szCs w:val="24"/>
        </w:rPr>
        <w:t xml:space="preserve">in their </w:t>
      </w:r>
      <w:r w:rsidR="00715ADA">
        <w:rPr>
          <w:rFonts w:ascii="Georgia" w:hAnsi="Georgia"/>
          <w:sz w:val="24"/>
          <w:szCs w:val="24"/>
        </w:rPr>
        <w:t xml:space="preserve">2013 application </w:t>
      </w:r>
      <w:r w:rsidR="000A43BE">
        <w:rPr>
          <w:rFonts w:ascii="Georgia" w:hAnsi="Georgia"/>
          <w:sz w:val="24"/>
          <w:szCs w:val="24"/>
        </w:rPr>
        <w:t>that</w:t>
      </w:r>
      <w:r w:rsidR="004F0CC2">
        <w:rPr>
          <w:rFonts w:ascii="Georgia" w:hAnsi="Georgia"/>
          <w:sz w:val="24"/>
          <w:szCs w:val="24"/>
        </w:rPr>
        <w:t xml:space="preserve"> </w:t>
      </w:r>
      <w:r w:rsidR="00EC09BA">
        <w:rPr>
          <w:rFonts w:ascii="Georgia" w:hAnsi="Georgia"/>
          <w:sz w:val="24"/>
          <w:szCs w:val="24"/>
        </w:rPr>
        <w:t>its</w:t>
      </w:r>
      <w:r w:rsidR="004F0CC2">
        <w:rPr>
          <w:rFonts w:ascii="Georgia" w:hAnsi="Georgia"/>
          <w:sz w:val="24"/>
          <w:szCs w:val="24"/>
        </w:rPr>
        <w:t xml:space="preserve"> </w:t>
      </w:r>
      <w:r w:rsidR="00B465AB">
        <w:rPr>
          <w:rFonts w:ascii="Georgia" w:hAnsi="Georgia"/>
          <w:sz w:val="24"/>
          <w:szCs w:val="24"/>
        </w:rPr>
        <w:t>acquisition</w:t>
      </w:r>
      <w:r w:rsidR="004F0CC2">
        <w:rPr>
          <w:rFonts w:ascii="Georgia" w:hAnsi="Georgia"/>
          <w:sz w:val="24"/>
          <w:szCs w:val="24"/>
        </w:rPr>
        <w:t xml:space="preserve"> of Nevada Power and Sierra Pacific was in the public interest</w:t>
      </w:r>
      <w:r w:rsidR="00EC09BA">
        <w:rPr>
          <w:rFonts w:ascii="Georgia" w:hAnsi="Georgia"/>
          <w:sz w:val="24"/>
          <w:szCs w:val="24"/>
        </w:rPr>
        <w:t xml:space="preserve"> because consumers would benefit from access to Berkshire’s </w:t>
      </w:r>
      <w:r w:rsidR="00490A7E">
        <w:rPr>
          <w:rFonts w:ascii="Georgia" w:hAnsi="Georgia"/>
          <w:sz w:val="24"/>
          <w:szCs w:val="24"/>
        </w:rPr>
        <w:t xml:space="preserve">(MidAmerican) </w:t>
      </w:r>
      <w:r w:rsidR="006A45A8" w:rsidRPr="006A45A8">
        <w:rPr>
          <w:rFonts w:ascii="Georgia" w:hAnsi="Georgia"/>
          <w:sz w:val="24"/>
          <w:szCs w:val="24"/>
        </w:rPr>
        <w:t>largesse</w:t>
      </w:r>
      <w:r w:rsidR="004F0CC2">
        <w:rPr>
          <w:rFonts w:ascii="Georgia" w:hAnsi="Georgia"/>
          <w:sz w:val="24"/>
          <w:szCs w:val="24"/>
        </w:rPr>
        <w:t>:</w:t>
      </w:r>
    </w:p>
    <w:p w14:paraId="468BCE46" w14:textId="77777777" w:rsidR="004F0CC2" w:rsidRDefault="004F0CC2">
      <w:pPr>
        <w:rPr>
          <w:rFonts w:ascii="Georgia" w:hAnsi="Georgia"/>
          <w:sz w:val="24"/>
          <w:szCs w:val="24"/>
        </w:rPr>
      </w:pPr>
    </w:p>
    <w:p w14:paraId="3413FF20" w14:textId="77777777" w:rsidR="004F0CC2" w:rsidRPr="00B451EE" w:rsidRDefault="004F0CC2" w:rsidP="00B451EE">
      <w:pPr>
        <w:ind w:left="720"/>
        <w:rPr>
          <w:rFonts w:ascii="Georgia" w:hAnsi="Georgia"/>
          <w:i/>
          <w:iCs/>
        </w:rPr>
      </w:pPr>
      <w:r w:rsidRPr="00B451EE">
        <w:rPr>
          <w:rFonts w:ascii="Georgia" w:hAnsi="Georgia"/>
          <w:i/>
          <w:iCs/>
        </w:rPr>
        <w:t xml:space="preserve">The Transaction, when completed, will provide multiple benefits for customers </w:t>
      </w:r>
    </w:p>
    <w:p w14:paraId="7E2F3FEB" w14:textId="77777777" w:rsidR="004F0CC2" w:rsidRPr="00B451EE" w:rsidRDefault="004F0CC2" w:rsidP="00B451EE">
      <w:pPr>
        <w:ind w:left="720"/>
        <w:rPr>
          <w:rFonts w:ascii="Georgia" w:hAnsi="Georgia"/>
          <w:i/>
          <w:iCs/>
        </w:rPr>
      </w:pPr>
      <w:r w:rsidRPr="00B451EE">
        <w:rPr>
          <w:rFonts w:ascii="Georgia" w:hAnsi="Georgia"/>
          <w:i/>
          <w:iCs/>
        </w:rPr>
        <w:t xml:space="preserve">throughout the regions served by MidAmerican and the NV Energy Utilities. First, </w:t>
      </w:r>
    </w:p>
    <w:p w14:paraId="37143934" w14:textId="30478EF8" w:rsidR="004F0CC2" w:rsidRPr="00FD150C" w:rsidRDefault="004F0CC2" w:rsidP="00B451EE">
      <w:pPr>
        <w:ind w:left="720"/>
        <w:rPr>
          <w:rFonts w:ascii="Georgia" w:hAnsi="Georgia"/>
          <w:sz w:val="24"/>
          <w:szCs w:val="24"/>
        </w:rPr>
      </w:pPr>
      <w:r w:rsidRPr="00B451EE">
        <w:rPr>
          <w:rFonts w:ascii="Georgia" w:hAnsi="Georgia"/>
          <w:i/>
          <w:iCs/>
        </w:rPr>
        <w:t xml:space="preserve">MidAmerican’s acquisition of NVE will provide the NV Energy Utilities and their customers with </w:t>
      </w:r>
      <w:r w:rsidRPr="00FD150C">
        <w:rPr>
          <w:rFonts w:ascii="Georgia" w:hAnsi="Georgia"/>
          <w:b/>
          <w:bCs/>
          <w:i/>
          <w:iCs/>
        </w:rPr>
        <w:t>increased financial stability and reduced cost of debt</w:t>
      </w:r>
      <w:r w:rsidR="0030773A" w:rsidRPr="00B451EE">
        <w:rPr>
          <w:rFonts w:ascii="Georgia" w:hAnsi="Georgia"/>
          <w:i/>
          <w:iCs/>
        </w:rPr>
        <w:t xml:space="preserve"> . . . </w:t>
      </w:r>
      <w:r w:rsidRPr="00B451EE">
        <w:rPr>
          <w:rFonts w:ascii="Georgia" w:hAnsi="Georgia"/>
          <w:i/>
          <w:iCs/>
        </w:rPr>
        <w:t xml:space="preserve">and </w:t>
      </w:r>
      <w:r w:rsidR="00067493">
        <w:rPr>
          <w:rFonts w:ascii="Georgia" w:hAnsi="Georgia"/>
          <w:i/>
          <w:iCs/>
        </w:rPr>
        <w:t xml:space="preserve">   </w:t>
      </w:r>
      <w:r w:rsidR="0030773A" w:rsidRPr="00B451EE">
        <w:rPr>
          <w:rFonts w:ascii="Georgia" w:hAnsi="Georgia"/>
          <w:i/>
          <w:iCs/>
        </w:rPr>
        <w:t xml:space="preserve">. . . </w:t>
      </w:r>
      <w:r w:rsidRPr="00B451EE">
        <w:rPr>
          <w:rFonts w:ascii="Georgia" w:hAnsi="Georgia"/>
          <w:i/>
          <w:iCs/>
        </w:rPr>
        <w:t xml:space="preserve"> </w:t>
      </w:r>
      <w:r w:rsidRPr="00FD150C">
        <w:rPr>
          <w:rFonts w:ascii="Georgia" w:hAnsi="Georgia"/>
          <w:b/>
          <w:bCs/>
          <w:i/>
          <w:iCs/>
        </w:rPr>
        <w:t>the NV Energy Utilities’ customers will benefit from access to capital to reliably serve customers, including the potential new investments in generation and transmission.</w:t>
      </w:r>
      <w:r w:rsidR="00591303" w:rsidRPr="00B451EE">
        <w:rPr>
          <w:rFonts w:ascii="Georgia" w:hAnsi="Georgia"/>
          <w:i/>
          <w:iCs/>
        </w:rPr>
        <w:t>”</w:t>
      </w:r>
      <w:r w:rsidR="00FD150C">
        <w:rPr>
          <w:rFonts w:ascii="Georgia" w:hAnsi="Georgia"/>
        </w:rPr>
        <w:t xml:space="preserve"> [emphasis added]</w:t>
      </w:r>
      <w:r w:rsidR="00EA51AB">
        <w:rPr>
          <w:rStyle w:val="FootnoteReference"/>
          <w:rFonts w:ascii="Georgia" w:hAnsi="Georgia"/>
          <w:sz w:val="24"/>
          <w:szCs w:val="24"/>
        </w:rPr>
        <w:footnoteReference w:id="11"/>
      </w:r>
    </w:p>
    <w:p w14:paraId="4D345F05" w14:textId="77777777" w:rsidR="00591303" w:rsidRDefault="00591303" w:rsidP="004F0CC2">
      <w:pPr>
        <w:rPr>
          <w:rFonts w:ascii="Georgia" w:hAnsi="Georgia"/>
          <w:sz w:val="24"/>
          <w:szCs w:val="24"/>
        </w:rPr>
      </w:pPr>
    </w:p>
    <w:p w14:paraId="20F48881" w14:textId="69DD9204" w:rsidR="0061158F" w:rsidRDefault="00D50679" w:rsidP="00B71C2D">
      <w:pPr>
        <w:spacing w:line="360" w:lineRule="auto"/>
        <w:rPr>
          <w:rFonts w:ascii="Georgia" w:hAnsi="Georgia"/>
          <w:sz w:val="24"/>
          <w:szCs w:val="24"/>
        </w:rPr>
      </w:pPr>
      <w:r>
        <w:rPr>
          <w:rFonts w:ascii="Georgia" w:hAnsi="Georgia"/>
          <w:sz w:val="24"/>
          <w:szCs w:val="24"/>
        </w:rPr>
        <w:tab/>
        <w:t>So, again, if the point of allowing mega-mergers</w:t>
      </w:r>
      <w:r w:rsidR="00D652F3">
        <w:rPr>
          <w:rStyle w:val="FootnoteReference"/>
          <w:rFonts w:ascii="Georgia" w:hAnsi="Georgia"/>
          <w:sz w:val="24"/>
          <w:szCs w:val="24"/>
        </w:rPr>
        <w:footnoteReference w:id="12"/>
      </w:r>
      <w:r>
        <w:rPr>
          <w:rFonts w:ascii="Georgia" w:hAnsi="Georgia"/>
          <w:sz w:val="24"/>
          <w:szCs w:val="24"/>
        </w:rPr>
        <w:t xml:space="preserve"> is that their eager claims of consumer benefits</w:t>
      </w:r>
      <w:r w:rsidR="00A42C50">
        <w:rPr>
          <w:rFonts w:ascii="Georgia" w:hAnsi="Georgia"/>
          <w:sz w:val="24"/>
          <w:szCs w:val="24"/>
        </w:rPr>
        <w:t xml:space="preserve"> are to be believed, then we should do so here. FERC allowed Berkshire Hathaway to acquire </w:t>
      </w:r>
      <w:r w:rsidR="00842EAF">
        <w:rPr>
          <w:rFonts w:ascii="Georgia" w:hAnsi="Georgia"/>
          <w:sz w:val="24"/>
          <w:szCs w:val="24"/>
        </w:rPr>
        <w:t>Nevada</w:t>
      </w:r>
      <w:r w:rsidR="00A42C50">
        <w:rPr>
          <w:rFonts w:ascii="Georgia" w:hAnsi="Georgia"/>
          <w:sz w:val="24"/>
          <w:szCs w:val="24"/>
        </w:rPr>
        <w:t xml:space="preserve"> Power and Sierra Pacific</w:t>
      </w:r>
      <w:r w:rsidR="00501CC4">
        <w:rPr>
          <w:rFonts w:ascii="Georgia" w:hAnsi="Georgia"/>
          <w:sz w:val="24"/>
          <w:szCs w:val="24"/>
        </w:rPr>
        <w:t xml:space="preserve"> because it </w:t>
      </w:r>
      <w:r w:rsidR="00350AD9">
        <w:rPr>
          <w:rFonts w:ascii="Georgia" w:hAnsi="Georgia"/>
          <w:sz w:val="24"/>
          <w:szCs w:val="24"/>
        </w:rPr>
        <w:t xml:space="preserve">trusted </w:t>
      </w:r>
      <w:r w:rsidR="00501CC4">
        <w:rPr>
          <w:rFonts w:ascii="Georgia" w:hAnsi="Georgia"/>
          <w:sz w:val="24"/>
          <w:szCs w:val="24"/>
        </w:rPr>
        <w:t xml:space="preserve">their </w:t>
      </w:r>
      <w:r w:rsidR="007B6B6C">
        <w:rPr>
          <w:rFonts w:ascii="Georgia" w:hAnsi="Georgia"/>
          <w:sz w:val="24"/>
          <w:szCs w:val="24"/>
        </w:rPr>
        <w:t xml:space="preserve">guarantee </w:t>
      </w:r>
      <w:r w:rsidR="00501CC4">
        <w:rPr>
          <w:rFonts w:ascii="Georgia" w:hAnsi="Georgia"/>
          <w:sz w:val="24"/>
          <w:szCs w:val="24"/>
        </w:rPr>
        <w:t>that the Nevada utilities would be able to tap into Berkshire Hathaway’s gargantua</w:t>
      </w:r>
      <w:r w:rsidR="00BE61DD">
        <w:rPr>
          <w:rFonts w:ascii="Georgia" w:hAnsi="Georgia"/>
          <w:sz w:val="24"/>
          <w:szCs w:val="24"/>
        </w:rPr>
        <w:t>n</w:t>
      </w:r>
      <w:r w:rsidR="00501CC4">
        <w:rPr>
          <w:rFonts w:ascii="Georgia" w:hAnsi="Georgia"/>
          <w:sz w:val="24"/>
          <w:szCs w:val="24"/>
        </w:rPr>
        <w:t xml:space="preserve"> piggy bank to </w:t>
      </w:r>
      <w:r w:rsidR="00B85A3A">
        <w:rPr>
          <w:rFonts w:ascii="Georgia" w:hAnsi="Georgia"/>
          <w:sz w:val="24"/>
          <w:szCs w:val="24"/>
        </w:rPr>
        <w:t xml:space="preserve">provide “increased financial stability” and “access to capital” </w:t>
      </w:r>
      <w:r w:rsidR="00B85A3A">
        <w:rPr>
          <w:rFonts w:ascii="Georgia" w:hAnsi="Georgia"/>
          <w:sz w:val="24"/>
          <w:szCs w:val="24"/>
        </w:rPr>
        <w:lastRenderedPageBreak/>
        <w:t>for “new investments” in “transmission”.</w:t>
      </w:r>
      <w:r w:rsidR="003C1061">
        <w:rPr>
          <w:rFonts w:ascii="Georgia" w:hAnsi="Georgia"/>
          <w:sz w:val="24"/>
          <w:szCs w:val="24"/>
        </w:rPr>
        <w:t xml:space="preserve"> </w:t>
      </w:r>
      <w:r w:rsidR="004003C1">
        <w:rPr>
          <w:rFonts w:ascii="Georgia" w:hAnsi="Georgia"/>
          <w:sz w:val="24"/>
          <w:szCs w:val="24"/>
        </w:rPr>
        <w:t>I</w:t>
      </w:r>
      <w:r w:rsidR="003C1061">
        <w:rPr>
          <w:rFonts w:ascii="Georgia" w:hAnsi="Georgia"/>
          <w:sz w:val="24"/>
          <w:szCs w:val="24"/>
        </w:rPr>
        <w:t xml:space="preserve">f the point of allowing a massive conglomerate like Berkshire Hathaway to </w:t>
      </w:r>
      <w:r w:rsidR="00477520">
        <w:rPr>
          <w:rFonts w:ascii="Georgia" w:hAnsi="Georgia"/>
          <w:sz w:val="24"/>
          <w:szCs w:val="24"/>
        </w:rPr>
        <w:t xml:space="preserve">control much smaller </w:t>
      </w:r>
      <w:r w:rsidR="00BB5DBF">
        <w:rPr>
          <w:rFonts w:ascii="Georgia" w:hAnsi="Georgia"/>
          <w:sz w:val="24"/>
          <w:szCs w:val="24"/>
        </w:rPr>
        <w:t xml:space="preserve">utilities like </w:t>
      </w:r>
      <w:r w:rsidR="00477520">
        <w:rPr>
          <w:rFonts w:ascii="Georgia" w:hAnsi="Georgia"/>
          <w:sz w:val="24"/>
          <w:szCs w:val="24"/>
        </w:rPr>
        <w:t>Nevada Power and Sierra Pacific was to allow the</w:t>
      </w:r>
      <w:r w:rsidR="00C8655E">
        <w:rPr>
          <w:rFonts w:ascii="Georgia" w:hAnsi="Georgia"/>
          <w:sz w:val="24"/>
          <w:szCs w:val="24"/>
        </w:rPr>
        <w:t>m</w:t>
      </w:r>
      <w:r w:rsidR="00477520">
        <w:rPr>
          <w:rFonts w:ascii="Georgia" w:hAnsi="Georgia"/>
          <w:sz w:val="24"/>
          <w:szCs w:val="24"/>
        </w:rPr>
        <w:t xml:space="preserve"> to tap into </w:t>
      </w:r>
      <w:r w:rsidR="00184951">
        <w:rPr>
          <w:rFonts w:ascii="Georgia" w:hAnsi="Georgia"/>
          <w:sz w:val="24"/>
          <w:szCs w:val="24"/>
        </w:rPr>
        <w:t>Warren Buffet</w:t>
      </w:r>
      <w:r w:rsidR="00347676">
        <w:rPr>
          <w:rFonts w:ascii="Georgia" w:hAnsi="Georgia"/>
          <w:sz w:val="24"/>
          <w:szCs w:val="24"/>
        </w:rPr>
        <w:t>t</w:t>
      </w:r>
      <w:r w:rsidR="006B5C77">
        <w:rPr>
          <w:rFonts w:ascii="Georgia" w:hAnsi="Georgia"/>
          <w:sz w:val="24"/>
          <w:szCs w:val="24"/>
        </w:rPr>
        <w:t>’s</w:t>
      </w:r>
      <w:r w:rsidR="00184951">
        <w:rPr>
          <w:rFonts w:ascii="Georgia" w:hAnsi="Georgia"/>
          <w:sz w:val="24"/>
          <w:szCs w:val="24"/>
        </w:rPr>
        <w:t xml:space="preserve"> pile of cash and credit, than it is not only unseemly but contrary to the public interest to now ask </w:t>
      </w:r>
      <w:r w:rsidR="005251EC">
        <w:rPr>
          <w:rFonts w:ascii="Georgia" w:hAnsi="Georgia"/>
          <w:sz w:val="24"/>
          <w:szCs w:val="24"/>
        </w:rPr>
        <w:t>working families</w:t>
      </w:r>
      <w:r w:rsidR="00184951">
        <w:rPr>
          <w:rFonts w:ascii="Georgia" w:hAnsi="Georgia"/>
          <w:sz w:val="24"/>
          <w:szCs w:val="24"/>
        </w:rPr>
        <w:t xml:space="preserve"> to pay new subsidies to</w:t>
      </w:r>
      <w:r w:rsidR="003654FF">
        <w:rPr>
          <w:rFonts w:ascii="Georgia" w:hAnsi="Georgia"/>
          <w:sz w:val="24"/>
          <w:szCs w:val="24"/>
        </w:rPr>
        <w:t xml:space="preserve"> Buffett’s empire</w:t>
      </w:r>
      <w:r w:rsidR="00184951">
        <w:rPr>
          <w:rFonts w:ascii="Georgia" w:hAnsi="Georgia"/>
          <w:sz w:val="24"/>
          <w:szCs w:val="24"/>
        </w:rPr>
        <w:t xml:space="preserve"> out of their already stretched </w:t>
      </w:r>
      <w:r w:rsidR="00842EAF">
        <w:rPr>
          <w:rFonts w:ascii="Georgia" w:hAnsi="Georgia"/>
          <w:sz w:val="24"/>
          <w:szCs w:val="24"/>
        </w:rPr>
        <w:t>monthly</w:t>
      </w:r>
      <w:r w:rsidR="00184951">
        <w:rPr>
          <w:rFonts w:ascii="Georgia" w:hAnsi="Georgia"/>
          <w:sz w:val="24"/>
          <w:szCs w:val="24"/>
        </w:rPr>
        <w:t xml:space="preserve"> utility bills.</w:t>
      </w:r>
      <w:r w:rsidR="0061158F" w:rsidRPr="00081A76">
        <w:rPr>
          <w:rFonts w:ascii="Georgia" w:hAnsi="Georgia"/>
          <w:sz w:val="24"/>
          <w:szCs w:val="24"/>
        </w:rPr>
        <w:tab/>
      </w:r>
    </w:p>
    <w:p w14:paraId="3169B7CB" w14:textId="21D9716A" w:rsidR="00BF12FD" w:rsidRDefault="00BF12FD" w:rsidP="00B71C2D">
      <w:pPr>
        <w:spacing w:line="360" w:lineRule="auto"/>
        <w:rPr>
          <w:rFonts w:ascii="Georgia" w:hAnsi="Georgia"/>
          <w:sz w:val="24"/>
          <w:szCs w:val="24"/>
        </w:rPr>
      </w:pPr>
      <w:r>
        <w:rPr>
          <w:rFonts w:ascii="Georgia" w:hAnsi="Georgia"/>
          <w:sz w:val="24"/>
          <w:szCs w:val="24"/>
        </w:rPr>
        <w:tab/>
      </w:r>
      <w:r w:rsidR="00DF7A8D" w:rsidRPr="00DF7A8D">
        <w:rPr>
          <w:rFonts w:ascii="Georgia" w:hAnsi="Georgia"/>
          <w:sz w:val="24"/>
          <w:szCs w:val="24"/>
        </w:rPr>
        <w:t xml:space="preserve">Appendix B, Exhibit No. NVE-0006 of the June 30 Petition is the testimony of Michael Cole, CFO and </w:t>
      </w:r>
      <w:r w:rsidR="00E47BF3" w:rsidRPr="00DF7A8D">
        <w:rPr>
          <w:rFonts w:ascii="Georgia" w:hAnsi="Georgia"/>
          <w:sz w:val="24"/>
          <w:szCs w:val="24"/>
        </w:rPr>
        <w:t>Treasurer</w:t>
      </w:r>
      <w:r w:rsidR="00DF7A8D" w:rsidRPr="00DF7A8D">
        <w:rPr>
          <w:rFonts w:ascii="Georgia" w:hAnsi="Georgia"/>
          <w:sz w:val="24"/>
          <w:szCs w:val="24"/>
        </w:rPr>
        <w:t xml:space="preserve"> for NV Energy. Mr. Cole</w:t>
      </w:r>
      <w:r w:rsidR="00E47BF3">
        <w:rPr>
          <w:rFonts w:ascii="Georgia" w:hAnsi="Georgia"/>
          <w:sz w:val="24"/>
          <w:szCs w:val="24"/>
        </w:rPr>
        <w:t>’</w:t>
      </w:r>
      <w:r w:rsidR="00DF7A8D" w:rsidRPr="00DF7A8D">
        <w:rPr>
          <w:rFonts w:ascii="Georgia" w:hAnsi="Georgia"/>
          <w:sz w:val="24"/>
          <w:szCs w:val="24"/>
        </w:rPr>
        <w:t xml:space="preserve">s testimony never once mentions the role of Berkshire Hathaway as the parent company to NV Energy, </w:t>
      </w:r>
      <w:r w:rsidR="001317C8">
        <w:rPr>
          <w:rFonts w:ascii="Georgia" w:hAnsi="Georgia"/>
          <w:sz w:val="24"/>
          <w:szCs w:val="24"/>
        </w:rPr>
        <w:t>or</w:t>
      </w:r>
      <w:r w:rsidR="00DF7A8D" w:rsidRPr="00DF7A8D">
        <w:rPr>
          <w:rFonts w:ascii="Georgia" w:hAnsi="Georgia"/>
          <w:sz w:val="24"/>
          <w:szCs w:val="24"/>
        </w:rPr>
        <w:t xml:space="preserve"> the opportunities and advantages NV Energy has with such a parent. The failure of the Petition to include any mention or discussion of the financial impact of Berkshire Hathaway's ownership and control over the NV Energy and the </w:t>
      </w:r>
      <w:proofErr w:type="spellStart"/>
      <w:r w:rsidR="00DF7A8D" w:rsidRPr="00DF7A8D">
        <w:rPr>
          <w:rFonts w:ascii="Georgia" w:hAnsi="Georgia"/>
          <w:sz w:val="24"/>
          <w:szCs w:val="24"/>
        </w:rPr>
        <w:t>Greenlink</w:t>
      </w:r>
      <w:proofErr w:type="spellEnd"/>
      <w:r w:rsidR="00DF7A8D" w:rsidRPr="00DF7A8D">
        <w:rPr>
          <w:rFonts w:ascii="Georgia" w:hAnsi="Georgia"/>
          <w:sz w:val="24"/>
          <w:szCs w:val="24"/>
        </w:rPr>
        <w:t xml:space="preserve"> project is a material omission.</w:t>
      </w:r>
    </w:p>
    <w:p w14:paraId="6370344C" w14:textId="77777777" w:rsidR="00A32652" w:rsidRDefault="00A32652" w:rsidP="0061158F">
      <w:pPr>
        <w:rPr>
          <w:rFonts w:ascii="Georgia" w:hAnsi="Georgia"/>
          <w:sz w:val="24"/>
          <w:szCs w:val="24"/>
        </w:rPr>
      </w:pPr>
    </w:p>
    <w:p w14:paraId="41B367BC" w14:textId="2D923DD7" w:rsidR="00A32652" w:rsidRDefault="00A32652" w:rsidP="00B71C2D">
      <w:pPr>
        <w:jc w:val="center"/>
        <w:rPr>
          <w:rFonts w:ascii="Georgia" w:hAnsi="Georgia"/>
          <w:b/>
          <w:bCs/>
          <w:sz w:val="24"/>
          <w:szCs w:val="24"/>
        </w:rPr>
      </w:pPr>
      <w:r w:rsidRPr="00B71C2D">
        <w:rPr>
          <w:rFonts w:ascii="Georgia" w:hAnsi="Georgia"/>
          <w:b/>
          <w:bCs/>
          <w:sz w:val="24"/>
          <w:szCs w:val="24"/>
        </w:rPr>
        <w:t>Conclusion</w:t>
      </w:r>
    </w:p>
    <w:p w14:paraId="54E0B3C3" w14:textId="77777777" w:rsidR="000D7425" w:rsidRPr="00B71C2D" w:rsidRDefault="000D7425" w:rsidP="003654FF">
      <w:pPr>
        <w:rPr>
          <w:rFonts w:ascii="Georgia" w:hAnsi="Georgia"/>
          <w:b/>
          <w:bCs/>
          <w:sz w:val="24"/>
          <w:szCs w:val="24"/>
        </w:rPr>
      </w:pPr>
    </w:p>
    <w:p w14:paraId="690314D9" w14:textId="6167282C" w:rsidR="00A32652" w:rsidRDefault="00A32652" w:rsidP="0084649B">
      <w:pPr>
        <w:spacing w:line="360" w:lineRule="auto"/>
        <w:rPr>
          <w:rFonts w:ascii="Georgia" w:hAnsi="Georgia"/>
          <w:sz w:val="24"/>
          <w:szCs w:val="24"/>
        </w:rPr>
      </w:pPr>
      <w:r>
        <w:rPr>
          <w:rFonts w:ascii="Georgia" w:hAnsi="Georgia"/>
          <w:sz w:val="24"/>
          <w:szCs w:val="24"/>
        </w:rPr>
        <w:tab/>
        <w:t xml:space="preserve">The Commission must </w:t>
      </w:r>
      <w:r w:rsidR="00B139F6">
        <w:rPr>
          <w:rFonts w:ascii="Georgia" w:hAnsi="Georgia"/>
          <w:sz w:val="24"/>
          <w:szCs w:val="24"/>
        </w:rPr>
        <w:t xml:space="preserve">dismiss the </w:t>
      </w:r>
      <w:proofErr w:type="gramStart"/>
      <w:r w:rsidR="00B139F6">
        <w:rPr>
          <w:rFonts w:ascii="Georgia" w:hAnsi="Georgia"/>
          <w:sz w:val="24"/>
          <w:szCs w:val="24"/>
        </w:rPr>
        <w:t>Petition, and</w:t>
      </w:r>
      <w:proofErr w:type="gramEnd"/>
      <w:r w:rsidR="00B139F6">
        <w:rPr>
          <w:rFonts w:ascii="Georgia" w:hAnsi="Georgia"/>
          <w:sz w:val="24"/>
          <w:szCs w:val="24"/>
        </w:rPr>
        <w:t xml:space="preserve"> reject Berkshire Hathaway’s request for three separate rate incentives for </w:t>
      </w:r>
      <w:proofErr w:type="spellStart"/>
      <w:r w:rsidR="00B139F6">
        <w:rPr>
          <w:rFonts w:ascii="Georgia" w:hAnsi="Georgia"/>
          <w:sz w:val="24"/>
          <w:szCs w:val="24"/>
        </w:rPr>
        <w:t>Greenlink</w:t>
      </w:r>
      <w:proofErr w:type="spellEnd"/>
      <w:r w:rsidR="00B139F6">
        <w:rPr>
          <w:rFonts w:ascii="Georgia" w:hAnsi="Georgia"/>
          <w:sz w:val="24"/>
          <w:szCs w:val="24"/>
        </w:rPr>
        <w:t>.</w:t>
      </w:r>
      <w:r w:rsidR="00EB2478">
        <w:rPr>
          <w:rFonts w:ascii="Georgia" w:hAnsi="Georgia"/>
          <w:sz w:val="24"/>
          <w:szCs w:val="24"/>
        </w:rPr>
        <w:t xml:space="preserve"> Nevada’s statutory command to Berkshire Hathaway to construct </w:t>
      </w:r>
      <w:proofErr w:type="spellStart"/>
      <w:r w:rsidR="00EB2478">
        <w:rPr>
          <w:rFonts w:ascii="Georgia" w:hAnsi="Georgia"/>
          <w:sz w:val="24"/>
          <w:szCs w:val="24"/>
        </w:rPr>
        <w:t>Greenlink</w:t>
      </w:r>
      <w:proofErr w:type="spellEnd"/>
      <w:r w:rsidR="008A653B">
        <w:rPr>
          <w:rFonts w:ascii="Georgia" w:hAnsi="Georgia"/>
          <w:sz w:val="24"/>
          <w:szCs w:val="24"/>
        </w:rPr>
        <w:t xml:space="preserve"> negates need for incentive rate treatment. Berkshire Hathaway’s </w:t>
      </w:r>
      <w:r w:rsidR="0036427C">
        <w:rPr>
          <w:rFonts w:ascii="Georgia" w:hAnsi="Georgia"/>
          <w:sz w:val="24"/>
          <w:szCs w:val="24"/>
        </w:rPr>
        <w:t>CEO for its Nevada utilities pledged in testimony that the company would not seek</w:t>
      </w:r>
      <w:r w:rsidR="00B71C2D">
        <w:rPr>
          <w:rFonts w:ascii="Georgia" w:hAnsi="Georgia"/>
          <w:sz w:val="24"/>
          <w:szCs w:val="24"/>
        </w:rPr>
        <w:t xml:space="preserve"> incentive rate treatment for </w:t>
      </w:r>
      <w:proofErr w:type="spellStart"/>
      <w:r w:rsidR="00B71C2D">
        <w:rPr>
          <w:rFonts w:ascii="Georgia" w:hAnsi="Georgia"/>
          <w:sz w:val="24"/>
          <w:szCs w:val="24"/>
        </w:rPr>
        <w:t>Greenlink</w:t>
      </w:r>
      <w:proofErr w:type="spellEnd"/>
      <w:r w:rsidR="00B71C2D">
        <w:rPr>
          <w:rFonts w:ascii="Georgia" w:hAnsi="Georgia"/>
          <w:sz w:val="24"/>
          <w:szCs w:val="24"/>
        </w:rPr>
        <w:t xml:space="preserve">. And </w:t>
      </w:r>
      <w:r w:rsidR="00CF3114">
        <w:rPr>
          <w:rFonts w:ascii="Georgia" w:hAnsi="Georgia"/>
          <w:sz w:val="24"/>
          <w:szCs w:val="24"/>
        </w:rPr>
        <w:t xml:space="preserve">Berkshire Hathaway’s </w:t>
      </w:r>
      <w:r w:rsidR="00BA6F03" w:rsidRPr="00186819">
        <w:rPr>
          <w:rFonts w:ascii="Georgia" w:hAnsi="Georgia"/>
          <w:sz w:val="24"/>
          <w:szCs w:val="24"/>
        </w:rPr>
        <w:t>extraordinarily strong capitalization and liquidity</w:t>
      </w:r>
      <w:r w:rsidR="00270EC1">
        <w:rPr>
          <w:rFonts w:ascii="Georgia" w:hAnsi="Georgia"/>
          <w:sz w:val="24"/>
          <w:szCs w:val="24"/>
        </w:rPr>
        <w:t xml:space="preserve"> render the corporation uniquely positioned to </w:t>
      </w:r>
      <w:r w:rsidR="00321F32">
        <w:rPr>
          <w:rFonts w:ascii="Georgia" w:hAnsi="Georgia"/>
          <w:sz w:val="24"/>
          <w:szCs w:val="24"/>
        </w:rPr>
        <w:t>successfully</w:t>
      </w:r>
      <w:r w:rsidR="00331995">
        <w:rPr>
          <w:rFonts w:ascii="Georgia" w:hAnsi="Georgia"/>
          <w:sz w:val="24"/>
          <w:szCs w:val="24"/>
        </w:rPr>
        <w:t xml:space="preserve"> </w:t>
      </w:r>
      <w:r w:rsidR="00321F32">
        <w:rPr>
          <w:rFonts w:ascii="Georgia" w:hAnsi="Georgia"/>
          <w:sz w:val="24"/>
          <w:szCs w:val="24"/>
        </w:rPr>
        <w:t>mitigate</w:t>
      </w:r>
      <w:r w:rsidR="00331995">
        <w:rPr>
          <w:rFonts w:ascii="Georgia" w:hAnsi="Georgia"/>
          <w:sz w:val="24"/>
          <w:szCs w:val="24"/>
        </w:rPr>
        <w:t xml:space="preserve"> risk for</w:t>
      </w:r>
      <w:r w:rsidR="00456615">
        <w:rPr>
          <w:rFonts w:ascii="Georgia" w:hAnsi="Georgia"/>
          <w:sz w:val="24"/>
          <w:szCs w:val="24"/>
        </w:rPr>
        <w:t xml:space="preserve"> </w:t>
      </w:r>
      <w:proofErr w:type="spellStart"/>
      <w:r w:rsidR="00456615">
        <w:rPr>
          <w:rFonts w:ascii="Georgia" w:hAnsi="Georgia"/>
          <w:sz w:val="24"/>
          <w:szCs w:val="24"/>
        </w:rPr>
        <w:t>Greenlink</w:t>
      </w:r>
      <w:proofErr w:type="spellEnd"/>
      <w:r w:rsidR="00456615">
        <w:rPr>
          <w:rFonts w:ascii="Georgia" w:hAnsi="Georgia"/>
          <w:sz w:val="24"/>
          <w:szCs w:val="24"/>
        </w:rPr>
        <w:t xml:space="preserve"> without need to force captive </w:t>
      </w:r>
      <w:r w:rsidR="0084649B">
        <w:rPr>
          <w:rFonts w:ascii="Georgia" w:hAnsi="Georgia"/>
          <w:sz w:val="24"/>
          <w:szCs w:val="24"/>
        </w:rPr>
        <w:t>customers</w:t>
      </w:r>
      <w:r w:rsidR="00456615">
        <w:rPr>
          <w:rFonts w:ascii="Georgia" w:hAnsi="Georgia"/>
          <w:sz w:val="24"/>
          <w:szCs w:val="24"/>
        </w:rPr>
        <w:t xml:space="preserve"> to pay incentive rates</w:t>
      </w:r>
      <w:r w:rsidR="00B27AEC">
        <w:rPr>
          <w:rFonts w:ascii="Georgia" w:hAnsi="Georgia"/>
          <w:sz w:val="24"/>
          <w:szCs w:val="24"/>
        </w:rPr>
        <w:t xml:space="preserve"> as proposed in the Petition.</w:t>
      </w:r>
      <w:r w:rsidR="00CF3114">
        <w:rPr>
          <w:rFonts w:ascii="Georgia" w:hAnsi="Georgia"/>
          <w:sz w:val="24"/>
          <w:szCs w:val="24"/>
        </w:rPr>
        <w:t xml:space="preserve"> </w:t>
      </w:r>
      <w:r w:rsidR="00B27AEC">
        <w:rPr>
          <w:rFonts w:ascii="Georgia" w:hAnsi="Georgia"/>
          <w:sz w:val="24"/>
          <w:szCs w:val="24"/>
        </w:rPr>
        <w:t>Berkshire Hathaway’s proposed rate incentives w</w:t>
      </w:r>
      <w:r w:rsidR="00321F32">
        <w:rPr>
          <w:rFonts w:ascii="Georgia" w:hAnsi="Georgia"/>
          <w:sz w:val="24"/>
          <w:szCs w:val="24"/>
        </w:rPr>
        <w:t>ould</w:t>
      </w:r>
      <w:r w:rsidR="00B27AEC">
        <w:rPr>
          <w:rFonts w:ascii="Georgia" w:hAnsi="Georgia"/>
          <w:sz w:val="24"/>
          <w:szCs w:val="24"/>
        </w:rPr>
        <w:t xml:space="preserve"> compel hundreds of thousands of captive household customers to function as the utilities’ </w:t>
      </w:r>
      <w:r w:rsidR="00560719">
        <w:rPr>
          <w:rFonts w:ascii="Georgia" w:hAnsi="Georgia"/>
          <w:sz w:val="24"/>
          <w:szCs w:val="24"/>
        </w:rPr>
        <w:t xml:space="preserve">free </w:t>
      </w:r>
      <w:r w:rsidR="00B27AEC">
        <w:rPr>
          <w:rFonts w:ascii="Georgia" w:hAnsi="Georgia"/>
          <w:sz w:val="24"/>
          <w:szCs w:val="24"/>
        </w:rPr>
        <w:t xml:space="preserve">bank and insurance, </w:t>
      </w:r>
      <w:r w:rsidR="00560719">
        <w:rPr>
          <w:rFonts w:ascii="Georgia" w:hAnsi="Georgia"/>
          <w:sz w:val="24"/>
          <w:szCs w:val="24"/>
        </w:rPr>
        <w:t>resulting in profoundly unjust and unreasonable rates.</w:t>
      </w:r>
      <w:r w:rsidR="000A0269">
        <w:rPr>
          <w:rFonts w:ascii="Georgia" w:hAnsi="Georgia"/>
          <w:sz w:val="24"/>
          <w:szCs w:val="24"/>
        </w:rPr>
        <w:t xml:space="preserve"> Berkshire Hathaway will have </w:t>
      </w:r>
      <w:r w:rsidR="009E1526">
        <w:rPr>
          <w:rFonts w:ascii="Georgia" w:hAnsi="Georgia"/>
          <w:sz w:val="24"/>
          <w:szCs w:val="24"/>
        </w:rPr>
        <w:t>ample</w:t>
      </w:r>
      <w:r w:rsidR="000A0269">
        <w:rPr>
          <w:rFonts w:ascii="Georgia" w:hAnsi="Georgia"/>
          <w:sz w:val="24"/>
          <w:szCs w:val="24"/>
        </w:rPr>
        <w:t xml:space="preserve"> opportunity </w:t>
      </w:r>
      <w:r w:rsidR="009E1526">
        <w:rPr>
          <w:rFonts w:ascii="Georgia" w:hAnsi="Georgia"/>
          <w:sz w:val="24"/>
          <w:szCs w:val="24"/>
        </w:rPr>
        <w:t xml:space="preserve">to </w:t>
      </w:r>
      <w:r w:rsidR="000A0269">
        <w:rPr>
          <w:rFonts w:ascii="Georgia" w:hAnsi="Georgia"/>
          <w:sz w:val="24"/>
          <w:szCs w:val="24"/>
        </w:rPr>
        <w:t>earn</w:t>
      </w:r>
      <w:r w:rsidR="009E1526">
        <w:rPr>
          <w:rFonts w:ascii="Georgia" w:hAnsi="Georgia"/>
          <w:sz w:val="24"/>
          <w:szCs w:val="24"/>
        </w:rPr>
        <w:t xml:space="preserve"> guaranteed profits from operating </w:t>
      </w:r>
      <w:proofErr w:type="spellStart"/>
      <w:r w:rsidR="009E1526">
        <w:rPr>
          <w:rFonts w:ascii="Georgia" w:hAnsi="Georgia"/>
          <w:sz w:val="24"/>
          <w:szCs w:val="24"/>
        </w:rPr>
        <w:t>Greenlink</w:t>
      </w:r>
      <w:proofErr w:type="spellEnd"/>
      <w:r w:rsidR="009E1526">
        <w:rPr>
          <w:rFonts w:ascii="Georgia" w:hAnsi="Georgia"/>
          <w:sz w:val="24"/>
          <w:szCs w:val="24"/>
        </w:rPr>
        <w:t xml:space="preserve"> once the project is placed in </w:t>
      </w:r>
      <w:proofErr w:type="gramStart"/>
      <w:r w:rsidR="009E1526">
        <w:rPr>
          <w:rFonts w:ascii="Georgia" w:hAnsi="Georgia"/>
          <w:sz w:val="24"/>
          <w:szCs w:val="24"/>
        </w:rPr>
        <w:t xml:space="preserve">service, </w:t>
      </w:r>
      <w:r w:rsidR="006055A2">
        <w:rPr>
          <w:rFonts w:ascii="Georgia" w:hAnsi="Georgia"/>
          <w:sz w:val="24"/>
          <w:szCs w:val="24"/>
        </w:rPr>
        <w:t>when</w:t>
      </w:r>
      <w:proofErr w:type="gramEnd"/>
      <w:r w:rsidR="009E1526">
        <w:rPr>
          <w:rFonts w:ascii="Georgia" w:hAnsi="Georgia"/>
          <w:sz w:val="24"/>
          <w:szCs w:val="24"/>
        </w:rPr>
        <w:t xml:space="preserve"> consumers </w:t>
      </w:r>
      <w:r w:rsidR="006055A2">
        <w:rPr>
          <w:rFonts w:ascii="Georgia" w:hAnsi="Georgia"/>
          <w:sz w:val="24"/>
          <w:szCs w:val="24"/>
        </w:rPr>
        <w:t>can then pay for</w:t>
      </w:r>
      <w:r w:rsidR="009E1526">
        <w:rPr>
          <w:rFonts w:ascii="Georgia" w:hAnsi="Georgia"/>
          <w:sz w:val="24"/>
          <w:szCs w:val="24"/>
        </w:rPr>
        <w:t xml:space="preserve"> such “used and useful” assets.</w:t>
      </w:r>
    </w:p>
    <w:p w14:paraId="29AC5C6E" w14:textId="585FE40D" w:rsidR="00C20735" w:rsidRPr="00081A76" w:rsidRDefault="00C20735" w:rsidP="0061158F">
      <w:pPr>
        <w:rPr>
          <w:rFonts w:ascii="Georgia" w:hAnsi="Georgia"/>
          <w:sz w:val="24"/>
          <w:szCs w:val="24"/>
        </w:rPr>
      </w:pPr>
    </w:p>
    <w:p w14:paraId="4839FCE4" w14:textId="7F6A9DB1" w:rsidR="00AB7A2E" w:rsidRDefault="00AB7A2E" w:rsidP="00AB7A2E">
      <w:pPr>
        <w:rPr>
          <w:rFonts w:ascii="Georgia" w:hAnsi="Georgia"/>
          <w:sz w:val="24"/>
          <w:szCs w:val="24"/>
        </w:rPr>
      </w:pPr>
    </w:p>
    <w:p w14:paraId="064382E7" w14:textId="77777777" w:rsidR="00413130" w:rsidRDefault="00413130" w:rsidP="00AB7A2E">
      <w:pPr>
        <w:rPr>
          <w:rFonts w:ascii="Georgia" w:hAnsi="Georgia"/>
          <w:sz w:val="24"/>
          <w:szCs w:val="24"/>
        </w:rPr>
      </w:pPr>
    </w:p>
    <w:p w14:paraId="3F6D68F6" w14:textId="77777777" w:rsidR="00413130" w:rsidRPr="00081A76" w:rsidRDefault="00413130" w:rsidP="00AB7A2E">
      <w:pPr>
        <w:rPr>
          <w:rFonts w:ascii="Georgia" w:hAnsi="Georgia"/>
          <w:sz w:val="24"/>
          <w:szCs w:val="24"/>
        </w:rPr>
      </w:pPr>
    </w:p>
    <w:p w14:paraId="5CDDB269" w14:textId="5DCD858D"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1DAAF9D3" w14:textId="77777777" w:rsidR="0084649B" w:rsidRDefault="0084649B" w:rsidP="0084649B">
      <w:pPr>
        <w:rPr>
          <w:rFonts w:ascii="Georgia" w:hAnsi="Georgia"/>
          <w:sz w:val="24"/>
          <w:szCs w:val="24"/>
        </w:rPr>
      </w:pPr>
    </w:p>
    <w:p w14:paraId="5BDCDDFA" w14:textId="77183139"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1090A412" w14:textId="442BD324"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Public Citizen, Inc.</w:t>
      </w:r>
    </w:p>
    <w:p w14:paraId="75790B6D" w14:textId="28FE80F5"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688B468C" w14:textId="164683D3"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58349F9B" w14:textId="0014AA95" w:rsidR="0084649B" w:rsidRDefault="0084649B" w:rsidP="0084649B">
      <w:pPr>
        <w:rPr>
          <w:rFonts w:ascii="Georgia" w:hAnsi="Georgia"/>
          <w:sz w:val="24"/>
          <w:szCs w:val="24"/>
        </w:rPr>
      </w:pPr>
      <w:r>
        <w:rPr>
          <w:rFonts w:ascii="Georgia" w:hAnsi="Georgia"/>
          <w:sz w:val="24"/>
          <w:szCs w:val="24"/>
        </w:rPr>
        <w:tab/>
      </w:r>
      <w:r>
        <w:rPr>
          <w:rFonts w:ascii="Georgia" w:hAnsi="Georgia"/>
          <w:sz w:val="24"/>
          <w:szCs w:val="24"/>
        </w:rPr>
        <w:tab/>
        <w:t>(202) 454-5191</w:t>
      </w:r>
    </w:p>
    <w:p w14:paraId="51191730" w14:textId="3B135588" w:rsidR="0084649B" w:rsidRPr="00081A76" w:rsidRDefault="0084649B" w:rsidP="0084649B">
      <w:pPr>
        <w:rPr>
          <w:rFonts w:ascii="Georgia" w:hAnsi="Georgia"/>
          <w:sz w:val="24"/>
          <w:szCs w:val="24"/>
        </w:rPr>
      </w:pPr>
      <w:r>
        <w:rPr>
          <w:rFonts w:ascii="Georgia" w:hAnsi="Georgia"/>
          <w:sz w:val="24"/>
          <w:szCs w:val="24"/>
        </w:rPr>
        <w:tab/>
      </w:r>
      <w:r>
        <w:rPr>
          <w:rFonts w:ascii="Georgia" w:hAnsi="Georgia"/>
          <w:sz w:val="24"/>
          <w:szCs w:val="24"/>
        </w:rPr>
        <w:tab/>
        <w:t>tslocum@citizen.org</w:t>
      </w:r>
    </w:p>
    <w:sectPr w:rsidR="0084649B" w:rsidRPr="00081A76" w:rsidSect="00D83CC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06B0" w14:textId="77777777" w:rsidR="00377241" w:rsidRDefault="00377241" w:rsidP="00556A49">
      <w:r>
        <w:separator/>
      </w:r>
    </w:p>
  </w:endnote>
  <w:endnote w:type="continuationSeparator" w:id="0">
    <w:p w14:paraId="259E95E6" w14:textId="77777777" w:rsidR="00377241" w:rsidRDefault="00377241" w:rsidP="0055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110418"/>
      <w:docPartObj>
        <w:docPartGallery w:val="Page Numbers (Bottom of Page)"/>
        <w:docPartUnique/>
      </w:docPartObj>
    </w:sdtPr>
    <w:sdtEndPr>
      <w:rPr>
        <w:color w:val="7F7F7F" w:themeColor="background1" w:themeShade="7F"/>
        <w:spacing w:val="60"/>
      </w:rPr>
    </w:sdtEndPr>
    <w:sdtContent>
      <w:p w14:paraId="2A69DC43" w14:textId="6E288483" w:rsidR="00D83CC9" w:rsidRDefault="00D83CC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F97787" w14:textId="77777777" w:rsidR="00D83CC9" w:rsidRDefault="00D8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87FB" w14:textId="77777777" w:rsidR="00377241" w:rsidRDefault="00377241" w:rsidP="00556A49">
      <w:r>
        <w:separator/>
      </w:r>
    </w:p>
  </w:footnote>
  <w:footnote w:type="continuationSeparator" w:id="0">
    <w:p w14:paraId="6DEAD918" w14:textId="77777777" w:rsidR="00377241" w:rsidRDefault="00377241" w:rsidP="00556A49">
      <w:r>
        <w:continuationSeparator/>
      </w:r>
    </w:p>
  </w:footnote>
  <w:footnote w:id="1">
    <w:p w14:paraId="6F971374" w14:textId="231022B4" w:rsidR="00207333" w:rsidRDefault="00207333">
      <w:pPr>
        <w:pStyle w:val="FootnoteText"/>
      </w:pPr>
      <w:r>
        <w:rPr>
          <w:rStyle w:val="FootnoteReference"/>
        </w:rPr>
        <w:footnoteRef/>
      </w:r>
      <w:r>
        <w:t xml:space="preserve"> </w:t>
      </w:r>
      <w:r w:rsidRPr="00207333">
        <w:rPr>
          <w:rFonts w:ascii="Georgia" w:hAnsi="Georgia"/>
        </w:rPr>
        <w:t>www.congress.gov/bill/117th-congress/house-bill/3684/text</w:t>
      </w:r>
    </w:p>
  </w:footnote>
  <w:footnote w:id="2">
    <w:p w14:paraId="645B1325" w14:textId="3CE57E02" w:rsidR="007C3DDD" w:rsidRDefault="007C3DDD">
      <w:pPr>
        <w:pStyle w:val="FootnoteText"/>
      </w:pPr>
      <w:r>
        <w:rPr>
          <w:rStyle w:val="FootnoteReference"/>
        </w:rPr>
        <w:footnoteRef/>
      </w:r>
      <w:r>
        <w:t xml:space="preserve"> </w:t>
      </w:r>
      <w:r w:rsidRPr="007C3DDD">
        <w:rPr>
          <w:rFonts w:ascii="Georgia" w:hAnsi="Georgia"/>
        </w:rPr>
        <w:t>Petition, at page 3.</w:t>
      </w:r>
    </w:p>
  </w:footnote>
  <w:footnote w:id="3">
    <w:p w14:paraId="17400CED" w14:textId="45CA8269" w:rsidR="006E5FA7" w:rsidRDefault="006E5FA7">
      <w:pPr>
        <w:pStyle w:val="FootnoteText"/>
      </w:pPr>
      <w:r>
        <w:rPr>
          <w:rStyle w:val="FootnoteReference"/>
        </w:rPr>
        <w:footnoteRef/>
      </w:r>
      <w:r>
        <w:t xml:space="preserve"> </w:t>
      </w:r>
      <w:r w:rsidRPr="006E5FA7">
        <w:rPr>
          <w:rFonts w:ascii="Georgia" w:hAnsi="Georgia"/>
        </w:rPr>
        <w:t xml:space="preserve">Commissioner Christie concurring statement, </w:t>
      </w:r>
      <w:r w:rsidRPr="006E5FA7">
        <w:rPr>
          <w:rFonts w:ascii="Georgia" w:hAnsi="Georgia"/>
          <w:i/>
          <w:iCs/>
        </w:rPr>
        <w:t>Order Granting Abandoned Plant Incentive</w:t>
      </w:r>
      <w:r w:rsidRPr="006E5FA7">
        <w:rPr>
          <w:rFonts w:ascii="Georgia" w:hAnsi="Georgia"/>
        </w:rPr>
        <w:t>, Docket No. ER22-1886, Issued July 15, 2022.</w:t>
      </w:r>
    </w:p>
  </w:footnote>
  <w:footnote w:id="4">
    <w:p w14:paraId="4856368C" w14:textId="77777777" w:rsidR="009B600B" w:rsidRDefault="009B600B" w:rsidP="009B600B">
      <w:pPr>
        <w:pStyle w:val="FootnoteText"/>
      </w:pPr>
      <w:r>
        <w:rPr>
          <w:rStyle w:val="FootnoteReference"/>
        </w:rPr>
        <w:footnoteRef/>
      </w:r>
      <w:r>
        <w:t xml:space="preserve"> </w:t>
      </w:r>
      <w:r w:rsidRPr="00872F6E">
        <w:rPr>
          <w:rFonts w:ascii="Georgia" w:hAnsi="Georgia"/>
          <w:i/>
          <w:iCs/>
        </w:rPr>
        <w:t>Promoting Transmission Investment through Pricing Reform</w:t>
      </w:r>
      <w:r w:rsidRPr="007B61E7">
        <w:rPr>
          <w:rFonts w:ascii="Georgia" w:hAnsi="Georgia"/>
        </w:rPr>
        <w:t xml:space="preserve">, Docket No. RM06-4, issued July 20, 2006, at </w:t>
      </w:r>
      <w:r>
        <w:rPr>
          <w:rFonts w:ascii="Georgia" w:hAnsi="Georgia"/>
        </w:rPr>
        <w:t>paragraphs 6, 26, 2 and 116</w:t>
      </w:r>
      <w:r w:rsidRPr="007B61E7">
        <w:rPr>
          <w:rFonts w:ascii="Georgia" w:hAnsi="Georgia"/>
        </w:rPr>
        <w:t>, www.ferc.gov/sites/default/files/2020-05/E-3_69.pdf</w:t>
      </w:r>
    </w:p>
  </w:footnote>
  <w:footnote w:id="5">
    <w:p w14:paraId="4518DAF5" w14:textId="0DFE36A4" w:rsidR="00D25903" w:rsidRDefault="00D25903">
      <w:pPr>
        <w:pStyle w:val="FootnoteText"/>
      </w:pPr>
      <w:r>
        <w:rPr>
          <w:rStyle w:val="FootnoteReference"/>
        </w:rPr>
        <w:footnoteRef/>
      </w:r>
      <w:r>
        <w:t xml:space="preserve"> </w:t>
      </w:r>
      <w:r w:rsidRPr="00D25903">
        <w:rPr>
          <w:rFonts w:ascii="Georgia" w:hAnsi="Georgia"/>
        </w:rPr>
        <w:t>www.leg.state.nv.us/App/NELIS/REL/81st2021/Bill/8201/Overview</w:t>
      </w:r>
    </w:p>
  </w:footnote>
  <w:footnote w:id="6">
    <w:p w14:paraId="72C402BF" w14:textId="6B9663CF" w:rsidR="00700D27" w:rsidRDefault="00700D27">
      <w:pPr>
        <w:pStyle w:val="FootnoteText"/>
      </w:pPr>
      <w:r>
        <w:rPr>
          <w:rStyle w:val="FootnoteReference"/>
        </w:rPr>
        <w:footnoteRef/>
      </w:r>
      <w:r>
        <w:t xml:space="preserve"> </w:t>
      </w:r>
      <w:r w:rsidRPr="00700D27">
        <w:rPr>
          <w:rFonts w:ascii="Georgia" w:hAnsi="Georgia"/>
        </w:rPr>
        <w:t>Transcript of Nevada Senate Committee on Growth and Infrastructure hearing, May 17, 2021, at page 32, www.leg.state.nv.us/Session/81st2021/Minutes/Senate/GRI/Final/1254.pdf</w:t>
      </w:r>
    </w:p>
  </w:footnote>
  <w:footnote w:id="7">
    <w:p w14:paraId="2D3CB938" w14:textId="77777777" w:rsidR="00064992" w:rsidRDefault="00064992" w:rsidP="00064992">
      <w:pPr>
        <w:pStyle w:val="FootnoteText"/>
      </w:pPr>
      <w:r>
        <w:rPr>
          <w:rStyle w:val="FootnoteReference"/>
        </w:rPr>
        <w:footnoteRef/>
      </w:r>
      <w:r>
        <w:t xml:space="preserve"> </w:t>
      </w:r>
      <w:r w:rsidRPr="008D56C7">
        <w:rPr>
          <w:rFonts w:ascii="Georgia" w:hAnsi="Georgia"/>
        </w:rPr>
        <w:t>www.sec.gov/ix?doc=/Archives/edgar/data/1067983/000156459022007322/brka-10k_20211231.htm</w:t>
      </w:r>
    </w:p>
  </w:footnote>
  <w:footnote w:id="8">
    <w:p w14:paraId="30109CE4" w14:textId="32869949" w:rsidR="008B4CAB" w:rsidRDefault="008B4CAB">
      <w:pPr>
        <w:pStyle w:val="FootnoteText"/>
      </w:pPr>
      <w:r>
        <w:rPr>
          <w:rStyle w:val="FootnoteReference"/>
        </w:rPr>
        <w:footnoteRef/>
      </w:r>
      <w:r>
        <w:t xml:space="preserve"> </w:t>
      </w:r>
      <w:r w:rsidRPr="008B4CAB">
        <w:rPr>
          <w:rFonts w:ascii="Georgia" w:hAnsi="Georgia"/>
        </w:rPr>
        <w:t>www.moodys.com/credit-ratings/Berkshire-Hathaway-Inc-credit-rating-600046928</w:t>
      </w:r>
    </w:p>
  </w:footnote>
  <w:footnote w:id="9">
    <w:p w14:paraId="351E2D86" w14:textId="0693848C" w:rsidR="002E275D" w:rsidRDefault="002E275D">
      <w:pPr>
        <w:pStyle w:val="FootnoteText"/>
      </w:pPr>
      <w:r>
        <w:rPr>
          <w:rStyle w:val="FootnoteReference"/>
        </w:rPr>
        <w:footnoteRef/>
      </w:r>
      <w:r>
        <w:t xml:space="preserve"> </w:t>
      </w:r>
      <w:r w:rsidRPr="00A31833">
        <w:rPr>
          <w:rFonts w:ascii="Georgia" w:hAnsi="Georgia"/>
        </w:rPr>
        <w:t>FERC Docket No. EC22-87.</w:t>
      </w:r>
    </w:p>
  </w:footnote>
  <w:footnote w:id="10">
    <w:p w14:paraId="5C302B8C" w14:textId="7D0A0CA2" w:rsidR="000A1A3D" w:rsidRDefault="000A1A3D">
      <w:pPr>
        <w:pStyle w:val="FootnoteText"/>
      </w:pPr>
      <w:r>
        <w:rPr>
          <w:rStyle w:val="FootnoteReference"/>
        </w:rPr>
        <w:footnoteRef/>
      </w:r>
      <w:r>
        <w:t xml:space="preserve"> </w:t>
      </w:r>
      <w:r w:rsidR="006013C1" w:rsidRPr="006013C1">
        <w:rPr>
          <w:rFonts w:ascii="Georgia" w:hAnsi="Georgia"/>
        </w:rPr>
        <w:t xml:space="preserve">Nevada Power and Sierra Pacific themselves </w:t>
      </w:r>
      <w:r w:rsidR="00276F42">
        <w:rPr>
          <w:rFonts w:ascii="Georgia" w:hAnsi="Georgia"/>
        </w:rPr>
        <w:t xml:space="preserve">had </w:t>
      </w:r>
      <w:r w:rsidR="006013C1" w:rsidRPr="006013C1">
        <w:rPr>
          <w:rFonts w:ascii="Georgia" w:hAnsi="Georgia"/>
        </w:rPr>
        <w:t>merged in 1999.</w:t>
      </w:r>
    </w:p>
  </w:footnote>
  <w:footnote w:id="11">
    <w:p w14:paraId="1C1C30E8" w14:textId="4C396A00" w:rsidR="00EA51AB" w:rsidRDefault="00EA51AB">
      <w:pPr>
        <w:pStyle w:val="FootnoteText"/>
      </w:pPr>
      <w:r>
        <w:rPr>
          <w:rStyle w:val="FootnoteReference"/>
        </w:rPr>
        <w:footnoteRef/>
      </w:r>
      <w:r>
        <w:t xml:space="preserve"> </w:t>
      </w:r>
      <w:r w:rsidRPr="00EA51AB">
        <w:rPr>
          <w:rFonts w:ascii="Georgia" w:hAnsi="Georgia"/>
          <w:i/>
          <w:iCs/>
        </w:rPr>
        <w:t>Joint Application for Authorization under Section 203 of the Federal Power Act</w:t>
      </w:r>
      <w:r w:rsidRPr="00EA51AB">
        <w:rPr>
          <w:rFonts w:ascii="Georgia" w:hAnsi="Georgia"/>
        </w:rPr>
        <w:t>, Docket No. EC13-128, at page 2.</w:t>
      </w:r>
    </w:p>
  </w:footnote>
  <w:footnote w:id="12">
    <w:p w14:paraId="0C384664" w14:textId="3F4045EE" w:rsidR="00D652F3" w:rsidRDefault="00D652F3">
      <w:pPr>
        <w:pStyle w:val="FootnoteText"/>
      </w:pPr>
      <w:r>
        <w:rPr>
          <w:rStyle w:val="FootnoteReference"/>
        </w:rPr>
        <w:footnoteRef/>
      </w:r>
      <w:r>
        <w:t xml:space="preserve"> </w:t>
      </w:r>
      <w:r w:rsidR="00833B20">
        <w:rPr>
          <w:rFonts w:ascii="Georgia" w:hAnsi="Georgia"/>
        </w:rPr>
        <w:t>Suggested</w:t>
      </w:r>
      <w:r w:rsidRPr="00D652F3">
        <w:rPr>
          <w:rFonts w:ascii="Georgia" w:hAnsi="Georgia"/>
        </w:rPr>
        <w:t xml:space="preserve"> reading on the ill-effects of the Commission's permissive merger policy </w:t>
      </w:r>
      <w:r w:rsidR="003F409D">
        <w:rPr>
          <w:rFonts w:ascii="Georgia" w:hAnsi="Georgia"/>
        </w:rPr>
        <w:t>would include</w:t>
      </w:r>
      <w:r w:rsidRPr="00D652F3">
        <w:rPr>
          <w:rFonts w:ascii="Georgia" w:hAnsi="Georgia"/>
        </w:rPr>
        <w:t xml:space="preserve"> Scott </w:t>
      </w:r>
      <w:proofErr w:type="spellStart"/>
      <w:r w:rsidRPr="00D652F3">
        <w:rPr>
          <w:rFonts w:ascii="Georgia" w:hAnsi="Georgia"/>
        </w:rPr>
        <w:t>H</w:t>
      </w:r>
      <w:r w:rsidR="00586C26">
        <w:rPr>
          <w:rFonts w:ascii="Georgia" w:hAnsi="Georgia"/>
        </w:rPr>
        <w:t>e</w:t>
      </w:r>
      <w:r w:rsidRPr="00D652F3">
        <w:rPr>
          <w:rFonts w:ascii="Georgia" w:hAnsi="Georgia"/>
        </w:rPr>
        <w:t>mpling's</w:t>
      </w:r>
      <w:proofErr w:type="spellEnd"/>
      <w:r w:rsidRPr="00D652F3">
        <w:rPr>
          <w:rFonts w:ascii="Georgia" w:hAnsi="Georgia"/>
        </w:rPr>
        <w:t xml:space="preserve"> </w:t>
      </w:r>
      <w:r w:rsidRPr="00D652F3">
        <w:rPr>
          <w:rFonts w:ascii="Georgia" w:hAnsi="Georgia"/>
          <w:i/>
          <w:iCs/>
        </w:rPr>
        <w:t xml:space="preserve">Regulating Mergers and </w:t>
      </w:r>
      <w:r w:rsidR="00586C26" w:rsidRPr="00D652F3">
        <w:rPr>
          <w:rFonts w:ascii="Georgia" w:hAnsi="Georgia"/>
          <w:i/>
          <w:iCs/>
        </w:rPr>
        <w:t>Acquisitions</w:t>
      </w:r>
      <w:r w:rsidRPr="00D652F3">
        <w:rPr>
          <w:rFonts w:ascii="Georgia" w:hAnsi="Georgia"/>
          <w:i/>
          <w:iCs/>
        </w:rPr>
        <w:t xml:space="preserve"> of U.S. Electric Utilities: Industry Concentration and Corporate Complication.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C8C" w14:textId="7C326E89" w:rsidR="004C4478" w:rsidRPr="004C4478" w:rsidRDefault="004C4478" w:rsidP="004C4478">
    <w:pPr>
      <w:pStyle w:val="Header"/>
      <w:jc w:val="center"/>
      <w:rPr>
        <w:rFonts w:ascii="Georgia" w:hAnsi="Georgia"/>
        <w:i/>
        <w:iCs/>
      </w:rPr>
    </w:pPr>
    <w:r w:rsidRPr="004C4478">
      <w:rPr>
        <w:rFonts w:ascii="Georgia" w:hAnsi="Georgia"/>
        <w:i/>
        <w:iCs/>
      </w:rPr>
      <w:t xml:space="preserve">Public Citizen Protest • August 1, </w:t>
    </w:r>
    <w:proofErr w:type="gramStart"/>
    <w:r w:rsidRPr="004C4478">
      <w:rPr>
        <w:rFonts w:ascii="Georgia" w:hAnsi="Georgia"/>
        <w:i/>
        <w:iCs/>
      </w:rPr>
      <w:t>2022</w:t>
    </w:r>
    <w:proofErr w:type="gramEnd"/>
    <w:r w:rsidRPr="004C4478">
      <w:rPr>
        <w:rFonts w:ascii="Georgia" w:hAnsi="Georgia"/>
        <w:i/>
        <w:iCs/>
      </w:rPr>
      <w:t xml:space="preserve"> • Docket No. EL22-73</w:t>
    </w:r>
  </w:p>
  <w:p w14:paraId="7A16638B" w14:textId="77777777" w:rsidR="004C4478" w:rsidRDefault="004C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8F"/>
    <w:rsid w:val="00000174"/>
    <w:rsid w:val="00007654"/>
    <w:rsid w:val="00010D67"/>
    <w:rsid w:val="00021F69"/>
    <w:rsid w:val="00027001"/>
    <w:rsid w:val="00034BDB"/>
    <w:rsid w:val="000362F9"/>
    <w:rsid w:val="00036869"/>
    <w:rsid w:val="0004270F"/>
    <w:rsid w:val="0005677B"/>
    <w:rsid w:val="00064553"/>
    <w:rsid w:val="00064992"/>
    <w:rsid w:val="00064AE6"/>
    <w:rsid w:val="000663E2"/>
    <w:rsid w:val="00067493"/>
    <w:rsid w:val="000756BD"/>
    <w:rsid w:val="00081A76"/>
    <w:rsid w:val="00092166"/>
    <w:rsid w:val="000A0269"/>
    <w:rsid w:val="000A1A3D"/>
    <w:rsid w:val="000A43BE"/>
    <w:rsid w:val="000A72D5"/>
    <w:rsid w:val="000B3429"/>
    <w:rsid w:val="000B3F42"/>
    <w:rsid w:val="000C1645"/>
    <w:rsid w:val="000C16E2"/>
    <w:rsid w:val="000D15DE"/>
    <w:rsid w:val="000D1F66"/>
    <w:rsid w:val="000D5999"/>
    <w:rsid w:val="000D632E"/>
    <w:rsid w:val="000D7425"/>
    <w:rsid w:val="000E513E"/>
    <w:rsid w:val="000E7D29"/>
    <w:rsid w:val="000F4965"/>
    <w:rsid w:val="001012BF"/>
    <w:rsid w:val="00112764"/>
    <w:rsid w:val="00125CFB"/>
    <w:rsid w:val="001317C8"/>
    <w:rsid w:val="0014148F"/>
    <w:rsid w:val="001468B3"/>
    <w:rsid w:val="00167204"/>
    <w:rsid w:val="00171ACC"/>
    <w:rsid w:val="00172312"/>
    <w:rsid w:val="00184951"/>
    <w:rsid w:val="00186819"/>
    <w:rsid w:val="001904CB"/>
    <w:rsid w:val="00190D20"/>
    <w:rsid w:val="00193776"/>
    <w:rsid w:val="0019624A"/>
    <w:rsid w:val="001A5201"/>
    <w:rsid w:val="001C248A"/>
    <w:rsid w:val="001C332B"/>
    <w:rsid w:val="001C40F3"/>
    <w:rsid w:val="001C55E2"/>
    <w:rsid w:val="001C6275"/>
    <w:rsid w:val="001D42A6"/>
    <w:rsid w:val="001E043F"/>
    <w:rsid w:val="001E62CC"/>
    <w:rsid w:val="00207333"/>
    <w:rsid w:val="002254D3"/>
    <w:rsid w:val="00237AA3"/>
    <w:rsid w:val="00242876"/>
    <w:rsid w:val="00242C6B"/>
    <w:rsid w:val="002454B6"/>
    <w:rsid w:val="002556FE"/>
    <w:rsid w:val="00263436"/>
    <w:rsid w:val="00263DC0"/>
    <w:rsid w:val="00264B03"/>
    <w:rsid w:val="00265348"/>
    <w:rsid w:val="00270EC1"/>
    <w:rsid w:val="00276F42"/>
    <w:rsid w:val="0028084F"/>
    <w:rsid w:val="00282721"/>
    <w:rsid w:val="00290000"/>
    <w:rsid w:val="00295D88"/>
    <w:rsid w:val="00296DAC"/>
    <w:rsid w:val="002A1608"/>
    <w:rsid w:val="002B2F5A"/>
    <w:rsid w:val="002B6F78"/>
    <w:rsid w:val="002E0565"/>
    <w:rsid w:val="002E275D"/>
    <w:rsid w:val="002F2E92"/>
    <w:rsid w:val="002F6686"/>
    <w:rsid w:val="003053C0"/>
    <w:rsid w:val="0030773A"/>
    <w:rsid w:val="00321F32"/>
    <w:rsid w:val="00327CF1"/>
    <w:rsid w:val="003312EC"/>
    <w:rsid w:val="00331995"/>
    <w:rsid w:val="0034752C"/>
    <w:rsid w:val="00347676"/>
    <w:rsid w:val="00350AD9"/>
    <w:rsid w:val="00357DAA"/>
    <w:rsid w:val="003617D8"/>
    <w:rsid w:val="0036427C"/>
    <w:rsid w:val="003654FF"/>
    <w:rsid w:val="00377241"/>
    <w:rsid w:val="003868B2"/>
    <w:rsid w:val="003A133D"/>
    <w:rsid w:val="003A2B0A"/>
    <w:rsid w:val="003B6AD1"/>
    <w:rsid w:val="003C04CF"/>
    <w:rsid w:val="003C1061"/>
    <w:rsid w:val="003C4039"/>
    <w:rsid w:val="003D79E6"/>
    <w:rsid w:val="003E0210"/>
    <w:rsid w:val="003E0D39"/>
    <w:rsid w:val="003E5908"/>
    <w:rsid w:val="003E6289"/>
    <w:rsid w:val="003E6FB3"/>
    <w:rsid w:val="003F22C6"/>
    <w:rsid w:val="003F409D"/>
    <w:rsid w:val="003F61D8"/>
    <w:rsid w:val="004003C1"/>
    <w:rsid w:val="00413130"/>
    <w:rsid w:val="0042537D"/>
    <w:rsid w:val="004309DA"/>
    <w:rsid w:val="00433923"/>
    <w:rsid w:val="00442409"/>
    <w:rsid w:val="004562FD"/>
    <w:rsid w:val="00456615"/>
    <w:rsid w:val="004638C2"/>
    <w:rsid w:val="00467400"/>
    <w:rsid w:val="00472ABF"/>
    <w:rsid w:val="00477520"/>
    <w:rsid w:val="00482FB7"/>
    <w:rsid w:val="00490A7E"/>
    <w:rsid w:val="00496586"/>
    <w:rsid w:val="00497FF2"/>
    <w:rsid w:val="004A18AE"/>
    <w:rsid w:val="004B7606"/>
    <w:rsid w:val="004C0ED3"/>
    <w:rsid w:val="004C124E"/>
    <w:rsid w:val="004C4478"/>
    <w:rsid w:val="004C6321"/>
    <w:rsid w:val="004D66E4"/>
    <w:rsid w:val="004F0CC2"/>
    <w:rsid w:val="004F10F7"/>
    <w:rsid w:val="004F527C"/>
    <w:rsid w:val="005019C7"/>
    <w:rsid w:val="00501CC4"/>
    <w:rsid w:val="00513AB9"/>
    <w:rsid w:val="00523AC5"/>
    <w:rsid w:val="005251EC"/>
    <w:rsid w:val="00525B75"/>
    <w:rsid w:val="0052610D"/>
    <w:rsid w:val="005264D1"/>
    <w:rsid w:val="00532B10"/>
    <w:rsid w:val="00545154"/>
    <w:rsid w:val="00545441"/>
    <w:rsid w:val="005510A9"/>
    <w:rsid w:val="005543A5"/>
    <w:rsid w:val="00556A49"/>
    <w:rsid w:val="00556B03"/>
    <w:rsid w:val="00560719"/>
    <w:rsid w:val="00564802"/>
    <w:rsid w:val="00586C26"/>
    <w:rsid w:val="00591303"/>
    <w:rsid w:val="00592858"/>
    <w:rsid w:val="0059465B"/>
    <w:rsid w:val="005A4A20"/>
    <w:rsid w:val="005B406D"/>
    <w:rsid w:val="005B73A3"/>
    <w:rsid w:val="005C5C58"/>
    <w:rsid w:val="005D07CC"/>
    <w:rsid w:val="005D5260"/>
    <w:rsid w:val="005E294D"/>
    <w:rsid w:val="005E2975"/>
    <w:rsid w:val="005E7E07"/>
    <w:rsid w:val="005F6719"/>
    <w:rsid w:val="005F6FD2"/>
    <w:rsid w:val="006013C1"/>
    <w:rsid w:val="00601C74"/>
    <w:rsid w:val="006055A2"/>
    <w:rsid w:val="0061158F"/>
    <w:rsid w:val="006142B9"/>
    <w:rsid w:val="006152E5"/>
    <w:rsid w:val="00617D57"/>
    <w:rsid w:val="00631698"/>
    <w:rsid w:val="00631C68"/>
    <w:rsid w:val="00636DF4"/>
    <w:rsid w:val="00641012"/>
    <w:rsid w:val="006443BB"/>
    <w:rsid w:val="0064511B"/>
    <w:rsid w:val="0065036B"/>
    <w:rsid w:val="00650669"/>
    <w:rsid w:val="006540DB"/>
    <w:rsid w:val="00654A6C"/>
    <w:rsid w:val="00663A3D"/>
    <w:rsid w:val="006656FF"/>
    <w:rsid w:val="006702E1"/>
    <w:rsid w:val="00670DC8"/>
    <w:rsid w:val="00671A21"/>
    <w:rsid w:val="0067321E"/>
    <w:rsid w:val="00684D6A"/>
    <w:rsid w:val="006859B0"/>
    <w:rsid w:val="00686E39"/>
    <w:rsid w:val="006926C5"/>
    <w:rsid w:val="006A45A8"/>
    <w:rsid w:val="006B2ADE"/>
    <w:rsid w:val="006B5C77"/>
    <w:rsid w:val="006D375F"/>
    <w:rsid w:val="006E5FA7"/>
    <w:rsid w:val="006E77DF"/>
    <w:rsid w:val="00700D27"/>
    <w:rsid w:val="00701675"/>
    <w:rsid w:val="0070662B"/>
    <w:rsid w:val="00710084"/>
    <w:rsid w:val="0071125B"/>
    <w:rsid w:val="00714BCD"/>
    <w:rsid w:val="00715ADA"/>
    <w:rsid w:val="0071739E"/>
    <w:rsid w:val="00725CA5"/>
    <w:rsid w:val="00731CD5"/>
    <w:rsid w:val="00747FCD"/>
    <w:rsid w:val="00751BA9"/>
    <w:rsid w:val="00752D5E"/>
    <w:rsid w:val="00756F48"/>
    <w:rsid w:val="0078376F"/>
    <w:rsid w:val="00783F48"/>
    <w:rsid w:val="0078441F"/>
    <w:rsid w:val="0079649C"/>
    <w:rsid w:val="007A1610"/>
    <w:rsid w:val="007A1E23"/>
    <w:rsid w:val="007A4511"/>
    <w:rsid w:val="007B317A"/>
    <w:rsid w:val="007B3ED1"/>
    <w:rsid w:val="007B6025"/>
    <w:rsid w:val="007B61E7"/>
    <w:rsid w:val="007B6B6C"/>
    <w:rsid w:val="007C3DDD"/>
    <w:rsid w:val="007C475D"/>
    <w:rsid w:val="007C5D00"/>
    <w:rsid w:val="008000AB"/>
    <w:rsid w:val="00817DA1"/>
    <w:rsid w:val="008217D5"/>
    <w:rsid w:val="00824D30"/>
    <w:rsid w:val="00826E9E"/>
    <w:rsid w:val="008324E6"/>
    <w:rsid w:val="00833B20"/>
    <w:rsid w:val="00842B8A"/>
    <w:rsid w:val="00842EAF"/>
    <w:rsid w:val="0084649B"/>
    <w:rsid w:val="00846BE0"/>
    <w:rsid w:val="00854CFE"/>
    <w:rsid w:val="00855634"/>
    <w:rsid w:val="00855A13"/>
    <w:rsid w:val="00860778"/>
    <w:rsid w:val="0086402B"/>
    <w:rsid w:val="00872F6E"/>
    <w:rsid w:val="00882E20"/>
    <w:rsid w:val="0089391D"/>
    <w:rsid w:val="008A005C"/>
    <w:rsid w:val="008A5EF1"/>
    <w:rsid w:val="008A653B"/>
    <w:rsid w:val="008B3A2A"/>
    <w:rsid w:val="008B4CAB"/>
    <w:rsid w:val="008C27C3"/>
    <w:rsid w:val="008C2D35"/>
    <w:rsid w:val="008C4B9F"/>
    <w:rsid w:val="008D56C7"/>
    <w:rsid w:val="008E252E"/>
    <w:rsid w:val="00916765"/>
    <w:rsid w:val="0092296A"/>
    <w:rsid w:val="00924EE6"/>
    <w:rsid w:val="00934051"/>
    <w:rsid w:val="009418BA"/>
    <w:rsid w:val="009459D5"/>
    <w:rsid w:val="009505B9"/>
    <w:rsid w:val="00956857"/>
    <w:rsid w:val="00967475"/>
    <w:rsid w:val="0097716D"/>
    <w:rsid w:val="00981D59"/>
    <w:rsid w:val="00984803"/>
    <w:rsid w:val="0099015E"/>
    <w:rsid w:val="009A5096"/>
    <w:rsid w:val="009A65BD"/>
    <w:rsid w:val="009A7856"/>
    <w:rsid w:val="009B0132"/>
    <w:rsid w:val="009B600B"/>
    <w:rsid w:val="009E1526"/>
    <w:rsid w:val="009F5FCB"/>
    <w:rsid w:val="00A03285"/>
    <w:rsid w:val="00A056D5"/>
    <w:rsid w:val="00A06B7E"/>
    <w:rsid w:val="00A2106E"/>
    <w:rsid w:val="00A2295D"/>
    <w:rsid w:val="00A31833"/>
    <w:rsid w:val="00A32652"/>
    <w:rsid w:val="00A34F27"/>
    <w:rsid w:val="00A418A4"/>
    <w:rsid w:val="00A41EF0"/>
    <w:rsid w:val="00A42C50"/>
    <w:rsid w:val="00A454C1"/>
    <w:rsid w:val="00A4618C"/>
    <w:rsid w:val="00A523E1"/>
    <w:rsid w:val="00A702B5"/>
    <w:rsid w:val="00A70D91"/>
    <w:rsid w:val="00A7134A"/>
    <w:rsid w:val="00A718E4"/>
    <w:rsid w:val="00A75F42"/>
    <w:rsid w:val="00A83052"/>
    <w:rsid w:val="00A86B15"/>
    <w:rsid w:val="00A91E12"/>
    <w:rsid w:val="00AB0682"/>
    <w:rsid w:val="00AB45E5"/>
    <w:rsid w:val="00AB7A2E"/>
    <w:rsid w:val="00AC0E47"/>
    <w:rsid w:val="00AC2606"/>
    <w:rsid w:val="00AC3FF1"/>
    <w:rsid w:val="00AD0EE2"/>
    <w:rsid w:val="00AD760E"/>
    <w:rsid w:val="00AE067B"/>
    <w:rsid w:val="00AE33B1"/>
    <w:rsid w:val="00AE3B50"/>
    <w:rsid w:val="00AF0FBD"/>
    <w:rsid w:val="00B03DFA"/>
    <w:rsid w:val="00B06E40"/>
    <w:rsid w:val="00B139C1"/>
    <w:rsid w:val="00B139F6"/>
    <w:rsid w:val="00B17012"/>
    <w:rsid w:val="00B17751"/>
    <w:rsid w:val="00B23B7E"/>
    <w:rsid w:val="00B27AEC"/>
    <w:rsid w:val="00B451EE"/>
    <w:rsid w:val="00B465AB"/>
    <w:rsid w:val="00B46622"/>
    <w:rsid w:val="00B46E8F"/>
    <w:rsid w:val="00B53DEB"/>
    <w:rsid w:val="00B664F3"/>
    <w:rsid w:val="00B71C2D"/>
    <w:rsid w:val="00B76803"/>
    <w:rsid w:val="00B85A3A"/>
    <w:rsid w:val="00B85BC9"/>
    <w:rsid w:val="00B92311"/>
    <w:rsid w:val="00BA0BB0"/>
    <w:rsid w:val="00BA6F03"/>
    <w:rsid w:val="00BB5DBF"/>
    <w:rsid w:val="00BD04BF"/>
    <w:rsid w:val="00BE0A6A"/>
    <w:rsid w:val="00BE28A8"/>
    <w:rsid w:val="00BE61DD"/>
    <w:rsid w:val="00BF12FD"/>
    <w:rsid w:val="00C15C9F"/>
    <w:rsid w:val="00C17D49"/>
    <w:rsid w:val="00C20735"/>
    <w:rsid w:val="00C21F72"/>
    <w:rsid w:val="00C25104"/>
    <w:rsid w:val="00C26375"/>
    <w:rsid w:val="00C33B55"/>
    <w:rsid w:val="00C42663"/>
    <w:rsid w:val="00C613FC"/>
    <w:rsid w:val="00C66964"/>
    <w:rsid w:val="00C740BB"/>
    <w:rsid w:val="00C7721F"/>
    <w:rsid w:val="00C8110E"/>
    <w:rsid w:val="00C8655A"/>
    <w:rsid w:val="00C8655E"/>
    <w:rsid w:val="00C90688"/>
    <w:rsid w:val="00C92A84"/>
    <w:rsid w:val="00C95F9D"/>
    <w:rsid w:val="00C96F93"/>
    <w:rsid w:val="00CA0043"/>
    <w:rsid w:val="00CA14A4"/>
    <w:rsid w:val="00CA57FE"/>
    <w:rsid w:val="00CA7555"/>
    <w:rsid w:val="00CB58C2"/>
    <w:rsid w:val="00CB5E6F"/>
    <w:rsid w:val="00CC5C45"/>
    <w:rsid w:val="00CE13AE"/>
    <w:rsid w:val="00CF3114"/>
    <w:rsid w:val="00CF3951"/>
    <w:rsid w:val="00CF5284"/>
    <w:rsid w:val="00D01E4F"/>
    <w:rsid w:val="00D03230"/>
    <w:rsid w:val="00D12E8B"/>
    <w:rsid w:val="00D25903"/>
    <w:rsid w:val="00D32267"/>
    <w:rsid w:val="00D33EF9"/>
    <w:rsid w:val="00D35BDE"/>
    <w:rsid w:val="00D3650D"/>
    <w:rsid w:val="00D50679"/>
    <w:rsid w:val="00D54E29"/>
    <w:rsid w:val="00D57E0D"/>
    <w:rsid w:val="00D652F3"/>
    <w:rsid w:val="00D66AF6"/>
    <w:rsid w:val="00D70B68"/>
    <w:rsid w:val="00D77A10"/>
    <w:rsid w:val="00D83CC9"/>
    <w:rsid w:val="00D859A5"/>
    <w:rsid w:val="00DC6EA9"/>
    <w:rsid w:val="00DC7703"/>
    <w:rsid w:val="00DE0CCD"/>
    <w:rsid w:val="00DF7A8D"/>
    <w:rsid w:val="00E05C9E"/>
    <w:rsid w:val="00E13652"/>
    <w:rsid w:val="00E2010A"/>
    <w:rsid w:val="00E21E89"/>
    <w:rsid w:val="00E22A99"/>
    <w:rsid w:val="00E24389"/>
    <w:rsid w:val="00E24E47"/>
    <w:rsid w:val="00E30ADB"/>
    <w:rsid w:val="00E37342"/>
    <w:rsid w:val="00E47BF3"/>
    <w:rsid w:val="00E50C48"/>
    <w:rsid w:val="00E52409"/>
    <w:rsid w:val="00E82CEE"/>
    <w:rsid w:val="00E87AEB"/>
    <w:rsid w:val="00E929FA"/>
    <w:rsid w:val="00EA150A"/>
    <w:rsid w:val="00EA1AED"/>
    <w:rsid w:val="00EA51AB"/>
    <w:rsid w:val="00EB2478"/>
    <w:rsid w:val="00EC09BA"/>
    <w:rsid w:val="00EC6EC1"/>
    <w:rsid w:val="00EF061A"/>
    <w:rsid w:val="00EF0EFB"/>
    <w:rsid w:val="00EF10B7"/>
    <w:rsid w:val="00EF38FC"/>
    <w:rsid w:val="00EF60BC"/>
    <w:rsid w:val="00F03443"/>
    <w:rsid w:val="00F157DE"/>
    <w:rsid w:val="00F203AA"/>
    <w:rsid w:val="00F30625"/>
    <w:rsid w:val="00F32127"/>
    <w:rsid w:val="00F40E46"/>
    <w:rsid w:val="00F52EAB"/>
    <w:rsid w:val="00F5532B"/>
    <w:rsid w:val="00F64B7F"/>
    <w:rsid w:val="00F751B5"/>
    <w:rsid w:val="00F76A26"/>
    <w:rsid w:val="00FA478C"/>
    <w:rsid w:val="00FB1AF8"/>
    <w:rsid w:val="00FB3498"/>
    <w:rsid w:val="00FB5053"/>
    <w:rsid w:val="00FB585B"/>
    <w:rsid w:val="00FC44CC"/>
    <w:rsid w:val="00FC6247"/>
    <w:rsid w:val="00FC6674"/>
    <w:rsid w:val="00FD150C"/>
    <w:rsid w:val="00FD2344"/>
    <w:rsid w:val="00FD317A"/>
    <w:rsid w:val="00FE0DCA"/>
    <w:rsid w:val="00FE5DEC"/>
    <w:rsid w:val="00FF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0C5D"/>
  <w15:chartTrackingRefBased/>
  <w15:docId w15:val="{95D641E6-EB8A-479F-A5E8-715FCE4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A49"/>
    <w:rPr>
      <w:sz w:val="20"/>
      <w:szCs w:val="20"/>
    </w:rPr>
  </w:style>
  <w:style w:type="character" w:customStyle="1" w:styleId="FootnoteTextChar">
    <w:name w:val="Footnote Text Char"/>
    <w:basedOn w:val="DefaultParagraphFont"/>
    <w:link w:val="FootnoteText"/>
    <w:uiPriority w:val="99"/>
    <w:semiHidden/>
    <w:rsid w:val="00556A49"/>
    <w:rPr>
      <w:sz w:val="20"/>
      <w:szCs w:val="20"/>
    </w:rPr>
  </w:style>
  <w:style w:type="character" w:styleId="FootnoteReference">
    <w:name w:val="footnote reference"/>
    <w:basedOn w:val="DefaultParagraphFont"/>
    <w:uiPriority w:val="99"/>
    <w:semiHidden/>
    <w:unhideWhenUsed/>
    <w:rsid w:val="00556A49"/>
    <w:rPr>
      <w:vertAlign w:val="superscript"/>
    </w:rPr>
  </w:style>
  <w:style w:type="paragraph" w:styleId="Header">
    <w:name w:val="header"/>
    <w:basedOn w:val="Normal"/>
    <w:link w:val="HeaderChar"/>
    <w:uiPriority w:val="99"/>
    <w:unhideWhenUsed/>
    <w:rsid w:val="00D83CC9"/>
    <w:pPr>
      <w:tabs>
        <w:tab w:val="center" w:pos="4680"/>
        <w:tab w:val="right" w:pos="9360"/>
      </w:tabs>
    </w:pPr>
  </w:style>
  <w:style w:type="character" w:customStyle="1" w:styleId="HeaderChar">
    <w:name w:val="Header Char"/>
    <w:basedOn w:val="DefaultParagraphFont"/>
    <w:link w:val="Header"/>
    <w:uiPriority w:val="99"/>
    <w:rsid w:val="00D83CC9"/>
  </w:style>
  <w:style w:type="paragraph" w:styleId="Footer">
    <w:name w:val="footer"/>
    <w:basedOn w:val="Normal"/>
    <w:link w:val="FooterChar"/>
    <w:uiPriority w:val="99"/>
    <w:unhideWhenUsed/>
    <w:rsid w:val="00D83CC9"/>
    <w:pPr>
      <w:tabs>
        <w:tab w:val="center" w:pos="4680"/>
        <w:tab w:val="right" w:pos="9360"/>
      </w:tabs>
    </w:pPr>
  </w:style>
  <w:style w:type="character" w:customStyle="1" w:styleId="FooterChar">
    <w:name w:val="Footer Char"/>
    <w:basedOn w:val="DefaultParagraphFont"/>
    <w:link w:val="Footer"/>
    <w:uiPriority w:val="99"/>
    <w:rsid w:val="00D83CC9"/>
  </w:style>
  <w:style w:type="character" w:styleId="Hyperlink">
    <w:name w:val="Hyperlink"/>
    <w:basedOn w:val="DefaultParagraphFont"/>
    <w:uiPriority w:val="99"/>
    <w:unhideWhenUsed/>
    <w:rsid w:val="00C7721F"/>
    <w:rPr>
      <w:color w:val="0563C1" w:themeColor="hyperlink"/>
      <w:u w:val="single"/>
    </w:rPr>
  </w:style>
  <w:style w:type="character" w:styleId="UnresolvedMention">
    <w:name w:val="Unresolved Mention"/>
    <w:basedOn w:val="DefaultParagraphFont"/>
    <w:uiPriority w:val="99"/>
    <w:semiHidden/>
    <w:unhideWhenUsed/>
    <w:rsid w:val="00C7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DC54-F45D-49E5-A11B-D6826576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7</Pages>
  <Words>2033</Words>
  <Characters>11592</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423</cp:revision>
  <dcterms:created xsi:type="dcterms:W3CDTF">2022-07-21T23:34:00Z</dcterms:created>
  <dcterms:modified xsi:type="dcterms:W3CDTF">2022-08-01T11:39:00Z</dcterms:modified>
</cp:coreProperties>
</file>