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4C60" w14:textId="08AFA0E8" w:rsidR="006443BB" w:rsidRDefault="009107F6" w:rsidP="009107F6">
      <w:pPr>
        <w:jc w:val="center"/>
        <w:rPr>
          <w:rFonts w:ascii="Georgia" w:hAnsi="Georgia"/>
          <w:sz w:val="24"/>
          <w:szCs w:val="24"/>
        </w:rPr>
      </w:pPr>
      <w:r>
        <w:rPr>
          <w:rFonts w:ascii="Georgia" w:hAnsi="Georgia"/>
          <w:sz w:val="24"/>
          <w:szCs w:val="24"/>
        </w:rPr>
        <w:t>UNITED STATES OF AMERICA</w:t>
      </w:r>
    </w:p>
    <w:p w14:paraId="54BC9EE0" w14:textId="54B09FA1" w:rsidR="009107F6" w:rsidRDefault="009107F6" w:rsidP="009107F6">
      <w:pPr>
        <w:jc w:val="center"/>
        <w:rPr>
          <w:rFonts w:ascii="Georgia" w:hAnsi="Georgia"/>
          <w:sz w:val="24"/>
          <w:szCs w:val="24"/>
        </w:rPr>
      </w:pPr>
      <w:r>
        <w:rPr>
          <w:rFonts w:ascii="Georgia" w:hAnsi="Georgia"/>
          <w:sz w:val="24"/>
          <w:szCs w:val="24"/>
        </w:rPr>
        <w:t>BEFORE THE</w:t>
      </w:r>
    </w:p>
    <w:p w14:paraId="16E8C3C6" w14:textId="409DADBB" w:rsidR="009107F6" w:rsidRDefault="009107F6" w:rsidP="009107F6">
      <w:pPr>
        <w:jc w:val="center"/>
        <w:rPr>
          <w:rFonts w:ascii="Georgia" w:hAnsi="Georgia"/>
          <w:sz w:val="24"/>
          <w:szCs w:val="24"/>
        </w:rPr>
      </w:pPr>
      <w:r>
        <w:rPr>
          <w:rFonts w:ascii="Georgia" w:hAnsi="Georgia"/>
          <w:sz w:val="24"/>
          <w:szCs w:val="24"/>
        </w:rPr>
        <w:t>FEDERAL ENERGY REGULATORY COMMISSION</w:t>
      </w:r>
    </w:p>
    <w:p w14:paraId="7C1EACDB" w14:textId="3FDA4A2A" w:rsidR="009107F6" w:rsidRDefault="009107F6">
      <w:pPr>
        <w:rPr>
          <w:rFonts w:ascii="Georgia" w:hAnsi="Georgia"/>
          <w:sz w:val="24"/>
          <w:szCs w:val="24"/>
        </w:rPr>
      </w:pPr>
    </w:p>
    <w:p w14:paraId="345C09CC" w14:textId="2852F2D1" w:rsidR="009107F6" w:rsidRDefault="009107F6">
      <w:pPr>
        <w:rPr>
          <w:rFonts w:ascii="Georgia" w:hAnsi="Georgia"/>
          <w:sz w:val="24"/>
          <w:szCs w:val="24"/>
        </w:rPr>
      </w:pPr>
      <w:r w:rsidRPr="009107F6">
        <w:rPr>
          <w:rFonts w:ascii="Georgia" w:hAnsi="Georgia"/>
          <w:sz w:val="24"/>
          <w:szCs w:val="24"/>
        </w:rPr>
        <w:t>BlackRock, Inc.</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Pr="009107F6">
        <w:rPr>
          <w:rFonts w:ascii="Georgia" w:hAnsi="Georgia"/>
          <w:sz w:val="24"/>
          <w:szCs w:val="24"/>
        </w:rPr>
        <w:t xml:space="preserve">Docket </w:t>
      </w:r>
      <w:r>
        <w:rPr>
          <w:rFonts w:ascii="Georgia" w:hAnsi="Georgia"/>
          <w:sz w:val="24"/>
          <w:szCs w:val="24"/>
        </w:rPr>
        <w:t>No.</w:t>
      </w:r>
      <w:r w:rsidRPr="009107F6">
        <w:rPr>
          <w:rFonts w:ascii="Georgia" w:hAnsi="Georgia"/>
          <w:sz w:val="24"/>
          <w:szCs w:val="24"/>
        </w:rPr>
        <w:t xml:space="preserve"> EC16-77-002</w:t>
      </w:r>
    </w:p>
    <w:p w14:paraId="113A1312" w14:textId="7BFA5687" w:rsidR="009107F6" w:rsidRDefault="009107F6">
      <w:pPr>
        <w:rPr>
          <w:rFonts w:ascii="Georgia" w:hAnsi="Georgia"/>
          <w:sz w:val="24"/>
          <w:szCs w:val="24"/>
        </w:rPr>
      </w:pPr>
    </w:p>
    <w:p w14:paraId="4DD673B3" w14:textId="37A5E6D4" w:rsidR="009107F6" w:rsidRPr="000D0D3F" w:rsidRDefault="00AA1D32" w:rsidP="000D0D3F">
      <w:pPr>
        <w:jc w:val="center"/>
        <w:rPr>
          <w:rFonts w:ascii="Georgia" w:hAnsi="Georgia"/>
          <w:b/>
          <w:bCs/>
          <w:sz w:val="24"/>
          <w:szCs w:val="24"/>
        </w:rPr>
      </w:pPr>
      <w:r>
        <w:rPr>
          <w:rFonts w:ascii="Georgia" w:hAnsi="Georgia"/>
          <w:b/>
          <w:bCs/>
          <w:sz w:val="24"/>
          <w:szCs w:val="24"/>
        </w:rPr>
        <w:t>Protest</w:t>
      </w:r>
      <w:r w:rsidR="009107F6" w:rsidRPr="000D0D3F">
        <w:rPr>
          <w:rFonts w:ascii="Georgia" w:hAnsi="Georgia"/>
          <w:b/>
          <w:bCs/>
          <w:sz w:val="24"/>
          <w:szCs w:val="24"/>
        </w:rPr>
        <w:t xml:space="preserve"> of Public Citizen, Inc.</w:t>
      </w:r>
    </w:p>
    <w:p w14:paraId="10938E63" w14:textId="07CA2B0F" w:rsidR="009107F6" w:rsidRDefault="009107F6">
      <w:pPr>
        <w:rPr>
          <w:rFonts w:ascii="Georgia" w:hAnsi="Georgia"/>
          <w:sz w:val="24"/>
          <w:szCs w:val="24"/>
        </w:rPr>
      </w:pPr>
    </w:p>
    <w:p w14:paraId="28A6AAEA" w14:textId="77777777" w:rsidR="000D0D3F" w:rsidRDefault="000D0D3F" w:rsidP="009107F6">
      <w:pPr>
        <w:rPr>
          <w:rFonts w:ascii="Georgia" w:hAnsi="Georgia"/>
          <w:sz w:val="24"/>
          <w:szCs w:val="24"/>
        </w:rPr>
      </w:pPr>
    </w:p>
    <w:p w14:paraId="71E28FAD" w14:textId="52758558" w:rsidR="009107F6" w:rsidRDefault="009107F6" w:rsidP="0078567E">
      <w:pPr>
        <w:spacing w:line="360" w:lineRule="auto"/>
        <w:ind w:firstLine="720"/>
        <w:rPr>
          <w:rFonts w:ascii="Georgia" w:hAnsi="Georgia"/>
          <w:sz w:val="24"/>
          <w:szCs w:val="24"/>
        </w:rPr>
      </w:pPr>
      <w:r>
        <w:rPr>
          <w:rFonts w:ascii="Georgia" w:hAnsi="Georgia"/>
          <w:sz w:val="24"/>
          <w:szCs w:val="24"/>
        </w:rPr>
        <w:t xml:space="preserve">On February 18, 2022, BlackRock, Inc. applied for authorization under </w:t>
      </w:r>
      <w:r w:rsidRPr="009107F6">
        <w:rPr>
          <w:rFonts w:ascii="Georgia" w:hAnsi="Georgia"/>
          <w:sz w:val="24"/>
          <w:szCs w:val="24"/>
        </w:rPr>
        <w:t>Section 203 of the Federal Power Act</w:t>
      </w:r>
      <w:r w:rsidR="00111A8A">
        <w:rPr>
          <w:rFonts w:ascii="Georgia" w:hAnsi="Georgia"/>
          <w:sz w:val="24"/>
          <w:szCs w:val="24"/>
        </w:rPr>
        <w:t xml:space="preserve"> for </w:t>
      </w:r>
      <w:r w:rsidR="00111A8A" w:rsidRPr="00111A8A">
        <w:rPr>
          <w:rFonts w:ascii="Georgia" w:hAnsi="Georgia"/>
          <w:sz w:val="24"/>
          <w:szCs w:val="24"/>
        </w:rPr>
        <w:t>an extension of its blanket authorizations</w:t>
      </w:r>
      <w:r w:rsidR="00111A8A">
        <w:rPr>
          <w:rFonts w:ascii="Georgia" w:hAnsi="Georgia"/>
          <w:sz w:val="24"/>
          <w:szCs w:val="24"/>
        </w:rPr>
        <w:t xml:space="preserve"> to </w:t>
      </w:r>
      <w:r w:rsidR="00111A8A" w:rsidRPr="00111A8A">
        <w:rPr>
          <w:rFonts w:ascii="Georgia" w:hAnsi="Georgia"/>
          <w:sz w:val="24"/>
          <w:szCs w:val="24"/>
        </w:rPr>
        <w:t>acquire and vote the voting securities of certain utilities and utility holding companies</w:t>
      </w:r>
      <w:r w:rsidR="00D015A4">
        <w:rPr>
          <w:rFonts w:ascii="Georgia" w:hAnsi="Georgia"/>
          <w:sz w:val="24"/>
          <w:szCs w:val="24"/>
        </w:rPr>
        <w:t>.</w:t>
      </w:r>
    </w:p>
    <w:p w14:paraId="49E6BFF5" w14:textId="68158029" w:rsidR="00D015A4" w:rsidRDefault="00D015A4" w:rsidP="0078567E">
      <w:pPr>
        <w:spacing w:line="360" w:lineRule="auto"/>
        <w:ind w:firstLine="720"/>
        <w:rPr>
          <w:rFonts w:ascii="Georgia" w:hAnsi="Georgia"/>
          <w:sz w:val="24"/>
          <w:szCs w:val="24"/>
        </w:rPr>
      </w:pPr>
      <w:r>
        <w:rPr>
          <w:rFonts w:ascii="Georgia" w:hAnsi="Georgia"/>
          <w:sz w:val="24"/>
          <w:szCs w:val="24"/>
        </w:rPr>
        <w:t xml:space="preserve">BlackRock is the world’s largest asset manager, with </w:t>
      </w:r>
      <w:r w:rsidRPr="00D015A4">
        <w:rPr>
          <w:rFonts w:ascii="Georgia" w:hAnsi="Georgia"/>
          <w:b/>
          <w:bCs/>
          <w:sz w:val="24"/>
          <w:szCs w:val="24"/>
          <w:u w:val="single"/>
        </w:rPr>
        <w:t>$9.5 trillion</w:t>
      </w:r>
      <w:r>
        <w:rPr>
          <w:rFonts w:ascii="Georgia" w:hAnsi="Georgia"/>
          <w:sz w:val="24"/>
          <w:szCs w:val="24"/>
        </w:rPr>
        <w:t xml:space="preserve"> worth of assets under management.</w:t>
      </w:r>
      <w:r w:rsidR="00F45B03">
        <w:rPr>
          <w:rStyle w:val="FootnoteReference"/>
          <w:rFonts w:ascii="Georgia" w:hAnsi="Georgia"/>
          <w:sz w:val="24"/>
          <w:szCs w:val="24"/>
        </w:rPr>
        <w:footnoteReference w:id="1"/>
      </w:r>
      <w:r w:rsidR="007E3CAC">
        <w:rPr>
          <w:rFonts w:ascii="Georgia" w:hAnsi="Georgia"/>
          <w:sz w:val="24"/>
          <w:szCs w:val="24"/>
        </w:rPr>
        <w:t xml:space="preserve"> BlackRock’s</w:t>
      </w:r>
      <w:r w:rsidR="007E3CAC">
        <w:rPr>
          <w:rFonts w:ascii="Georgia" w:hAnsi="Georgia"/>
          <w:sz w:val="24"/>
          <w:szCs w:val="24"/>
        </w:rPr>
        <w:t xml:space="preserve"> gargantuan role </w:t>
      </w:r>
      <w:r w:rsidR="000A0DB5">
        <w:rPr>
          <w:rFonts w:ascii="Georgia" w:hAnsi="Georgia"/>
          <w:sz w:val="24"/>
          <w:szCs w:val="24"/>
        </w:rPr>
        <w:t xml:space="preserve">as a manager of voting securities is </w:t>
      </w:r>
      <w:r w:rsidR="00DB5A4B">
        <w:rPr>
          <w:rFonts w:ascii="Georgia" w:hAnsi="Georgia"/>
          <w:sz w:val="24"/>
          <w:szCs w:val="24"/>
        </w:rPr>
        <w:t>unparalleled</w:t>
      </w:r>
      <w:r w:rsidR="007E3CAC">
        <w:rPr>
          <w:rFonts w:ascii="Georgia" w:hAnsi="Georgia"/>
          <w:sz w:val="24"/>
          <w:szCs w:val="24"/>
        </w:rPr>
        <w:t xml:space="preserve"> in </w:t>
      </w:r>
      <w:r w:rsidR="000A0DB5">
        <w:rPr>
          <w:rFonts w:ascii="Georgia" w:hAnsi="Georgia"/>
          <w:sz w:val="24"/>
          <w:szCs w:val="24"/>
        </w:rPr>
        <w:t xml:space="preserve">the </w:t>
      </w:r>
      <w:r w:rsidR="007E3CAC">
        <w:rPr>
          <w:rFonts w:ascii="Georgia" w:hAnsi="Georgia"/>
          <w:sz w:val="24"/>
          <w:szCs w:val="24"/>
        </w:rPr>
        <w:t>history</w:t>
      </w:r>
      <w:r w:rsidR="000A0DB5">
        <w:rPr>
          <w:rFonts w:ascii="Georgia" w:hAnsi="Georgia"/>
          <w:sz w:val="24"/>
          <w:szCs w:val="24"/>
        </w:rPr>
        <w:t xml:space="preserve"> of modern </w:t>
      </w:r>
      <w:r w:rsidR="003E0380">
        <w:rPr>
          <w:rFonts w:ascii="Georgia" w:hAnsi="Georgia"/>
          <w:sz w:val="24"/>
          <w:szCs w:val="24"/>
        </w:rPr>
        <w:t>capitalism</w:t>
      </w:r>
      <w:r w:rsidR="000A0DB5">
        <w:rPr>
          <w:rFonts w:ascii="Georgia" w:hAnsi="Georgia"/>
          <w:sz w:val="24"/>
          <w:szCs w:val="24"/>
        </w:rPr>
        <w:t>. Not only is it impossible for a fund manager of BlackRock’s size and scope to remain a passive investor, scholarly research demonstrates that BlackRock</w:t>
      </w:r>
      <w:r w:rsidR="004E2315">
        <w:rPr>
          <w:rFonts w:ascii="Georgia" w:hAnsi="Georgia"/>
          <w:sz w:val="24"/>
          <w:szCs w:val="24"/>
        </w:rPr>
        <w:t xml:space="preserve">’s </w:t>
      </w:r>
      <w:r w:rsidR="003D1DC1">
        <w:rPr>
          <w:rFonts w:ascii="Georgia" w:hAnsi="Georgia"/>
          <w:sz w:val="24"/>
          <w:szCs w:val="24"/>
        </w:rPr>
        <w:t>accumulation of voting securities</w:t>
      </w:r>
      <w:r w:rsidR="000A0DB5">
        <w:rPr>
          <w:rFonts w:ascii="Georgia" w:hAnsi="Georgia"/>
          <w:sz w:val="24"/>
          <w:szCs w:val="24"/>
        </w:rPr>
        <w:t xml:space="preserve"> </w:t>
      </w:r>
      <w:r w:rsidR="003D1DC1">
        <w:rPr>
          <w:rFonts w:ascii="Georgia" w:hAnsi="Georgia"/>
          <w:sz w:val="24"/>
          <w:szCs w:val="24"/>
        </w:rPr>
        <w:t>constitutes</w:t>
      </w:r>
      <w:r w:rsidR="00A1088A">
        <w:rPr>
          <w:rFonts w:ascii="Georgia" w:hAnsi="Georgia"/>
          <w:sz w:val="24"/>
          <w:szCs w:val="24"/>
        </w:rPr>
        <w:t xml:space="preserve"> control over utilities</w:t>
      </w:r>
      <w:r w:rsidR="003D1DC1">
        <w:rPr>
          <w:rFonts w:ascii="Georgia" w:hAnsi="Georgia"/>
          <w:sz w:val="24"/>
          <w:szCs w:val="24"/>
        </w:rPr>
        <w:t xml:space="preserve">, </w:t>
      </w:r>
      <w:r w:rsidR="000A0DB5">
        <w:rPr>
          <w:rFonts w:ascii="Georgia" w:hAnsi="Georgia"/>
          <w:sz w:val="24"/>
          <w:szCs w:val="24"/>
        </w:rPr>
        <w:t xml:space="preserve">and its horizontal </w:t>
      </w:r>
      <w:r w:rsidR="007C27A9">
        <w:rPr>
          <w:rFonts w:ascii="Georgia" w:hAnsi="Georgia"/>
          <w:sz w:val="24"/>
          <w:szCs w:val="24"/>
        </w:rPr>
        <w:t xml:space="preserve">power </w:t>
      </w:r>
      <w:r w:rsidR="000A0DB5">
        <w:rPr>
          <w:rFonts w:ascii="Georgia" w:hAnsi="Georgia"/>
          <w:sz w:val="24"/>
          <w:szCs w:val="24"/>
        </w:rPr>
        <w:t xml:space="preserve">over competing utilities </w:t>
      </w:r>
      <w:r w:rsidR="00022861">
        <w:rPr>
          <w:rFonts w:ascii="Georgia" w:hAnsi="Georgia"/>
          <w:sz w:val="24"/>
          <w:szCs w:val="24"/>
        </w:rPr>
        <w:t xml:space="preserve">harms </w:t>
      </w:r>
      <w:r w:rsidR="000A0DB5">
        <w:rPr>
          <w:rFonts w:ascii="Georgia" w:hAnsi="Georgia"/>
          <w:sz w:val="24"/>
          <w:szCs w:val="24"/>
        </w:rPr>
        <w:t xml:space="preserve">competition. </w:t>
      </w:r>
    </w:p>
    <w:p w14:paraId="0FC0910A" w14:textId="3844043E" w:rsidR="005B7BB6" w:rsidRDefault="000A0DB5" w:rsidP="0078567E">
      <w:pPr>
        <w:spacing w:line="360" w:lineRule="auto"/>
        <w:ind w:firstLine="720"/>
        <w:rPr>
          <w:rFonts w:ascii="Georgia" w:hAnsi="Georgia"/>
          <w:sz w:val="24"/>
          <w:szCs w:val="24"/>
        </w:rPr>
      </w:pPr>
      <w:r>
        <w:rPr>
          <w:rFonts w:ascii="Georgia" w:hAnsi="Georgia"/>
          <w:sz w:val="24"/>
          <w:szCs w:val="24"/>
        </w:rPr>
        <w:t xml:space="preserve">Public Citizen therefore </w:t>
      </w:r>
      <w:r w:rsidR="007C27A9">
        <w:rPr>
          <w:rFonts w:ascii="Georgia" w:hAnsi="Georgia"/>
          <w:sz w:val="24"/>
          <w:szCs w:val="24"/>
        </w:rPr>
        <w:t>requests that the Commission</w:t>
      </w:r>
      <w:r w:rsidR="001478E0">
        <w:rPr>
          <w:rFonts w:ascii="Georgia" w:hAnsi="Georgia"/>
          <w:sz w:val="24"/>
          <w:szCs w:val="24"/>
        </w:rPr>
        <w:t xml:space="preserve"> </w:t>
      </w:r>
      <w:r w:rsidR="00366234">
        <w:rPr>
          <w:rFonts w:ascii="Georgia" w:hAnsi="Georgia"/>
          <w:sz w:val="24"/>
          <w:szCs w:val="24"/>
        </w:rPr>
        <w:t xml:space="preserve">set the matter of </w:t>
      </w:r>
      <w:r>
        <w:rPr>
          <w:rFonts w:ascii="Georgia" w:hAnsi="Georgia"/>
          <w:sz w:val="24"/>
          <w:szCs w:val="24"/>
        </w:rPr>
        <w:t xml:space="preserve">blanket </w:t>
      </w:r>
      <w:r w:rsidR="00F846E0">
        <w:rPr>
          <w:rFonts w:ascii="Georgia" w:hAnsi="Georgia"/>
          <w:sz w:val="24"/>
          <w:szCs w:val="24"/>
        </w:rPr>
        <w:t>re</w:t>
      </w:r>
      <w:r>
        <w:rPr>
          <w:rFonts w:ascii="Georgia" w:hAnsi="Georgia"/>
          <w:sz w:val="24"/>
          <w:szCs w:val="24"/>
        </w:rPr>
        <w:t>authorization</w:t>
      </w:r>
      <w:r w:rsidR="00BC5B9F">
        <w:rPr>
          <w:rFonts w:ascii="Georgia" w:hAnsi="Georgia"/>
          <w:sz w:val="24"/>
          <w:szCs w:val="24"/>
        </w:rPr>
        <w:t xml:space="preserve"> </w:t>
      </w:r>
      <w:r w:rsidR="00EA3F6F">
        <w:rPr>
          <w:rFonts w:ascii="Georgia" w:hAnsi="Georgia"/>
          <w:sz w:val="24"/>
          <w:szCs w:val="24"/>
        </w:rPr>
        <w:t>for hearing</w:t>
      </w:r>
      <w:r w:rsidR="00176D4B">
        <w:rPr>
          <w:rFonts w:ascii="Georgia" w:hAnsi="Georgia"/>
          <w:sz w:val="24"/>
          <w:szCs w:val="24"/>
        </w:rPr>
        <w:t xml:space="preserve"> in order </w:t>
      </w:r>
      <w:r w:rsidR="0001495B" w:rsidRPr="0001495B">
        <w:rPr>
          <w:rFonts w:ascii="Georgia" w:hAnsi="Georgia"/>
          <w:sz w:val="24"/>
          <w:szCs w:val="24"/>
        </w:rPr>
        <w:t xml:space="preserve">to comprehensively assess the circumstances by which </w:t>
      </w:r>
      <w:r w:rsidR="0019281E">
        <w:rPr>
          <w:rFonts w:ascii="Georgia" w:hAnsi="Georgia"/>
          <w:sz w:val="24"/>
          <w:szCs w:val="24"/>
        </w:rPr>
        <w:t>BlackRock</w:t>
      </w:r>
      <w:r w:rsidR="0058522C">
        <w:rPr>
          <w:rFonts w:ascii="Georgia" w:hAnsi="Georgia"/>
          <w:sz w:val="24"/>
          <w:szCs w:val="24"/>
        </w:rPr>
        <w:t>’s unprecedented control and influence over utilities</w:t>
      </w:r>
      <w:r w:rsidR="0001495B" w:rsidRPr="0001495B">
        <w:rPr>
          <w:rFonts w:ascii="Georgia" w:hAnsi="Georgia"/>
          <w:sz w:val="24"/>
          <w:szCs w:val="24"/>
        </w:rPr>
        <w:t xml:space="preserve"> may be undermining competition and threatening just and reasonable rates</w:t>
      </w:r>
      <w:r w:rsidR="00187D32">
        <w:rPr>
          <w:rFonts w:ascii="Georgia" w:hAnsi="Georgia"/>
          <w:sz w:val="24"/>
          <w:szCs w:val="24"/>
        </w:rPr>
        <w:t>, as</w:t>
      </w:r>
      <w:r w:rsidR="00ED7BBC">
        <w:rPr>
          <w:rFonts w:ascii="Georgia" w:hAnsi="Georgia"/>
          <w:sz w:val="24"/>
          <w:szCs w:val="24"/>
        </w:rPr>
        <w:t xml:space="preserve"> the current record in this proceeding fails to provide justification for granting blanket authorizations </w:t>
      </w:r>
      <w:r w:rsidR="00466DA5">
        <w:rPr>
          <w:rFonts w:ascii="Georgia" w:hAnsi="Georgia"/>
          <w:sz w:val="24"/>
          <w:szCs w:val="24"/>
        </w:rPr>
        <w:t>to BlackRock to vote the voting securities of public utilities.</w:t>
      </w:r>
    </w:p>
    <w:p w14:paraId="442CB6C8" w14:textId="77777777" w:rsidR="005B7BB6" w:rsidRDefault="005B7BB6" w:rsidP="000D0D3F">
      <w:pPr>
        <w:ind w:firstLine="720"/>
        <w:rPr>
          <w:rFonts w:ascii="Georgia" w:hAnsi="Georgia"/>
          <w:sz w:val="24"/>
          <w:szCs w:val="24"/>
        </w:rPr>
      </w:pPr>
    </w:p>
    <w:p w14:paraId="7A154FC6" w14:textId="3B4DBB41" w:rsidR="00405077" w:rsidRDefault="00C52613" w:rsidP="0078567E">
      <w:pPr>
        <w:spacing w:line="360" w:lineRule="auto"/>
        <w:ind w:firstLine="720"/>
        <w:rPr>
          <w:rFonts w:ascii="Georgia" w:hAnsi="Georgia"/>
          <w:sz w:val="24"/>
          <w:szCs w:val="24"/>
        </w:rPr>
      </w:pPr>
      <w:r>
        <w:rPr>
          <w:rFonts w:ascii="Georgia" w:hAnsi="Georgia"/>
          <w:sz w:val="24"/>
          <w:szCs w:val="24"/>
        </w:rPr>
        <w:t>I</w:t>
      </w:r>
      <w:r w:rsidR="007524F3" w:rsidRPr="007524F3">
        <w:rPr>
          <w:rFonts w:ascii="Georgia" w:hAnsi="Georgia"/>
          <w:sz w:val="24"/>
          <w:szCs w:val="24"/>
        </w:rPr>
        <w:t xml:space="preserve">n </w:t>
      </w:r>
      <w:r>
        <w:rPr>
          <w:rFonts w:ascii="Georgia" w:hAnsi="Georgia"/>
          <w:sz w:val="24"/>
          <w:szCs w:val="24"/>
        </w:rPr>
        <w:t xml:space="preserve">less than a generation, </w:t>
      </w:r>
      <w:r w:rsidR="004A2DBE">
        <w:rPr>
          <w:rFonts w:ascii="Georgia" w:hAnsi="Georgia"/>
          <w:sz w:val="24"/>
          <w:szCs w:val="24"/>
        </w:rPr>
        <w:t xml:space="preserve">investment managers like BlackRock </w:t>
      </w:r>
      <w:r w:rsidR="00C62E57">
        <w:rPr>
          <w:rFonts w:ascii="Georgia" w:hAnsi="Georgia"/>
          <w:sz w:val="24"/>
          <w:szCs w:val="24"/>
        </w:rPr>
        <w:t xml:space="preserve">have come to </w:t>
      </w:r>
      <w:r w:rsidR="007524F3" w:rsidRPr="007524F3">
        <w:rPr>
          <w:rFonts w:ascii="Georgia" w:hAnsi="Georgia"/>
          <w:sz w:val="24"/>
          <w:szCs w:val="24"/>
        </w:rPr>
        <w:t>dominate the financing the architecture of the U.S. economy</w:t>
      </w:r>
      <w:r w:rsidR="001277BD">
        <w:rPr>
          <w:rFonts w:ascii="Georgia" w:hAnsi="Georgia"/>
          <w:sz w:val="24"/>
          <w:szCs w:val="24"/>
        </w:rPr>
        <w:t>, as management</w:t>
      </w:r>
      <w:r w:rsidR="007524F3" w:rsidRPr="007524F3">
        <w:rPr>
          <w:rFonts w:ascii="Georgia" w:hAnsi="Georgia"/>
          <w:sz w:val="24"/>
          <w:szCs w:val="24"/>
        </w:rPr>
        <w:t xml:space="preserve"> funds</w:t>
      </w:r>
      <w:r w:rsidR="006E15D1">
        <w:rPr>
          <w:rFonts w:ascii="Georgia" w:hAnsi="Georgia"/>
          <w:sz w:val="24"/>
          <w:szCs w:val="24"/>
        </w:rPr>
        <w:t xml:space="preserve"> control</w:t>
      </w:r>
      <w:r w:rsidR="007524F3" w:rsidRPr="007524F3">
        <w:rPr>
          <w:rFonts w:ascii="Georgia" w:hAnsi="Georgia"/>
          <w:sz w:val="24"/>
          <w:szCs w:val="24"/>
        </w:rPr>
        <w:t xml:space="preserve"> over $11 trillion in the U.S., exceeding the value of so-called active funds for the first time in history</w:t>
      </w:r>
      <w:r w:rsidR="00325FF8">
        <w:rPr>
          <w:rFonts w:ascii="Georgia" w:hAnsi="Georgia"/>
          <w:sz w:val="24"/>
          <w:szCs w:val="24"/>
        </w:rPr>
        <w:t>. Just three companies―</w:t>
      </w:r>
      <w:r w:rsidR="00405077" w:rsidRPr="00405077">
        <w:rPr>
          <w:rFonts w:ascii="Georgia" w:hAnsi="Georgia"/>
          <w:sz w:val="24"/>
          <w:szCs w:val="24"/>
        </w:rPr>
        <w:t>BlackRock, Vanguard and State Street</w:t>
      </w:r>
      <w:r w:rsidR="00325FF8">
        <w:rPr>
          <w:rFonts w:ascii="Georgia" w:hAnsi="Georgia"/>
          <w:sz w:val="24"/>
          <w:szCs w:val="24"/>
        </w:rPr>
        <w:t>―</w:t>
      </w:r>
      <w:r w:rsidR="00405077" w:rsidRPr="00405077">
        <w:rPr>
          <w:rFonts w:ascii="Georgia" w:hAnsi="Georgia"/>
          <w:sz w:val="24"/>
          <w:szCs w:val="24"/>
        </w:rPr>
        <w:t>together control 82% of all assets flowing into all investment funds (both active and passive) over the last decade, and co</w:t>
      </w:r>
      <w:r w:rsidR="009843A3">
        <w:rPr>
          <w:rFonts w:ascii="Georgia" w:hAnsi="Georgia"/>
          <w:sz w:val="24"/>
          <w:szCs w:val="24"/>
        </w:rPr>
        <w:t>mmand</w:t>
      </w:r>
      <w:r w:rsidR="00405077" w:rsidRPr="00405077">
        <w:rPr>
          <w:rFonts w:ascii="Georgia" w:hAnsi="Georgia"/>
          <w:sz w:val="24"/>
          <w:szCs w:val="24"/>
        </w:rPr>
        <w:t xml:space="preserve"> as much as 80% of the global ETF </w:t>
      </w:r>
      <w:r w:rsidR="00405077" w:rsidRPr="00405077">
        <w:rPr>
          <w:rFonts w:ascii="Georgia" w:hAnsi="Georgia"/>
          <w:sz w:val="24"/>
          <w:szCs w:val="24"/>
        </w:rPr>
        <w:lastRenderedPageBreak/>
        <w:t>market. While often erroneously described as “passive”, in actuality they influenc</w:t>
      </w:r>
      <w:r w:rsidR="00A0577E">
        <w:rPr>
          <w:rFonts w:ascii="Georgia" w:hAnsi="Georgia"/>
          <w:sz w:val="24"/>
          <w:szCs w:val="24"/>
        </w:rPr>
        <w:t>e and control</w:t>
      </w:r>
      <w:r w:rsidR="00405077" w:rsidRPr="00405077">
        <w:rPr>
          <w:rFonts w:ascii="Georgia" w:hAnsi="Georgia"/>
          <w:sz w:val="24"/>
          <w:szCs w:val="24"/>
        </w:rPr>
        <w:t xml:space="preserve"> corporate governance and decision-making</w:t>
      </w:r>
      <w:r w:rsidR="00CD1FD2">
        <w:rPr>
          <w:rFonts w:ascii="Georgia" w:hAnsi="Georgia"/>
          <w:sz w:val="24"/>
          <w:szCs w:val="24"/>
        </w:rPr>
        <w:t>:</w:t>
      </w:r>
    </w:p>
    <w:p w14:paraId="6686B668" w14:textId="77777777" w:rsidR="00CD1FD2" w:rsidRDefault="00CD1FD2" w:rsidP="00CD1FD2">
      <w:pPr>
        <w:rPr>
          <w:rFonts w:ascii="Georgia" w:hAnsi="Georgia"/>
          <w:sz w:val="24"/>
          <w:szCs w:val="24"/>
        </w:rPr>
      </w:pPr>
    </w:p>
    <w:p w14:paraId="006C45B9" w14:textId="71526E4A" w:rsidR="00314667" w:rsidRPr="009722CE" w:rsidRDefault="00CD1FD2" w:rsidP="009722CE">
      <w:pPr>
        <w:ind w:left="360"/>
        <w:rPr>
          <w:rFonts w:ascii="Georgia" w:hAnsi="Georgia"/>
          <w:i/>
          <w:iCs/>
        </w:rPr>
      </w:pPr>
      <w:r w:rsidRPr="009722CE">
        <w:rPr>
          <w:rFonts w:ascii="Georgia" w:hAnsi="Georgia"/>
          <w:i/>
          <w:iCs/>
        </w:rPr>
        <w:t>Today, scholars of finance are increasingly raising concerns that the rise of mutual fund ownership of U.S. corporations is “reminiscent of the early 20</w:t>
      </w:r>
      <w:r w:rsidRPr="00EA7D7D">
        <w:rPr>
          <w:rFonts w:ascii="Georgia" w:hAnsi="Georgia"/>
          <w:i/>
          <w:iCs/>
          <w:vertAlign w:val="superscript"/>
        </w:rPr>
        <w:t>th</w:t>
      </w:r>
      <w:r w:rsidR="00EA7D7D">
        <w:rPr>
          <w:rFonts w:ascii="Georgia" w:hAnsi="Georgia"/>
          <w:i/>
          <w:iCs/>
        </w:rPr>
        <w:t xml:space="preserve"> </w:t>
      </w:r>
      <w:r w:rsidRPr="009722CE">
        <w:rPr>
          <w:rFonts w:ascii="Georgia" w:hAnsi="Georgia"/>
          <w:i/>
          <w:iCs/>
        </w:rPr>
        <w:t>century system of finance capital when business was under the control of tycoons such as J.P. Morgan and J.D. Rockefeller.” Antitrust experts argue that the “historic trusts that motivated the creation of antitrust law were horizontal shareholders[,]” where a common set of investors own significant shares in corporations that are competitors in a market</w:t>
      </w:r>
      <w:r w:rsidR="007A6DAF">
        <w:rPr>
          <w:rFonts w:ascii="Georgia" w:hAnsi="Georgia"/>
          <w:i/>
          <w:iCs/>
        </w:rPr>
        <w:t>.</w:t>
      </w:r>
      <w:r w:rsidRPr="009722CE">
        <w:rPr>
          <w:rFonts w:ascii="Georgia" w:hAnsi="Georgia"/>
          <w:i/>
          <w:iCs/>
        </w:rPr>
        <w:t xml:space="preserve"> In this sense, asset management firms have become a part of a new “money trust”—a system of financial architecture dominated by a few large banks, private equity firms, and hedge funds</w:t>
      </w:r>
      <w:r w:rsidR="00443667" w:rsidRPr="009722CE">
        <w:rPr>
          <w:rFonts w:ascii="Georgia" w:hAnsi="Georgia"/>
          <w:i/>
          <w:iCs/>
        </w:rPr>
        <w:t xml:space="preserve"> … </w:t>
      </w:r>
      <w:r w:rsidR="00314667" w:rsidRPr="009722CE">
        <w:rPr>
          <w:rFonts w:ascii="Georgia" w:hAnsi="Georgia"/>
          <w:i/>
          <w:iCs/>
        </w:rPr>
        <w:t>For a sense of the scale of the problem, the “Big Three” asset management firms—BlackRock, Vanguard and State Street—manage over $15 trillion in combined global assets under management, an amount equivalent to more than three-quarters of U.S. gross domestic product. The outsized footprint of a few large financial companies poses new issues for the governance of corporate America, the competitiveness of our economy, the concentration of political power, and the stability of financial markets.</w:t>
      </w:r>
      <w:r w:rsidR="00220DAD" w:rsidRPr="009722CE">
        <w:rPr>
          <w:rFonts w:ascii="Georgia" w:hAnsi="Georgia"/>
          <w:i/>
          <w:iCs/>
        </w:rPr>
        <w:t xml:space="preserve"> </w:t>
      </w:r>
      <w:r w:rsidR="00314667" w:rsidRPr="009722CE">
        <w:rPr>
          <w:rFonts w:ascii="Georgia" w:hAnsi="Georgia"/>
          <w:i/>
          <w:iCs/>
        </w:rPr>
        <w:t>Consider the example of BlackRock, the largest asset manager, and its current entanglements in our economy and our government:</w:t>
      </w:r>
    </w:p>
    <w:p w14:paraId="54BB8579" w14:textId="77777777" w:rsidR="00314667" w:rsidRPr="009722CE" w:rsidRDefault="00314667" w:rsidP="009722CE">
      <w:pPr>
        <w:ind w:left="360"/>
        <w:rPr>
          <w:rFonts w:ascii="Georgia" w:hAnsi="Georgia"/>
          <w:i/>
          <w:iCs/>
        </w:rPr>
      </w:pPr>
    </w:p>
    <w:p w14:paraId="38FC66CC" w14:textId="5CB4BA2A" w:rsidR="00314667" w:rsidRPr="009722CE" w:rsidRDefault="00314667" w:rsidP="009722CE">
      <w:pPr>
        <w:pStyle w:val="ListParagraph"/>
        <w:numPr>
          <w:ilvl w:val="0"/>
          <w:numId w:val="1"/>
        </w:numPr>
        <w:ind w:left="1080"/>
        <w:rPr>
          <w:rFonts w:ascii="Georgia" w:hAnsi="Georgia"/>
          <w:i/>
          <w:iCs/>
        </w:rPr>
      </w:pPr>
      <w:r w:rsidRPr="009722CE">
        <w:rPr>
          <w:rFonts w:ascii="Georgia" w:hAnsi="Georgia"/>
          <w:i/>
          <w:iCs/>
        </w:rPr>
        <w:t>It currently holds a 5% or greater stake in more than 97.5% of the S&amp;P 500 companies;</w:t>
      </w:r>
    </w:p>
    <w:p w14:paraId="46007E5E" w14:textId="75EEDB1F" w:rsidR="00314667" w:rsidRPr="009722CE" w:rsidRDefault="00314667" w:rsidP="009722CE">
      <w:pPr>
        <w:pStyle w:val="ListParagraph"/>
        <w:numPr>
          <w:ilvl w:val="0"/>
          <w:numId w:val="1"/>
        </w:numPr>
        <w:ind w:left="1080"/>
        <w:rPr>
          <w:rFonts w:ascii="Georgia" w:hAnsi="Georgia"/>
          <w:i/>
          <w:iCs/>
        </w:rPr>
      </w:pPr>
      <w:r w:rsidRPr="009722CE">
        <w:rPr>
          <w:rFonts w:ascii="Georgia" w:hAnsi="Georgia"/>
          <w:i/>
          <w:iCs/>
        </w:rPr>
        <w:t>It operates a technology platform that contains trade and ownership information for about 10% of global stocks and bonds;</w:t>
      </w:r>
    </w:p>
    <w:p w14:paraId="6F4DF584" w14:textId="051DDA2C" w:rsidR="00CD1FD2" w:rsidRPr="009722CE" w:rsidRDefault="00314667" w:rsidP="009722CE">
      <w:pPr>
        <w:pStyle w:val="ListParagraph"/>
        <w:numPr>
          <w:ilvl w:val="0"/>
          <w:numId w:val="1"/>
        </w:numPr>
        <w:ind w:left="1080"/>
        <w:rPr>
          <w:rFonts w:ascii="Georgia" w:hAnsi="Georgia"/>
          <w:i/>
          <w:iCs/>
        </w:rPr>
      </w:pPr>
      <w:r w:rsidRPr="009722CE">
        <w:rPr>
          <w:rFonts w:ascii="Georgia" w:hAnsi="Georgia"/>
          <w:i/>
          <w:iCs/>
        </w:rPr>
        <w:t>Its investments are driving some of the key social and economic challenges of our time; for example, it manages over $87 billion worth of shares in fossil fuel companies and has opposed, or abstained from, over 80% of climate-related shareholder motions at fossil fuel companies between 2015 and 2019</w:t>
      </w:r>
      <w:r w:rsidR="00A94DA2" w:rsidRPr="009722CE">
        <w:rPr>
          <w:rFonts w:ascii="Georgia" w:hAnsi="Georgia"/>
          <w:i/>
          <w:iCs/>
        </w:rPr>
        <w:t>.</w:t>
      </w:r>
      <w:r w:rsidR="00E72336" w:rsidRPr="009722CE">
        <w:rPr>
          <w:rStyle w:val="FootnoteReference"/>
          <w:rFonts w:ascii="Georgia" w:hAnsi="Georgia"/>
          <w:i/>
          <w:iCs/>
        </w:rPr>
        <w:footnoteReference w:id="2"/>
      </w:r>
    </w:p>
    <w:p w14:paraId="3D58301A" w14:textId="77777777" w:rsidR="00330CDC" w:rsidRPr="00405077" w:rsidRDefault="00330CDC" w:rsidP="00405077">
      <w:pPr>
        <w:ind w:firstLine="720"/>
        <w:rPr>
          <w:rFonts w:ascii="Georgia" w:hAnsi="Georgia"/>
          <w:sz w:val="24"/>
          <w:szCs w:val="24"/>
        </w:rPr>
      </w:pPr>
    </w:p>
    <w:p w14:paraId="5B80040C" w14:textId="53A6CF72" w:rsidR="008F316A" w:rsidRDefault="00405077" w:rsidP="0078567E">
      <w:pPr>
        <w:spacing w:line="360" w:lineRule="auto"/>
        <w:ind w:firstLine="720"/>
        <w:rPr>
          <w:rFonts w:ascii="Georgia" w:hAnsi="Georgia"/>
          <w:sz w:val="24"/>
          <w:szCs w:val="24"/>
        </w:rPr>
      </w:pPr>
      <w:r w:rsidRPr="00405077">
        <w:rPr>
          <w:rFonts w:ascii="Georgia" w:hAnsi="Georgia"/>
          <w:sz w:val="24"/>
          <w:szCs w:val="24"/>
        </w:rPr>
        <w:t xml:space="preserve">The American Antitrust Institute notes that </w:t>
      </w:r>
      <w:r w:rsidR="00E25ADF">
        <w:rPr>
          <w:rFonts w:ascii="Georgia" w:hAnsi="Georgia"/>
          <w:sz w:val="24"/>
          <w:szCs w:val="24"/>
        </w:rPr>
        <w:t>managed funds like BlackRock</w:t>
      </w:r>
      <w:r w:rsidRPr="00405077">
        <w:rPr>
          <w:rFonts w:ascii="Georgia" w:hAnsi="Georgia"/>
          <w:sz w:val="24"/>
          <w:szCs w:val="24"/>
        </w:rPr>
        <w:t xml:space="preserve"> frequently take controlling stakes in companies across an entire sector, directing millions of voting shares in numerous market competitors—and that this horizontal control across market rivals is harming and stifling competition.</w:t>
      </w:r>
      <w:r w:rsidR="003E6931">
        <w:rPr>
          <w:rStyle w:val="FootnoteReference"/>
          <w:rFonts w:ascii="Georgia" w:hAnsi="Georgia"/>
          <w:sz w:val="24"/>
          <w:szCs w:val="24"/>
        </w:rPr>
        <w:footnoteReference w:id="3"/>
      </w:r>
    </w:p>
    <w:p w14:paraId="0F420EEB" w14:textId="189C59F1" w:rsidR="00565FA5" w:rsidRDefault="009A14D7" w:rsidP="00AA1D32">
      <w:pPr>
        <w:spacing w:line="360" w:lineRule="auto"/>
        <w:ind w:firstLine="720"/>
        <w:rPr>
          <w:rFonts w:ascii="Georgia" w:hAnsi="Georgia"/>
          <w:sz w:val="24"/>
          <w:szCs w:val="24"/>
        </w:rPr>
      </w:pPr>
      <w:r w:rsidRPr="009A14D7">
        <w:rPr>
          <w:rFonts w:ascii="Georgia" w:hAnsi="Georgia"/>
          <w:sz w:val="24"/>
          <w:szCs w:val="24"/>
        </w:rPr>
        <w:t>Benjamin Braun of the Max Plank Institute for the Study of Societies</w:t>
      </w:r>
      <w:r w:rsidR="00057FB8">
        <w:rPr>
          <w:rFonts w:ascii="Georgia" w:hAnsi="Georgia"/>
          <w:sz w:val="24"/>
          <w:szCs w:val="24"/>
        </w:rPr>
        <w:t xml:space="preserve"> </w:t>
      </w:r>
      <w:r w:rsidR="00565FA5" w:rsidRPr="00565FA5">
        <w:rPr>
          <w:rFonts w:ascii="Georgia" w:hAnsi="Georgia"/>
          <w:sz w:val="24"/>
          <w:szCs w:val="24"/>
        </w:rPr>
        <w:t>argues that BlackRock</w:t>
      </w:r>
      <w:r w:rsidR="00057FB8">
        <w:rPr>
          <w:rFonts w:ascii="Georgia" w:hAnsi="Georgia"/>
          <w:sz w:val="24"/>
          <w:szCs w:val="24"/>
        </w:rPr>
        <w:t>’</w:t>
      </w:r>
      <w:r w:rsidR="00565FA5" w:rsidRPr="00565FA5">
        <w:rPr>
          <w:rFonts w:ascii="Georgia" w:hAnsi="Georgia"/>
          <w:sz w:val="24"/>
          <w:szCs w:val="24"/>
        </w:rPr>
        <w:t xml:space="preserve">s </w:t>
      </w:r>
      <w:r w:rsidR="00057FB8">
        <w:rPr>
          <w:rFonts w:ascii="Georgia" w:hAnsi="Georgia"/>
          <w:sz w:val="24"/>
          <w:szCs w:val="24"/>
        </w:rPr>
        <w:t>“</w:t>
      </w:r>
      <w:r w:rsidR="00565FA5" w:rsidRPr="00565FA5">
        <w:rPr>
          <w:rFonts w:ascii="Georgia" w:hAnsi="Georgia"/>
          <w:sz w:val="24"/>
          <w:szCs w:val="24"/>
        </w:rPr>
        <w:t xml:space="preserve">asset manager </w:t>
      </w:r>
      <w:r w:rsidR="0078567E" w:rsidRPr="00565FA5">
        <w:rPr>
          <w:rFonts w:ascii="Georgia" w:hAnsi="Georgia"/>
          <w:sz w:val="24"/>
          <w:szCs w:val="24"/>
        </w:rPr>
        <w:t>capitalism</w:t>
      </w:r>
      <w:r w:rsidR="00057FB8">
        <w:rPr>
          <w:rFonts w:ascii="Georgia" w:hAnsi="Georgia"/>
          <w:sz w:val="24"/>
          <w:szCs w:val="24"/>
        </w:rPr>
        <w:t>”</w:t>
      </w:r>
      <w:r w:rsidR="00565FA5" w:rsidRPr="00565FA5">
        <w:rPr>
          <w:rFonts w:ascii="Georgia" w:hAnsi="Georgia"/>
          <w:sz w:val="24"/>
          <w:szCs w:val="24"/>
        </w:rPr>
        <w:t xml:space="preserve"> constitutes a distinct corporate governance regime, </w:t>
      </w:r>
      <w:r w:rsidR="00057FB8">
        <w:rPr>
          <w:rFonts w:ascii="Georgia" w:hAnsi="Georgia"/>
          <w:sz w:val="24"/>
          <w:szCs w:val="24"/>
        </w:rPr>
        <w:t>where BlackRock and other fund managers</w:t>
      </w:r>
      <w:r w:rsidR="00E246BD">
        <w:rPr>
          <w:rFonts w:ascii="Georgia" w:hAnsi="Georgia"/>
          <w:sz w:val="24"/>
          <w:szCs w:val="24"/>
        </w:rPr>
        <w:t xml:space="preserve"> operate as</w:t>
      </w:r>
      <w:r w:rsidR="00565FA5" w:rsidRPr="00565FA5">
        <w:rPr>
          <w:rFonts w:ascii="Georgia" w:hAnsi="Georgia"/>
          <w:sz w:val="24"/>
          <w:szCs w:val="24"/>
        </w:rPr>
        <w:t xml:space="preserve"> </w:t>
      </w:r>
      <w:r w:rsidR="00E246BD">
        <w:rPr>
          <w:rFonts w:ascii="Georgia" w:hAnsi="Georgia"/>
          <w:sz w:val="24"/>
          <w:szCs w:val="24"/>
        </w:rPr>
        <w:t>“</w:t>
      </w:r>
      <w:r w:rsidR="00565FA5" w:rsidRPr="00565FA5">
        <w:rPr>
          <w:rFonts w:ascii="Georgia" w:hAnsi="Georgia"/>
          <w:sz w:val="24"/>
          <w:szCs w:val="24"/>
        </w:rPr>
        <w:t>strong shareholders with considerable control over corporate management</w:t>
      </w:r>
      <w:r w:rsidR="0078567E">
        <w:rPr>
          <w:rFonts w:ascii="Georgia" w:hAnsi="Georgia"/>
          <w:sz w:val="24"/>
          <w:szCs w:val="24"/>
        </w:rPr>
        <w:t>”</w:t>
      </w:r>
      <w:r w:rsidR="00565FA5" w:rsidRPr="00565FA5">
        <w:rPr>
          <w:rFonts w:ascii="Georgia" w:hAnsi="Georgia"/>
          <w:sz w:val="24"/>
          <w:szCs w:val="24"/>
        </w:rPr>
        <w:t>.</w:t>
      </w:r>
      <w:r w:rsidR="00E246BD">
        <w:rPr>
          <w:rStyle w:val="FootnoteReference"/>
          <w:rFonts w:ascii="Georgia" w:hAnsi="Georgia"/>
          <w:sz w:val="24"/>
          <w:szCs w:val="24"/>
        </w:rPr>
        <w:footnoteReference w:id="4"/>
      </w:r>
    </w:p>
    <w:p w14:paraId="09550875" w14:textId="41ADEFE2" w:rsidR="009620E7" w:rsidRDefault="00DC702B" w:rsidP="00AA1D32">
      <w:pPr>
        <w:spacing w:line="360" w:lineRule="auto"/>
        <w:ind w:firstLine="720"/>
        <w:rPr>
          <w:rFonts w:ascii="Georgia" w:hAnsi="Georgia"/>
          <w:sz w:val="24"/>
          <w:szCs w:val="24"/>
        </w:rPr>
      </w:pPr>
      <w:r>
        <w:rPr>
          <w:rFonts w:ascii="Georgia" w:hAnsi="Georgia"/>
          <w:sz w:val="24"/>
          <w:szCs w:val="24"/>
        </w:rPr>
        <w:lastRenderedPageBreak/>
        <w:t xml:space="preserve">Granting blanket authorizations to BlackRock to acquire up to 20% of a utility’s voting securities </w:t>
      </w:r>
      <w:r w:rsidR="006F36E3">
        <w:rPr>
          <w:rFonts w:ascii="Georgia" w:hAnsi="Georgia"/>
          <w:sz w:val="24"/>
          <w:szCs w:val="24"/>
        </w:rPr>
        <w:t xml:space="preserve">without any analysis of the impact this blanket authorization has on competition, just and reasonable rates and regulation </w:t>
      </w:r>
      <w:r w:rsidR="004937C8">
        <w:rPr>
          <w:rFonts w:ascii="Georgia" w:hAnsi="Georgia"/>
          <w:sz w:val="24"/>
          <w:szCs w:val="24"/>
        </w:rPr>
        <w:t xml:space="preserve">violates the public interest. </w:t>
      </w:r>
      <w:r w:rsidR="00F155B1">
        <w:rPr>
          <w:rFonts w:ascii="Georgia" w:hAnsi="Georgia"/>
          <w:sz w:val="24"/>
          <w:szCs w:val="24"/>
        </w:rPr>
        <w:t xml:space="preserve">We request that the Commission </w:t>
      </w:r>
      <w:r w:rsidR="00D6630E">
        <w:rPr>
          <w:rFonts w:ascii="Georgia" w:hAnsi="Georgia"/>
          <w:sz w:val="24"/>
          <w:szCs w:val="24"/>
        </w:rPr>
        <w:t>set for</w:t>
      </w:r>
      <w:r w:rsidR="005A3268">
        <w:rPr>
          <w:rFonts w:ascii="Georgia" w:hAnsi="Georgia"/>
          <w:sz w:val="24"/>
          <w:szCs w:val="24"/>
        </w:rPr>
        <w:t xml:space="preserve"> hearing</w:t>
      </w:r>
      <w:r w:rsidR="00C9264A">
        <w:rPr>
          <w:rFonts w:ascii="Georgia" w:hAnsi="Georgia"/>
          <w:sz w:val="24"/>
          <w:szCs w:val="24"/>
        </w:rPr>
        <w:t xml:space="preserve"> whether granting BlackRock blanket authorization to control up to 20% of a utility’s voting securities</w:t>
      </w:r>
      <w:r w:rsidR="00AA1D32">
        <w:rPr>
          <w:rFonts w:ascii="Georgia" w:hAnsi="Georgia"/>
          <w:sz w:val="24"/>
          <w:szCs w:val="24"/>
        </w:rPr>
        <w:t xml:space="preserve"> violates the public interest, and threatens competition and just and reasonable rates.</w:t>
      </w:r>
    </w:p>
    <w:p w14:paraId="2BAABA36" w14:textId="77777777" w:rsidR="009B1535" w:rsidRDefault="009B1535" w:rsidP="00AA1D32">
      <w:pPr>
        <w:spacing w:line="360" w:lineRule="auto"/>
        <w:ind w:firstLine="720"/>
        <w:rPr>
          <w:rFonts w:ascii="Georgia" w:hAnsi="Georgia"/>
          <w:sz w:val="24"/>
          <w:szCs w:val="24"/>
        </w:rPr>
      </w:pPr>
    </w:p>
    <w:p w14:paraId="17EEC836" w14:textId="77777777" w:rsidR="00AA1D32" w:rsidRDefault="00AA1D32" w:rsidP="00405077">
      <w:pPr>
        <w:ind w:firstLine="720"/>
        <w:rPr>
          <w:rFonts w:ascii="Georgia" w:hAnsi="Georgia"/>
          <w:sz w:val="24"/>
          <w:szCs w:val="24"/>
        </w:rPr>
      </w:pPr>
    </w:p>
    <w:p w14:paraId="575E494C" w14:textId="77777777" w:rsidR="00AA1D32" w:rsidRDefault="00AA1D32" w:rsidP="00405077">
      <w:pPr>
        <w:ind w:firstLine="720"/>
        <w:rPr>
          <w:rFonts w:ascii="Georgia" w:hAnsi="Georgia"/>
          <w:sz w:val="24"/>
          <w:szCs w:val="24"/>
        </w:rPr>
      </w:pPr>
    </w:p>
    <w:p w14:paraId="3BDA59ED" w14:textId="4D6B0D81" w:rsidR="00AA1D32"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Respectfully submitted,</w:t>
      </w:r>
    </w:p>
    <w:p w14:paraId="4221ACC0" w14:textId="77777777" w:rsidR="00AA1D32" w:rsidRDefault="00AA1D32" w:rsidP="00405077">
      <w:pPr>
        <w:ind w:firstLine="720"/>
        <w:rPr>
          <w:rFonts w:ascii="Georgia" w:hAnsi="Georgia"/>
          <w:sz w:val="24"/>
          <w:szCs w:val="24"/>
        </w:rPr>
      </w:pPr>
    </w:p>
    <w:p w14:paraId="44BDF0B7" w14:textId="4F44F08C" w:rsidR="00AA1D32"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Tyson Slocum, Energy Program Director</w:t>
      </w:r>
    </w:p>
    <w:p w14:paraId="303401F0" w14:textId="631ADC2A" w:rsidR="00AA1D32"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Public Citizen, Inc.</w:t>
      </w:r>
    </w:p>
    <w:p w14:paraId="163B81C0" w14:textId="354B9088" w:rsidR="00AA1D32"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215 Pennsylvania Ave SE</w:t>
      </w:r>
    </w:p>
    <w:p w14:paraId="75F66869" w14:textId="4B05F3A2" w:rsidR="00AA1D32"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Washington, DC  20003</w:t>
      </w:r>
    </w:p>
    <w:p w14:paraId="11A2380E" w14:textId="0EDDC814" w:rsidR="00AA1D32"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(202) 454-5191</w:t>
      </w:r>
    </w:p>
    <w:p w14:paraId="67C4DDA8" w14:textId="171EF169" w:rsidR="00AA1D32" w:rsidRPr="00D015A4" w:rsidRDefault="00AA1D32" w:rsidP="00405077">
      <w:pPr>
        <w:ind w:firstLine="720"/>
        <w:rPr>
          <w:rFonts w:ascii="Georgia" w:hAnsi="Georgia"/>
          <w:sz w:val="24"/>
          <w:szCs w:val="24"/>
        </w:rPr>
      </w:pPr>
      <w:r>
        <w:rPr>
          <w:rFonts w:ascii="Georgia" w:hAnsi="Georgia"/>
          <w:sz w:val="24"/>
          <w:szCs w:val="24"/>
        </w:rPr>
        <w:tab/>
      </w:r>
      <w:r>
        <w:rPr>
          <w:rFonts w:ascii="Georgia" w:hAnsi="Georgia"/>
          <w:sz w:val="24"/>
          <w:szCs w:val="24"/>
        </w:rPr>
        <w:tab/>
        <w:t>tslocum@citizen.org</w:t>
      </w:r>
    </w:p>
    <w:sectPr w:rsidR="00AA1D32" w:rsidRPr="00D015A4" w:rsidSect="009B1535">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26F4" w14:textId="77777777" w:rsidR="00610EDF" w:rsidRDefault="00610EDF" w:rsidP="00F45B03">
      <w:r>
        <w:separator/>
      </w:r>
    </w:p>
  </w:endnote>
  <w:endnote w:type="continuationSeparator" w:id="0">
    <w:p w14:paraId="34FF129C" w14:textId="77777777" w:rsidR="00610EDF" w:rsidRDefault="00610EDF" w:rsidP="00F4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24815"/>
      <w:docPartObj>
        <w:docPartGallery w:val="Page Numbers (Bottom of Page)"/>
        <w:docPartUnique/>
      </w:docPartObj>
    </w:sdtPr>
    <w:sdtEndPr>
      <w:rPr>
        <w:color w:val="7F7F7F" w:themeColor="background1" w:themeShade="7F"/>
        <w:spacing w:val="60"/>
      </w:rPr>
    </w:sdtEndPr>
    <w:sdtContent>
      <w:p w14:paraId="47E179E0" w14:textId="0D61A1F2" w:rsidR="00164DF9" w:rsidRDefault="00164DF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B06D0D" w14:textId="77777777" w:rsidR="00164DF9" w:rsidRDefault="0016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B6B4" w14:textId="77777777" w:rsidR="00610EDF" w:rsidRDefault="00610EDF" w:rsidP="00F45B03">
      <w:r>
        <w:separator/>
      </w:r>
    </w:p>
  </w:footnote>
  <w:footnote w:type="continuationSeparator" w:id="0">
    <w:p w14:paraId="7665CC59" w14:textId="77777777" w:rsidR="00610EDF" w:rsidRDefault="00610EDF" w:rsidP="00F45B03">
      <w:r>
        <w:continuationSeparator/>
      </w:r>
    </w:p>
  </w:footnote>
  <w:footnote w:id="1">
    <w:p w14:paraId="0AA2038E" w14:textId="47D63482" w:rsidR="00F45B03" w:rsidRDefault="00F45B03">
      <w:pPr>
        <w:pStyle w:val="FootnoteText"/>
      </w:pPr>
      <w:r>
        <w:rPr>
          <w:rStyle w:val="FootnoteReference"/>
        </w:rPr>
        <w:footnoteRef/>
      </w:r>
      <w:r>
        <w:t xml:space="preserve"> </w:t>
      </w:r>
      <w:r w:rsidRPr="00F45B03">
        <w:rPr>
          <w:rFonts w:ascii="Georgia" w:hAnsi="Georgia"/>
        </w:rPr>
        <w:t xml:space="preserve">Saqib Iqbal Ahmed and Sohini Podder, </w:t>
      </w:r>
      <w:r>
        <w:rPr>
          <w:rFonts w:ascii="Georgia" w:hAnsi="Georgia"/>
        </w:rPr>
        <w:t>“</w:t>
      </w:r>
      <w:r w:rsidRPr="00F45B03">
        <w:rPr>
          <w:rFonts w:ascii="Georgia" w:hAnsi="Georgia"/>
        </w:rPr>
        <w:t>BlackRock profit beats as assets grow to a record $9.5 trillion,</w:t>
      </w:r>
      <w:r>
        <w:rPr>
          <w:rFonts w:ascii="Georgia" w:hAnsi="Georgia"/>
        </w:rPr>
        <w:t>”</w:t>
      </w:r>
      <w:r w:rsidRPr="00F45B03">
        <w:rPr>
          <w:rFonts w:ascii="Georgia" w:hAnsi="Georgia"/>
        </w:rPr>
        <w:t xml:space="preserve"> </w:t>
      </w:r>
      <w:r w:rsidRPr="00F45B03">
        <w:rPr>
          <w:rFonts w:ascii="Georgia" w:hAnsi="Georgia"/>
          <w:i/>
          <w:iCs/>
        </w:rPr>
        <w:t>Reuters</w:t>
      </w:r>
      <w:r w:rsidRPr="00F45B03">
        <w:rPr>
          <w:rFonts w:ascii="Georgia" w:hAnsi="Georgia"/>
        </w:rPr>
        <w:t>, July 14, 2021, www.reuters.com/business/blackrock-quarterly-profit-jumps-28-2021-07-14/</w:t>
      </w:r>
    </w:p>
  </w:footnote>
  <w:footnote w:id="2">
    <w:p w14:paraId="65476C86" w14:textId="66E790ED" w:rsidR="00E72336" w:rsidRDefault="00E72336">
      <w:pPr>
        <w:pStyle w:val="FootnoteText"/>
      </w:pPr>
      <w:r>
        <w:rPr>
          <w:rStyle w:val="FootnoteReference"/>
        </w:rPr>
        <w:footnoteRef/>
      </w:r>
      <w:r>
        <w:t xml:space="preserve"> </w:t>
      </w:r>
      <w:r w:rsidR="009722CE" w:rsidRPr="009722CE">
        <w:rPr>
          <w:rFonts w:ascii="Georgia" w:hAnsi="Georgia"/>
        </w:rPr>
        <w:t xml:space="preserve">Graham Steele, </w:t>
      </w:r>
      <w:r w:rsidR="009722CE" w:rsidRPr="009722CE">
        <w:rPr>
          <w:rFonts w:ascii="Georgia" w:hAnsi="Georgia"/>
          <w:i/>
          <w:iCs/>
        </w:rPr>
        <w:t>The New Money Trust: How Large Money Managers Control Our Economy and What We Can Do About It</w:t>
      </w:r>
      <w:r w:rsidR="009722CE" w:rsidRPr="009722CE">
        <w:rPr>
          <w:rFonts w:ascii="Georgia" w:hAnsi="Georgia"/>
        </w:rPr>
        <w:t>, November 23, 2020, www.economicliberties.us/our-work/new-money-trust/</w:t>
      </w:r>
    </w:p>
  </w:footnote>
  <w:footnote w:id="3">
    <w:p w14:paraId="41712D91" w14:textId="05BFDE0F" w:rsidR="003E6931" w:rsidRDefault="003E6931">
      <w:pPr>
        <w:pStyle w:val="FootnoteText"/>
      </w:pPr>
      <w:r>
        <w:rPr>
          <w:rStyle w:val="FootnoteReference"/>
        </w:rPr>
        <w:footnoteRef/>
      </w:r>
      <w:r>
        <w:t xml:space="preserve"> </w:t>
      </w:r>
      <w:r w:rsidRPr="003E6931">
        <w:rPr>
          <w:rFonts w:ascii="Georgia" w:hAnsi="Georgia"/>
        </w:rPr>
        <w:t xml:space="preserve">Diana L. Moss, </w:t>
      </w:r>
      <w:r w:rsidRPr="003E6931">
        <w:rPr>
          <w:rFonts w:ascii="Georgia" w:hAnsi="Georgia"/>
          <w:i/>
          <w:iCs/>
        </w:rPr>
        <w:t>What Does Expanding Horizontal Control Mean for Antitrust Enforcement? A Look at Mergers, Partial Ownership, and Joint Ventures</w:t>
      </w:r>
      <w:r w:rsidRPr="003E6931">
        <w:rPr>
          <w:rFonts w:ascii="Georgia" w:hAnsi="Georgia"/>
        </w:rPr>
        <w:t>, November 4, 2020, www.antitrustinstitute.org/wp-content/uploads/2020/11/Moss_Horizontal-Control_11.4.20.pdf</w:t>
      </w:r>
    </w:p>
  </w:footnote>
  <w:footnote w:id="4">
    <w:p w14:paraId="49F9DBD4" w14:textId="6EDB516F" w:rsidR="00E246BD" w:rsidRPr="00B375EE" w:rsidRDefault="00E246BD">
      <w:pPr>
        <w:pStyle w:val="FootnoteText"/>
        <w:rPr>
          <w:rFonts w:ascii="Georgia" w:hAnsi="Georgia"/>
        </w:rPr>
      </w:pPr>
      <w:r>
        <w:rPr>
          <w:rStyle w:val="FootnoteReference"/>
        </w:rPr>
        <w:footnoteRef/>
      </w:r>
      <w:r>
        <w:t xml:space="preserve"> </w:t>
      </w:r>
      <w:r w:rsidR="00B375EE" w:rsidRPr="00B375EE">
        <w:rPr>
          <w:rFonts w:ascii="Georgia" w:hAnsi="Georgia"/>
          <w:i/>
          <w:iCs/>
        </w:rPr>
        <w:t xml:space="preserve">Asset Manager </w:t>
      </w:r>
      <w:r w:rsidR="00B375EE" w:rsidRPr="00B375EE">
        <w:rPr>
          <w:rFonts w:ascii="Georgia" w:hAnsi="Georgia"/>
          <w:i/>
          <w:iCs/>
        </w:rPr>
        <w:t>Capitalism</w:t>
      </w:r>
      <w:r w:rsidR="00B375EE" w:rsidRPr="00B375EE">
        <w:rPr>
          <w:rFonts w:ascii="Georgia" w:hAnsi="Georgia"/>
          <w:i/>
          <w:iCs/>
        </w:rPr>
        <w:t xml:space="preserve"> as a Corporate </w:t>
      </w:r>
      <w:r w:rsidR="00B375EE" w:rsidRPr="00B375EE">
        <w:rPr>
          <w:rFonts w:ascii="Georgia" w:hAnsi="Georgia"/>
          <w:i/>
          <w:iCs/>
        </w:rPr>
        <w:t>Governance</w:t>
      </w:r>
      <w:r w:rsidR="00B375EE" w:rsidRPr="00B375EE">
        <w:rPr>
          <w:rFonts w:ascii="Georgia" w:hAnsi="Georgia"/>
          <w:i/>
          <w:iCs/>
        </w:rPr>
        <w:t xml:space="preserve"> Regime</w:t>
      </w:r>
      <w:r w:rsidR="00B375EE" w:rsidRPr="00B375EE">
        <w:rPr>
          <w:rFonts w:ascii="Georgia" w:hAnsi="Georgia"/>
        </w:rPr>
        <w:t>, May 12, 2021, https://osf.io/preprints/socarxiv/v6gue/ at page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AEBA" w14:textId="1410F9EA" w:rsidR="009B1535" w:rsidRPr="009B1535" w:rsidRDefault="009B1535" w:rsidP="009B1535">
    <w:pPr>
      <w:pStyle w:val="Header"/>
      <w:jc w:val="center"/>
      <w:rPr>
        <w:rFonts w:ascii="Georgia" w:hAnsi="Georgia"/>
        <w:i/>
        <w:iCs/>
      </w:rPr>
    </w:pPr>
    <w:r w:rsidRPr="009B1535">
      <w:rPr>
        <w:rFonts w:ascii="Georgia" w:hAnsi="Georgia"/>
        <w:i/>
        <w:iCs/>
      </w:rPr>
      <w:t>Public Citizen Protest • Docket No. EC16-77-002 • March 11, 2022</w:t>
    </w:r>
  </w:p>
  <w:p w14:paraId="5D013D1F" w14:textId="77777777" w:rsidR="009B1535" w:rsidRDefault="009B1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170B1"/>
    <w:multiLevelType w:val="hybridMultilevel"/>
    <w:tmpl w:val="CB12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F6"/>
    <w:rsid w:val="0001495B"/>
    <w:rsid w:val="00020D94"/>
    <w:rsid w:val="00022861"/>
    <w:rsid w:val="00057FB8"/>
    <w:rsid w:val="000A0DB5"/>
    <w:rsid w:val="000B4A11"/>
    <w:rsid w:val="000D0D3F"/>
    <w:rsid w:val="000F4965"/>
    <w:rsid w:val="00111A8A"/>
    <w:rsid w:val="001277BD"/>
    <w:rsid w:val="001478E0"/>
    <w:rsid w:val="00164DF9"/>
    <w:rsid w:val="00176D4B"/>
    <w:rsid w:val="00187D32"/>
    <w:rsid w:val="0019281E"/>
    <w:rsid w:val="00220DAD"/>
    <w:rsid w:val="00314667"/>
    <w:rsid w:val="00315478"/>
    <w:rsid w:val="00325FF8"/>
    <w:rsid w:val="00327CF1"/>
    <w:rsid w:val="00330CDC"/>
    <w:rsid w:val="0035227D"/>
    <w:rsid w:val="00366234"/>
    <w:rsid w:val="00396CA3"/>
    <w:rsid w:val="003D1DC1"/>
    <w:rsid w:val="003E0380"/>
    <w:rsid w:val="003E6931"/>
    <w:rsid w:val="00405077"/>
    <w:rsid w:val="00443667"/>
    <w:rsid w:val="00466DA5"/>
    <w:rsid w:val="004937C8"/>
    <w:rsid w:val="004A2DBE"/>
    <w:rsid w:val="004C32D5"/>
    <w:rsid w:val="004E2315"/>
    <w:rsid w:val="00534844"/>
    <w:rsid w:val="00565FA5"/>
    <w:rsid w:val="0058522C"/>
    <w:rsid w:val="005A3268"/>
    <w:rsid w:val="005B7BB6"/>
    <w:rsid w:val="00610EDF"/>
    <w:rsid w:val="006443BB"/>
    <w:rsid w:val="006E15D1"/>
    <w:rsid w:val="006F36E3"/>
    <w:rsid w:val="007524F3"/>
    <w:rsid w:val="0078567E"/>
    <w:rsid w:val="007A6DAF"/>
    <w:rsid w:val="007C27A9"/>
    <w:rsid w:val="007E3CAC"/>
    <w:rsid w:val="008F316A"/>
    <w:rsid w:val="009107F6"/>
    <w:rsid w:val="009620E7"/>
    <w:rsid w:val="009722CE"/>
    <w:rsid w:val="00975E23"/>
    <w:rsid w:val="009843A3"/>
    <w:rsid w:val="009A14D7"/>
    <w:rsid w:val="009B1535"/>
    <w:rsid w:val="009E079D"/>
    <w:rsid w:val="00A0577E"/>
    <w:rsid w:val="00A1088A"/>
    <w:rsid w:val="00A94DA2"/>
    <w:rsid w:val="00AA1D32"/>
    <w:rsid w:val="00AA6AC5"/>
    <w:rsid w:val="00AE6BFE"/>
    <w:rsid w:val="00B375EE"/>
    <w:rsid w:val="00BC5B9F"/>
    <w:rsid w:val="00C52613"/>
    <w:rsid w:val="00C62E57"/>
    <w:rsid w:val="00C9264A"/>
    <w:rsid w:val="00CD1FD2"/>
    <w:rsid w:val="00D015A4"/>
    <w:rsid w:val="00D05ABB"/>
    <w:rsid w:val="00D6630E"/>
    <w:rsid w:val="00DB5A4B"/>
    <w:rsid w:val="00DC702B"/>
    <w:rsid w:val="00E16B70"/>
    <w:rsid w:val="00E246BD"/>
    <w:rsid w:val="00E25ADF"/>
    <w:rsid w:val="00E72336"/>
    <w:rsid w:val="00EA3F6F"/>
    <w:rsid w:val="00EA7D7D"/>
    <w:rsid w:val="00ED7BBC"/>
    <w:rsid w:val="00F155B1"/>
    <w:rsid w:val="00F45B03"/>
    <w:rsid w:val="00F8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70AB"/>
  <w15:chartTrackingRefBased/>
  <w15:docId w15:val="{B5043090-F060-4858-80F3-BB9C93B7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5B03"/>
    <w:rPr>
      <w:sz w:val="20"/>
      <w:szCs w:val="20"/>
    </w:rPr>
  </w:style>
  <w:style w:type="character" w:customStyle="1" w:styleId="FootnoteTextChar">
    <w:name w:val="Footnote Text Char"/>
    <w:basedOn w:val="DefaultParagraphFont"/>
    <w:link w:val="FootnoteText"/>
    <w:uiPriority w:val="99"/>
    <w:semiHidden/>
    <w:rsid w:val="00F45B03"/>
    <w:rPr>
      <w:sz w:val="20"/>
      <w:szCs w:val="20"/>
    </w:rPr>
  </w:style>
  <w:style w:type="character" w:styleId="FootnoteReference">
    <w:name w:val="footnote reference"/>
    <w:basedOn w:val="DefaultParagraphFont"/>
    <w:uiPriority w:val="99"/>
    <w:semiHidden/>
    <w:unhideWhenUsed/>
    <w:rsid w:val="00F45B03"/>
    <w:rPr>
      <w:vertAlign w:val="superscript"/>
    </w:rPr>
  </w:style>
  <w:style w:type="paragraph" w:styleId="ListParagraph">
    <w:name w:val="List Paragraph"/>
    <w:basedOn w:val="Normal"/>
    <w:uiPriority w:val="34"/>
    <w:qFormat/>
    <w:rsid w:val="00A94DA2"/>
    <w:pPr>
      <w:ind w:left="720"/>
      <w:contextualSpacing/>
    </w:pPr>
  </w:style>
  <w:style w:type="paragraph" w:styleId="Header">
    <w:name w:val="header"/>
    <w:basedOn w:val="Normal"/>
    <w:link w:val="HeaderChar"/>
    <w:uiPriority w:val="99"/>
    <w:unhideWhenUsed/>
    <w:rsid w:val="009B1535"/>
    <w:pPr>
      <w:tabs>
        <w:tab w:val="center" w:pos="4680"/>
        <w:tab w:val="right" w:pos="9360"/>
      </w:tabs>
    </w:pPr>
  </w:style>
  <w:style w:type="character" w:customStyle="1" w:styleId="HeaderChar">
    <w:name w:val="Header Char"/>
    <w:basedOn w:val="DefaultParagraphFont"/>
    <w:link w:val="Header"/>
    <w:uiPriority w:val="99"/>
    <w:rsid w:val="009B1535"/>
  </w:style>
  <w:style w:type="paragraph" w:styleId="Footer">
    <w:name w:val="footer"/>
    <w:basedOn w:val="Normal"/>
    <w:link w:val="FooterChar"/>
    <w:uiPriority w:val="99"/>
    <w:unhideWhenUsed/>
    <w:rsid w:val="009B1535"/>
    <w:pPr>
      <w:tabs>
        <w:tab w:val="center" w:pos="4680"/>
        <w:tab w:val="right" w:pos="9360"/>
      </w:tabs>
    </w:pPr>
  </w:style>
  <w:style w:type="character" w:customStyle="1" w:styleId="FooterChar">
    <w:name w:val="Footer Char"/>
    <w:basedOn w:val="DefaultParagraphFont"/>
    <w:link w:val="Footer"/>
    <w:uiPriority w:val="99"/>
    <w:rsid w:val="009B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1146-96E6-4C58-8BBA-574F36F8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T. Slocum</dc:creator>
  <cp:keywords/>
  <dc:description/>
  <cp:lastModifiedBy>Tyson T. Slocum</cp:lastModifiedBy>
  <cp:revision>75</cp:revision>
  <dcterms:created xsi:type="dcterms:W3CDTF">2022-03-11T15:26:00Z</dcterms:created>
  <dcterms:modified xsi:type="dcterms:W3CDTF">2022-03-11T20:49:00Z</dcterms:modified>
</cp:coreProperties>
</file>