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9174" w14:textId="77777777" w:rsidR="000F28EB" w:rsidRDefault="000F28EB" w:rsidP="000F28EB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UNITED STATES OF AMERICA</w:t>
      </w:r>
    </w:p>
    <w:p w14:paraId="3F6CEBD4" w14:textId="77777777" w:rsidR="000F28EB" w:rsidRDefault="000F28EB" w:rsidP="000F28EB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BEFORE THE</w:t>
      </w:r>
    </w:p>
    <w:p w14:paraId="509FF1F1" w14:textId="77777777" w:rsidR="000F28EB" w:rsidRDefault="000F28EB" w:rsidP="000F28EB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FEDERAL ENERGY REGULATORY COMMISSION</w:t>
      </w:r>
    </w:p>
    <w:p w14:paraId="231180CC" w14:textId="77777777" w:rsidR="000F28EB" w:rsidRDefault="000F28EB" w:rsidP="000F28EB">
      <w:pPr>
        <w:rPr>
          <w:rFonts w:ascii="Georgia" w:hAnsi="Georgia"/>
          <w:sz w:val="24"/>
          <w:szCs w:val="24"/>
        </w:rPr>
      </w:pPr>
    </w:p>
    <w:p w14:paraId="10426F49" w14:textId="1DF7FE60" w:rsidR="000F28EB" w:rsidRDefault="000F28EB" w:rsidP="000F28EB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BlackRock</w:t>
      </w:r>
      <w:r w:rsidRPr="00746A1D">
        <w:rPr>
          <w:rFonts w:ascii="Georgia" w:hAnsi="Georgia" w:cs="Times New Roman"/>
          <w:sz w:val="24"/>
          <w:szCs w:val="24"/>
        </w:rPr>
        <w:t>, Inc.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Docket No.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A52BBA" w:rsidRPr="00A52BBA">
        <w:rPr>
          <w:rFonts w:ascii="Georgia" w:hAnsi="Georgia" w:cs="Times New Roman"/>
          <w:sz w:val="24"/>
          <w:szCs w:val="24"/>
        </w:rPr>
        <w:t>EC16-77-002</w:t>
      </w:r>
    </w:p>
    <w:p w14:paraId="1FD7FFF4" w14:textId="77777777" w:rsidR="000F28EB" w:rsidRPr="000F28EB" w:rsidRDefault="000F28EB" w:rsidP="000F28EB">
      <w:pPr>
        <w:rPr>
          <w:rFonts w:ascii="Georgia" w:hAnsi="Georgia" w:cs="Times New Roman"/>
          <w:sz w:val="24"/>
          <w:szCs w:val="24"/>
        </w:rPr>
      </w:pPr>
    </w:p>
    <w:p w14:paraId="15652E54" w14:textId="77777777" w:rsidR="000F28EB" w:rsidRDefault="000F28EB" w:rsidP="000F28EB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9D76EDD" w14:textId="6E06B5A9" w:rsidR="000F28EB" w:rsidRPr="00F4558F" w:rsidRDefault="000F28EB" w:rsidP="000F28EB">
      <w:pPr>
        <w:jc w:val="center"/>
        <w:rPr>
          <w:rFonts w:ascii="Georgia" w:hAnsi="Georgia"/>
          <w:b/>
          <w:bCs/>
          <w:sz w:val="28"/>
          <w:szCs w:val="28"/>
        </w:rPr>
      </w:pPr>
      <w:r w:rsidRPr="00F4558F">
        <w:rPr>
          <w:rFonts w:ascii="Georgia" w:hAnsi="Georgia"/>
          <w:b/>
          <w:bCs/>
          <w:sz w:val="28"/>
          <w:szCs w:val="28"/>
        </w:rPr>
        <w:t xml:space="preserve">Public Citizen Answer In Opposition to Late Intervention </w:t>
      </w:r>
      <w:r>
        <w:rPr>
          <w:rFonts w:ascii="Georgia" w:hAnsi="Georgia"/>
          <w:b/>
          <w:bCs/>
          <w:sz w:val="28"/>
          <w:szCs w:val="28"/>
        </w:rPr>
        <w:t xml:space="preserve">of </w:t>
      </w:r>
      <w:r>
        <w:rPr>
          <w:rFonts w:ascii="Georgia" w:hAnsi="Georgia"/>
          <w:b/>
          <w:bCs/>
          <w:sz w:val="28"/>
          <w:szCs w:val="28"/>
        </w:rPr>
        <w:t>the States and Attorneys General</w:t>
      </w:r>
      <w:r w:rsidRPr="00F4558F">
        <w:rPr>
          <w:rFonts w:ascii="Georgia" w:hAnsi="Georgia"/>
          <w:b/>
          <w:bCs/>
          <w:sz w:val="28"/>
          <w:szCs w:val="28"/>
        </w:rPr>
        <w:t xml:space="preserve"> </w:t>
      </w:r>
    </w:p>
    <w:p w14:paraId="28C4CDFB" w14:textId="77777777" w:rsidR="000F28EB" w:rsidRDefault="000F28EB" w:rsidP="000F28EB">
      <w:pPr>
        <w:rPr>
          <w:rFonts w:ascii="Georgia" w:hAnsi="Georgia"/>
          <w:sz w:val="24"/>
          <w:szCs w:val="24"/>
        </w:rPr>
      </w:pPr>
    </w:p>
    <w:p w14:paraId="211EEAC8" w14:textId="77777777" w:rsidR="000F28EB" w:rsidRDefault="000F28EB" w:rsidP="000F28EB">
      <w:pPr>
        <w:rPr>
          <w:rFonts w:ascii="Georgia" w:hAnsi="Georgia"/>
          <w:sz w:val="24"/>
          <w:szCs w:val="24"/>
        </w:rPr>
      </w:pPr>
    </w:p>
    <w:p w14:paraId="3A21B0E8" w14:textId="480F36BF" w:rsidR="000F28EB" w:rsidRDefault="000F28EB" w:rsidP="000F28EB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 </w:t>
      </w:r>
      <w:r w:rsidRPr="003826E7">
        <w:rPr>
          <w:rFonts w:ascii="Georgia" w:hAnsi="Georgia"/>
          <w:sz w:val="24"/>
          <w:szCs w:val="24"/>
        </w:rPr>
        <w:t>18 CFR § 385.214</w:t>
      </w:r>
      <w:r>
        <w:rPr>
          <w:rFonts w:ascii="Georgia" w:hAnsi="Georgia"/>
          <w:sz w:val="24"/>
          <w:szCs w:val="24"/>
        </w:rPr>
        <w:t xml:space="preserve">, Public Citizen </w:t>
      </w:r>
      <w:r w:rsidRPr="004F68BF">
        <w:rPr>
          <w:rFonts w:ascii="Georgia" w:hAnsi="Georgia"/>
          <w:sz w:val="24"/>
          <w:szCs w:val="24"/>
        </w:rPr>
        <w:t>answer</w:t>
      </w:r>
      <w:r>
        <w:rPr>
          <w:rFonts w:ascii="Georgia" w:hAnsi="Georgia"/>
          <w:sz w:val="24"/>
          <w:szCs w:val="24"/>
        </w:rPr>
        <w:t>s</w:t>
      </w:r>
      <w:r w:rsidRPr="004F68BF">
        <w:rPr>
          <w:rFonts w:ascii="Georgia" w:hAnsi="Georgia"/>
          <w:sz w:val="24"/>
          <w:szCs w:val="24"/>
        </w:rPr>
        <w:t xml:space="preserve"> in opposition</w:t>
      </w:r>
      <w:r>
        <w:rPr>
          <w:rFonts w:ascii="Georgia" w:hAnsi="Georgia"/>
          <w:sz w:val="24"/>
          <w:szCs w:val="24"/>
        </w:rPr>
        <w:t xml:space="preserve"> to</w:t>
      </w:r>
      <w:r w:rsidR="00776026">
        <w:rPr>
          <w:rFonts w:ascii="Georgia" w:hAnsi="Georgia"/>
          <w:sz w:val="24"/>
          <w:szCs w:val="24"/>
        </w:rPr>
        <w:t xml:space="preserve"> the States and Attorneys General </w:t>
      </w:r>
      <w:r w:rsidRPr="004F68BF">
        <w:rPr>
          <w:rFonts w:ascii="Georgia" w:hAnsi="Georgia"/>
          <w:sz w:val="24"/>
          <w:szCs w:val="24"/>
        </w:rPr>
        <w:t>late intervention</w:t>
      </w:r>
      <w:r>
        <w:rPr>
          <w:rFonts w:ascii="Georgia" w:hAnsi="Georgia"/>
          <w:sz w:val="24"/>
          <w:szCs w:val="24"/>
        </w:rPr>
        <w:t>. We</w:t>
      </w:r>
      <w:r w:rsidRPr="004F68B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request that the Commission deny </w:t>
      </w:r>
      <w:r w:rsidR="00776026">
        <w:rPr>
          <w:rFonts w:ascii="Georgia" w:hAnsi="Georgia"/>
          <w:sz w:val="24"/>
          <w:szCs w:val="24"/>
        </w:rPr>
        <w:t>the States and Attorneys General</w:t>
      </w:r>
      <w:r>
        <w:rPr>
          <w:rFonts w:ascii="Georgia" w:hAnsi="Georgia"/>
          <w:sz w:val="24"/>
          <w:szCs w:val="24"/>
        </w:rPr>
        <w:t xml:space="preserve"> party status to this proceeding, and disallow its </w:t>
      </w:r>
      <w:r w:rsidR="00013488">
        <w:rPr>
          <w:rFonts w:ascii="Georgia" w:hAnsi="Georgia"/>
          <w:sz w:val="24"/>
          <w:szCs w:val="24"/>
        </w:rPr>
        <w:t>May 10 Motion</w:t>
      </w:r>
      <w:r>
        <w:rPr>
          <w:rFonts w:ascii="Georgia" w:hAnsi="Georgia"/>
          <w:sz w:val="24"/>
          <w:szCs w:val="24"/>
        </w:rPr>
        <w:t xml:space="preserve"> as procedurally deficient.</w:t>
      </w:r>
    </w:p>
    <w:p w14:paraId="07C8582C" w14:textId="34AC58CA" w:rsidR="000C173F" w:rsidRDefault="001B5EDE" w:rsidP="00344889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0C173F">
        <w:rPr>
          <w:rFonts w:ascii="Georgia" w:hAnsi="Georgia"/>
          <w:sz w:val="24"/>
          <w:szCs w:val="24"/>
        </w:rPr>
        <w:t xml:space="preserve">he Commission noticed </w:t>
      </w:r>
      <w:r w:rsidR="00924812">
        <w:rPr>
          <w:rFonts w:ascii="Georgia" w:hAnsi="Georgia"/>
          <w:sz w:val="24"/>
          <w:szCs w:val="24"/>
        </w:rPr>
        <w:t>BlackRock’s Section 203 application</w:t>
      </w:r>
      <w:r w:rsidR="00DA2F57">
        <w:rPr>
          <w:rFonts w:ascii="Georgia" w:hAnsi="Georgia"/>
          <w:sz w:val="24"/>
          <w:szCs w:val="24"/>
        </w:rPr>
        <w:t xml:space="preserve"> on February 18, 2022, </w:t>
      </w:r>
      <w:r w:rsidR="00DA2F57">
        <w:rPr>
          <w:rFonts w:ascii="Georgia" w:hAnsi="Georgia"/>
          <w:sz w:val="24"/>
          <w:szCs w:val="24"/>
        </w:rPr>
        <w:t>and established an intervention deadline</w:t>
      </w:r>
      <w:r w:rsidR="00924812">
        <w:rPr>
          <w:rFonts w:ascii="Georgia" w:hAnsi="Georgia"/>
          <w:sz w:val="24"/>
          <w:szCs w:val="24"/>
        </w:rPr>
        <w:t xml:space="preserve"> of March 11, 2022.</w:t>
      </w:r>
      <w:r w:rsidR="007C30C0">
        <w:rPr>
          <w:rFonts w:ascii="Georgia" w:hAnsi="Georgia"/>
          <w:sz w:val="24"/>
          <w:szCs w:val="24"/>
        </w:rPr>
        <w:t xml:space="preserve"> </w:t>
      </w:r>
      <w:r w:rsidR="00E1109E">
        <w:rPr>
          <w:rFonts w:ascii="Georgia" w:hAnsi="Georgia"/>
          <w:sz w:val="24"/>
          <w:szCs w:val="24"/>
        </w:rPr>
        <w:t>Public Citizen</w:t>
      </w:r>
      <w:r w:rsidR="003A3D79">
        <w:rPr>
          <w:rFonts w:ascii="Georgia" w:hAnsi="Georgia"/>
          <w:sz w:val="24"/>
          <w:szCs w:val="24"/>
        </w:rPr>
        <w:t xml:space="preserve"> timely intervened on February 28</w:t>
      </w:r>
      <w:r w:rsidR="00FD6039">
        <w:rPr>
          <w:rFonts w:ascii="Georgia" w:hAnsi="Georgia"/>
          <w:sz w:val="24"/>
          <w:szCs w:val="24"/>
        </w:rPr>
        <w:t>, 2022</w:t>
      </w:r>
      <w:r w:rsidR="003A3D79">
        <w:rPr>
          <w:rFonts w:ascii="Georgia" w:hAnsi="Georgia"/>
          <w:sz w:val="24"/>
          <w:szCs w:val="24"/>
        </w:rPr>
        <w:t xml:space="preserve">, and filed a timely protest on </w:t>
      </w:r>
      <w:r w:rsidR="00B955A5">
        <w:rPr>
          <w:rFonts w:ascii="Georgia" w:hAnsi="Georgia"/>
          <w:sz w:val="24"/>
          <w:szCs w:val="24"/>
        </w:rPr>
        <w:t>March 11</w:t>
      </w:r>
      <w:r w:rsidR="00FD6039">
        <w:rPr>
          <w:rFonts w:ascii="Georgia" w:hAnsi="Georgia"/>
          <w:sz w:val="24"/>
          <w:szCs w:val="24"/>
        </w:rPr>
        <w:t>, 2022</w:t>
      </w:r>
      <w:r w:rsidR="00B955A5">
        <w:rPr>
          <w:rFonts w:ascii="Georgia" w:hAnsi="Georgia"/>
          <w:sz w:val="24"/>
          <w:szCs w:val="24"/>
        </w:rPr>
        <w:t>.</w:t>
      </w:r>
      <w:r w:rsidR="00074A83">
        <w:rPr>
          <w:rStyle w:val="FootnoteReference"/>
          <w:rFonts w:ascii="Georgia" w:hAnsi="Georgia"/>
          <w:sz w:val="24"/>
          <w:szCs w:val="24"/>
        </w:rPr>
        <w:footnoteReference w:id="1"/>
      </w:r>
      <w:r w:rsidR="00B955A5">
        <w:rPr>
          <w:rFonts w:ascii="Georgia" w:hAnsi="Georgia"/>
          <w:sz w:val="24"/>
          <w:szCs w:val="24"/>
        </w:rPr>
        <w:t xml:space="preserve"> </w:t>
      </w:r>
      <w:r w:rsidR="000E103C">
        <w:rPr>
          <w:rFonts w:ascii="Georgia" w:hAnsi="Georgia"/>
          <w:sz w:val="24"/>
          <w:szCs w:val="24"/>
        </w:rPr>
        <w:t xml:space="preserve">The Commission </w:t>
      </w:r>
      <w:r w:rsidR="00CA639F">
        <w:rPr>
          <w:rFonts w:ascii="Georgia" w:hAnsi="Georgia"/>
          <w:sz w:val="24"/>
          <w:szCs w:val="24"/>
        </w:rPr>
        <w:t xml:space="preserve">issued an order </w:t>
      </w:r>
      <w:r w:rsidR="000E103C">
        <w:rPr>
          <w:rFonts w:ascii="Georgia" w:hAnsi="Georgia"/>
          <w:sz w:val="24"/>
          <w:szCs w:val="24"/>
        </w:rPr>
        <w:t>approv</w:t>
      </w:r>
      <w:r w:rsidR="00CA639F">
        <w:rPr>
          <w:rFonts w:ascii="Georgia" w:hAnsi="Georgia"/>
          <w:sz w:val="24"/>
          <w:szCs w:val="24"/>
        </w:rPr>
        <w:t>ing BlackRock’s</w:t>
      </w:r>
      <w:r w:rsidR="000E103C">
        <w:rPr>
          <w:rFonts w:ascii="Georgia" w:hAnsi="Georgia"/>
          <w:sz w:val="24"/>
          <w:szCs w:val="24"/>
        </w:rPr>
        <w:t xml:space="preserve"> application on April 19, 2022.</w:t>
      </w:r>
    </w:p>
    <w:p w14:paraId="2BEB530C" w14:textId="61830677" w:rsidR="000C173F" w:rsidRDefault="000C173F" w:rsidP="000C173F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Commission’s assessment of the merits of a late intervention may include a determination of whether there is “good cause” for the late intervention</w:t>
      </w:r>
      <w:r w:rsidR="00492621">
        <w:rPr>
          <w:rFonts w:ascii="Georgia" w:hAnsi="Georgia"/>
          <w:sz w:val="24"/>
          <w:szCs w:val="24"/>
        </w:rPr>
        <w:t xml:space="preserve">, and </w:t>
      </w:r>
      <w:r>
        <w:rPr>
          <w:rFonts w:ascii="Georgia" w:hAnsi="Georgia"/>
          <w:sz w:val="24"/>
          <w:szCs w:val="24"/>
        </w:rPr>
        <w:t>whether the late intervention places “burdens” upon existing parties or otherwise causes a “</w:t>
      </w:r>
      <w:r w:rsidRPr="00E93876">
        <w:rPr>
          <w:rFonts w:ascii="Georgia" w:hAnsi="Georgia"/>
          <w:sz w:val="24"/>
          <w:szCs w:val="24"/>
        </w:rPr>
        <w:t>disruption of the proceeding</w:t>
      </w:r>
      <w:r>
        <w:rPr>
          <w:rFonts w:ascii="Georgia" w:hAnsi="Georgia"/>
          <w:sz w:val="24"/>
          <w:szCs w:val="24"/>
        </w:rPr>
        <w:t>”</w:t>
      </w:r>
      <w:r w:rsidR="00492621">
        <w:rPr>
          <w:rFonts w:ascii="Georgia" w:hAnsi="Georgia"/>
          <w:sz w:val="24"/>
          <w:szCs w:val="24"/>
        </w:rPr>
        <w:t>.</w:t>
      </w:r>
      <w:r>
        <w:rPr>
          <w:rStyle w:val="FootnoteReference"/>
          <w:rFonts w:ascii="Georgia" w:hAnsi="Georgia"/>
          <w:sz w:val="24"/>
          <w:szCs w:val="24"/>
        </w:rPr>
        <w:footnoteReference w:id="2"/>
      </w:r>
    </w:p>
    <w:p w14:paraId="5C555575" w14:textId="4DABCFED" w:rsidR="00202C53" w:rsidRDefault="00963B60" w:rsidP="009E252A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States and Attorneys General 14-month</w:t>
      </w:r>
      <w:r w:rsidR="000C173F">
        <w:rPr>
          <w:rFonts w:ascii="Georgia" w:hAnsi="Georgia"/>
          <w:sz w:val="24"/>
          <w:szCs w:val="24"/>
        </w:rPr>
        <w:t xml:space="preserve"> late intervention fails these tests. </w:t>
      </w:r>
      <w:r>
        <w:rPr>
          <w:rFonts w:ascii="Georgia" w:hAnsi="Georgia"/>
          <w:sz w:val="24"/>
          <w:szCs w:val="24"/>
        </w:rPr>
        <w:t>The States and Attorneys General</w:t>
      </w:r>
      <w:r w:rsidR="000C173F">
        <w:rPr>
          <w:rFonts w:ascii="Georgia" w:hAnsi="Georgia"/>
          <w:sz w:val="24"/>
          <w:szCs w:val="24"/>
        </w:rPr>
        <w:t xml:space="preserve"> provide no good cause for requesting intervention </w:t>
      </w:r>
      <w:r w:rsidR="003E385D">
        <w:rPr>
          <w:rFonts w:ascii="Georgia" w:hAnsi="Georgia"/>
          <w:sz w:val="24"/>
          <w:szCs w:val="24"/>
        </w:rPr>
        <w:t xml:space="preserve">in a Section 203 proceeding </w:t>
      </w:r>
      <w:r w:rsidR="00A63F32">
        <w:rPr>
          <w:rFonts w:ascii="Georgia" w:hAnsi="Georgia"/>
          <w:sz w:val="24"/>
          <w:szCs w:val="24"/>
        </w:rPr>
        <w:t>14 months</w:t>
      </w:r>
      <w:r w:rsidR="000C173F">
        <w:rPr>
          <w:rFonts w:ascii="Georgia" w:hAnsi="Georgia"/>
          <w:sz w:val="24"/>
          <w:szCs w:val="24"/>
        </w:rPr>
        <w:t xml:space="preserve"> late.</w:t>
      </w:r>
      <w:r w:rsidR="00C33868">
        <w:rPr>
          <w:rFonts w:ascii="Georgia" w:hAnsi="Georgia"/>
          <w:sz w:val="24"/>
          <w:szCs w:val="24"/>
        </w:rPr>
        <w:t xml:space="preserve"> The States and Attorneys General claim that their 14-month</w:t>
      </w:r>
      <w:r w:rsidR="006216E1">
        <w:rPr>
          <w:rFonts w:ascii="Georgia" w:hAnsi="Georgia"/>
          <w:sz w:val="24"/>
          <w:szCs w:val="24"/>
        </w:rPr>
        <w:t xml:space="preserve"> late intervention is justified because </w:t>
      </w:r>
      <w:r w:rsidR="00BB0B0A">
        <w:rPr>
          <w:rFonts w:ascii="Georgia" w:hAnsi="Georgia"/>
          <w:sz w:val="24"/>
          <w:szCs w:val="24"/>
        </w:rPr>
        <w:t>BlackRock has not “withdrawn” from its association with</w:t>
      </w:r>
      <w:r w:rsidR="00FF09F5">
        <w:rPr>
          <w:rFonts w:ascii="Georgia" w:hAnsi="Georgia"/>
          <w:sz w:val="24"/>
          <w:szCs w:val="24"/>
        </w:rPr>
        <w:t xml:space="preserve"> </w:t>
      </w:r>
      <w:r w:rsidR="00941884">
        <w:rPr>
          <w:rFonts w:ascii="Georgia" w:hAnsi="Georgia"/>
          <w:sz w:val="24"/>
          <w:szCs w:val="24"/>
        </w:rPr>
        <w:t>“</w:t>
      </w:r>
      <w:r w:rsidR="00941884" w:rsidRPr="00941884">
        <w:rPr>
          <w:rFonts w:ascii="Georgia" w:hAnsi="Georgia"/>
          <w:sz w:val="24"/>
          <w:szCs w:val="24"/>
        </w:rPr>
        <w:t>CA100+ and NZAM</w:t>
      </w:r>
      <w:r w:rsidR="00941884">
        <w:rPr>
          <w:rFonts w:ascii="Georgia" w:hAnsi="Georgia"/>
          <w:sz w:val="24"/>
          <w:szCs w:val="24"/>
        </w:rPr>
        <w:t>”</w:t>
      </w:r>
      <w:r w:rsidR="00B95C78">
        <w:rPr>
          <w:rFonts w:ascii="Georgia" w:hAnsi="Georgia"/>
          <w:sz w:val="24"/>
          <w:szCs w:val="24"/>
        </w:rPr>
        <w:t>, among other claims</w:t>
      </w:r>
      <w:r w:rsidR="00941884">
        <w:rPr>
          <w:rFonts w:ascii="Georgia" w:hAnsi="Georgia"/>
          <w:sz w:val="24"/>
          <w:szCs w:val="24"/>
        </w:rPr>
        <w:t>.</w:t>
      </w:r>
      <w:r w:rsidR="00941884">
        <w:rPr>
          <w:rStyle w:val="FootnoteReference"/>
          <w:rFonts w:ascii="Georgia" w:hAnsi="Georgia"/>
          <w:sz w:val="24"/>
          <w:szCs w:val="24"/>
        </w:rPr>
        <w:footnoteReference w:id="3"/>
      </w:r>
      <w:r w:rsidR="000C173F">
        <w:rPr>
          <w:rFonts w:ascii="Georgia" w:hAnsi="Georgia"/>
          <w:sz w:val="24"/>
          <w:szCs w:val="24"/>
        </w:rPr>
        <w:t xml:space="preserve"> </w:t>
      </w:r>
      <w:r w:rsidR="00D46019">
        <w:rPr>
          <w:rFonts w:ascii="Georgia" w:hAnsi="Georgia"/>
          <w:sz w:val="24"/>
          <w:szCs w:val="24"/>
        </w:rPr>
        <w:t>But th</w:t>
      </w:r>
      <w:r w:rsidR="004773A0">
        <w:rPr>
          <w:rFonts w:ascii="Georgia" w:hAnsi="Georgia"/>
          <w:sz w:val="24"/>
          <w:szCs w:val="24"/>
        </w:rPr>
        <w:t xml:space="preserve">eir tardy motion </w:t>
      </w:r>
      <w:r w:rsidR="00D46019">
        <w:rPr>
          <w:rFonts w:ascii="Georgia" w:hAnsi="Georgia"/>
          <w:sz w:val="24"/>
          <w:szCs w:val="24"/>
        </w:rPr>
        <w:t xml:space="preserve">comes </w:t>
      </w:r>
      <w:r w:rsidR="00D46019">
        <w:rPr>
          <w:rFonts w:ascii="Georgia" w:hAnsi="Georgia"/>
          <w:i/>
          <w:iCs/>
          <w:sz w:val="24"/>
          <w:szCs w:val="24"/>
        </w:rPr>
        <w:t>after</w:t>
      </w:r>
      <w:r w:rsidR="003A3C45">
        <w:rPr>
          <w:rFonts w:ascii="Georgia" w:hAnsi="Georgia"/>
          <w:sz w:val="24"/>
          <w:szCs w:val="24"/>
        </w:rPr>
        <w:t xml:space="preserve"> the Commission issued an order </w:t>
      </w:r>
      <w:r w:rsidR="00AF7364">
        <w:rPr>
          <w:rFonts w:ascii="Georgia" w:hAnsi="Georgia"/>
          <w:sz w:val="24"/>
          <w:szCs w:val="24"/>
        </w:rPr>
        <w:t xml:space="preserve">more than a year ago </w:t>
      </w:r>
      <w:r w:rsidR="003A3C45">
        <w:rPr>
          <w:rFonts w:ascii="Georgia" w:hAnsi="Georgia"/>
          <w:sz w:val="24"/>
          <w:szCs w:val="24"/>
        </w:rPr>
        <w:t xml:space="preserve">approving </w:t>
      </w:r>
      <w:r w:rsidR="00AF7364">
        <w:rPr>
          <w:rFonts w:ascii="Georgia" w:hAnsi="Georgia"/>
          <w:sz w:val="24"/>
          <w:szCs w:val="24"/>
        </w:rPr>
        <w:t>BlackRock’s</w:t>
      </w:r>
      <w:r w:rsidR="003A3C45">
        <w:rPr>
          <w:rFonts w:ascii="Georgia" w:hAnsi="Georgia"/>
          <w:sz w:val="24"/>
          <w:szCs w:val="24"/>
        </w:rPr>
        <w:t xml:space="preserve"> Section 203 application. If the States and Attorneys General </w:t>
      </w:r>
      <w:r w:rsidR="00D74651">
        <w:rPr>
          <w:rFonts w:ascii="Georgia" w:hAnsi="Georgia"/>
          <w:sz w:val="24"/>
          <w:szCs w:val="24"/>
        </w:rPr>
        <w:t xml:space="preserve">believe they </w:t>
      </w:r>
      <w:r w:rsidR="00D74651">
        <w:rPr>
          <w:rFonts w:ascii="Georgia" w:hAnsi="Georgia"/>
          <w:sz w:val="24"/>
          <w:szCs w:val="24"/>
        </w:rPr>
        <w:lastRenderedPageBreak/>
        <w:t>have evidence that BlackRock is in violation of the Commission’s rules</w:t>
      </w:r>
      <w:r w:rsidR="003A2651">
        <w:rPr>
          <w:rFonts w:ascii="Georgia" w:hAnsi="Georgia"/>
          <w:sz w:val="24"/>
          <w:szCs w:val="24"/>
        </w:rPr>
        <w:t>, regulations or</w:t>
      </w:r>
      <w:r w:rsidR="00D74651">
        <w:rPr>
          <w:rFonts w:ascii="Georgia" w:hAnsi="Georgia"/>
          <w:sz w:val="24"/>
          <w:szCs w:val="24"/>
        </w:rPr>
        <w:t xml:space="preserve"> practices, then they can file a complaint under Section 206 of the Federal Power Act.</w:t>
      </w:r>
      <w:r w:rsidR="00782757">
        <w:rPr>
          <w:rStyle w:val="FootnoteReference"/>
          <w:rFonts w:ascii="Georgia" w:hAnsi="Georgia"/>
          <w:sz w:val="24"/>
          <w:szCs w:val="24"/>
        </w:rPr>
        <w:footnoteReference w:id="4"/>
      </w:r>
      <w:r w:rsidR="00EB1D2B">
        <w:rPr>
          <w:rFonts w:ascii="Georgia" w:hAnsi="Georgia"/>
          <w:sz w:val="24"/>
          <w:szCs w:val="24"/>
        </w:rPr>
        <w:t xml:space="preserve"> </w:t>
      </w:r>
    </w:p>
    <w:p w14:paraId="3E9AABC8" w14:textId="3088F71E" w:rsidR="000C173F" w:rsidRDefault="009E252A" w:rsidP="00202C53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Their</w:t>
      </w:r>
      <w:r w:rsidR="00EB1D2B">
        <w:rPr>
          <w:rFonts w:ascii="Georgia" w:hAnsi="Georgia"/>
          <w:sz w:val="24"/>
          <w:szCs w:val="24"/>
        </w:rPr>
        <w:t xml:space="preserve"> untimely motion in a stale Section 203 proceeding </w:t>
      </w:r>
      <w:r w:rsidR="00202C53">
        <w:rPr>
          <w:rFonts w:ascii="Georgia" w:hAnsi="Georgia"/>
          <w:sz w:val="24"/>
          <w:szCs w:val="24"/>
        </w:rPr>
        <w:t xml:space="preserve">is clearly </w:t>
      </w:r>
      <w:r w:rsidR="000C173F">
        <w:rPr>
          <w:rFonts w:ascii="Georgia" w:hAnsi="Georgia"/>
          <w:sz w:val="24"/>
          <w:szCs w:val="24"/>
        </w:rPr>
        <w:t>disrup</w:t>
      </w:r>
      <w:r w:rsidR="00202C53">
        <w:rPr>
          <w:rFonts w:ascii="Georgia" w:hAnsi="Georgia"/>
          <w:sz w:val="24"/>
          <w:szCs w:val="24"/>
        </w:rPr>
        <w:t>tive</w:t>
      </w:r>
      <w:r w:rsidR="00F76D4E">
        <w:rPr>
          <w:rFonts w:ascii="Georgia" w:hAnsi="Georgia"/>
          <w:sz w:val="24"/>
          <w:szCs w:val="24"/>
        </w:rPr>
        <w:t>,</w:t>
      </w:r>
      <w:r w:rsidR="007B78C1">
        <w:rPr>
          <w:rFonts w:ascii="Georgia" w:hAnsi="Georgia"/>
          <w:sz w:val="24"/>
          <w:szCs w:val="24"/>
        </w:rPr>
        <w:t xml:space="preserve"> placing burdens upon Public Citizen. The States and Attorneys General raise new issues outside the scope of the Commission’s</w:t>
      </w:r>
      <w:r w:rsidR="00B836F7">
        <w:rPr>
          <w:rFonts w:ascii="Georgia" w:hAnsi="Georgia"/>
          <w:sz w:val="24"/>
          <w:szCs w:val="24"/>
        </w:rPr>
        <w:t xml:space="preserve"> March 11 order</w:t>
      </w:r>
      <w:r w:rsidR="00F76D4E">
        <w:rPr>
          <w:rFonts w:ascii="Georgia" w:hAnsi="Georgia"/>
          <w:sz w:val="24"/>
          <w:szCs w:val="24"/>
        </w:rPr>
        <w:t xml:space="preserve">, that, if accepted, would require </w:t>
      </w:r>
      <w:r w:rsidR="00884D6F">
        <w:rPr>
          <w:rFonts w:ascii="Georgia" w:hAnsi="Georgia"/>
          <w:sz w:val="24"/>
          <w:szCs w:val="24"/>
        </w:rPr>
        <w:t>Public Citizen to expend staff resources to analyze</w:t>
      </w:r>
      <w:r w:rsidR="006113FC">
        <w:rPr>
          <w:rFonts w:ascii="Georgia" w:hAnsi="Georgia"/>
          <w:sz w:val="24"/>
          <w:szCs w:val="24"/>
        </w:rPr>
        <w:t xml:space="preserve"> and address</w:t>
      </w:r>
      <w:r w:rsidR="00B836F7">
        <w:rPr>
          <w:rFonts w:ascii="Georgia" w:hAnsi="Georgia"/>
          <w:sz w:val="24"/>
          <w:szCs w:val="24"/>
        </w:rPr>
        <w:t xml:space="preserve">. Again, </w:t>
      </w:r>
      <w:r w:rsidR="00643892">
        <w:rPr>
          <w:rFonts w:ascii="Georgia" w:hAnsi="Georgia"/>
          <w:sz w:val="24"/>
          <w:szCs w:val="24"/>
        </w:rPr>
        <w:t>the States and Attorneys General</w:t>
      </w:r>
      <w:r w:rsidR="009C01BA">
        <w:rPr>
          <w:rFonts w:ascii="Georgia" w:hAnsi="Georgia"/>
          <w:sz w:val="24"/>
          <w:szCs w:val="24"/>
        </w:rPr>
        <w:t xml:space="preserve"> </w:t>
      </w:r>
      <w:r w:rsidR="00512633">
        <w:rPr>
          <w:rFonts w:ascii="Georgia" w:hAnsi="Georgia"/>
          <w:sz w:val="24"/>
          <w:szCs w:val="24"/>
        </w:rPr>
        <w:t>can seek their requested relief by filing a complaint under Section 206</w:t>
      </w:r>
      <w:r w:rsidR="003A5C0A">
        <w:rPr>
          <w:rFonts w:ascii="Georgia" w:hAnsi="Georgia"/>
          <w:sz w:val="24"/>
          <w:szCs w:val="24"/>
        </w:rPr>
        <w:t>, rather than disrupting a stale 203 proceeding.</w:t>
      </w:r>
    </w:p>
    <w:p w14:paraId="26D4E4B0" w14:textId="677D49A7" w:rsidR="007559BC" w:rsidRDefault="000C173F" w:rsidP="006113FC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Commission must reject </w:t>
      </w:r>
      <w:r w:rsidR="000A2F9D">
        <w:rPr>
          <w:rFonts w:ascii="Georgia" w:hAnsi="Georgia"/>
          <w:sz w:val="24"/>
          <w:szCs w:val="24"/>
        </w:rPr>
        <w:t>the States and Attorneys General</w:t>
      </w:r>
      <w:r>
        <w:rPr>
          <w:rFonts w:ascii="Georgia" w:hAnsi="Georgia"/>
          <w:sz w:val="24"/>
          <w:szCs w:val="24"/>
        </w:rPr>
        <w:t xml:space="preserve"> motion to intervene out of time, and disallow its</w:t>
      </w:r>
      <w:r w:rsidR="000A2F9D">
        <w:rPr>
          <w:rFonts w:ascii="Georgia" w:hAnsi="Georgia"/>
          <w:sz w:val="24"/>
          <w:szCs w:val="24"/>
        </w:rPr>
        <w:t xml:space="preserve"> motion</w:t>
      </w:r>
      <w:r>
        <w:rPr>
          <w:rFonts w:ascii="Georgia" w:hAnsi="Georgia"/>
          <w:sz w:val="24"/>
          <w:szCs w:val="24"/>
        </w:rPr>
        <w:t xml:space="preserve"> as procedurally deficient.</w:t>
      </w:r>
    </w:p>
    <w:p w14:paraId="5D44D7AD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</w:p>
    <w:p w14:paraId="3512EF1A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326B7776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Respectfully submitted,</w:t>
      </w:r>
    </w:p>
    <w:p w14:paraId="5FD2BA7D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</w:p>
    <w:p w14:paraId="32493856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Tyson Slocum, Energy Program Director</w:t>
      </w:r>
    </w:p>
    <w:p w14:paraId="3E02F670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Public Citizen, Inc.</w:t>
      </w:r>
    </w:p>
    <w:p w14:paraId="12B4ED33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215 Pennsylvania Ave SE</w:t>
      </w:r>
    </w:p>
    <w:p w14:paraId="41FC6E15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Washington, DC  20003</w:t>
      </w:r>
    </w:p>
    <w:p w14:paraId="0C17EA15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(202) 454-5191</w:t>
      </w:r>
    </w:p>
    <w:p w14:paraId="0C7BE1ED" w14:textId="77777777" w:rsidR="000C173F" w:rsidRDefault="000C173F" w:rsidP="000C173F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tslocum@citizen.org</w:t>
      </w:r>
    </w:p>
    <w:p w14:paraId="2FEC00AF" w14:textId="77777777" w:rsidR="000C173F" w:rsidRDefault="000C173F" w:rsidP="000F28EB">
      <w:pPr>
        <w:spacing w:line="360" w:lineRule="auto"/>
        <w:ind w:firstLine="720"/>
        <w:rPr>
          <w:rFonts w:ascii="Georgia" w:hAnsi="Georgia"/>
          <w:sz w:val="24"/>
          <w:szCs w:val="24"/>
        </w:rPr>
      </w:pPr>
    </w:p>
    <w:p w14:paraId="4E3B2D62" w14:textId="6604FFA7" w:rsidR="006443BB" w:rsidRPr="000A2F9D" w:rsidRDefault="000A2F9D">
      <w:pPr>
        <w:rPr>
          <w:rFonts w:ascii="Georgia" w:hAnsi="Georgia"/>
          <w:sz w:val="24"/>
          <w:szCs w:val="24"/>
        </w:rPr>
      </w:pPr>
      <w:r w:rsidRPr="000A2F9D">
        <w:rPr>
          <w:rFonts w:ascii="Georgia" w:hAnsi="Georgia"/>
          <w:sz w:val="24"/>
          <w:szCs w:val="24"/>
        </w:rPr>
        <w:t>Filed May 12, 2023</w:t>
      </w:r>
    </w:p>
    <w:sectPr w:rsidR="006443BB" w:rsidRPr="000A2F9D" w:rsidSect="005A2628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6592" w14:textId="77777777" w:rsidR="00FD775B" w:rsidRDefault="00FD775B" w:rsidP="000C173F">
      <w:r>
        <w:separator/>
      </w:r>
    </w:p>
  </w:endnote>
  <w:endnote w:type="continuationSeparator" w:id="0">
    <w:p w14:paraId="0433A6BB" w14:textId="77777777" w:rsidR="00FD775B" w:rsidRDefault="00FD775B" w:rsidP="000C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3998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E09B09" w14:textId="3D42122B" w:rsidR="005A2628" w:rsidRDefault="005A26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257D08" w14:textId="77777777" w:rsidR="005A2628" w:rsidRDefault="005A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AA50" w14:textId="77777777" w:rsidR="00FD775B" w:rsidRDefault="00FD775B" w:rsidP="000C173F">
      <w:r>
        <w:separator/>
      </w:r>
    </w:p>
  </w:footnote>
  <w:footnote w:type="continuationSeparator" w:id="0">
    <w:p w14:paraId="50E52E50" w14:textId="77777777" w:rsidR="00FD775B" w:rsidRDefault="00FD775B" w:rsidP="000C173F">
      <w:r>
        <w:continuationSeparator/>
      </w:r>
    </w:p>
  </w:footnote>
  <w:footnote w:id="1">
    <w:p w14:paraId="54C36635" w14:textId="5E93ED75" w:rsidR="00074A83" w:rsidRPr="00074A83" w:rsidRDefault="00074A83">
      <w:pPr>
        <w:pStyle w:val="FootnoteText"/>
        <w:rPr>
          <w:rFonts w:ascii="Georgia" w:hAnsi="Georgia"/>
        </w:rPr>
      </w:pPr>
      <w:r>
        <w:rPr>
          <w:rStyle w:val="FootnoteReference"/>
        </w:rPr>
        <w:footnoteRef/>
      </w:r>
      <w:r>
        <w:t xml:space="preserve"> </w:t>
      </w:r>
      <w:r w:rsidRPr="00074A83">
        <w:rPr>
          <w:rFonts w:ascii="Georgia" w:hAnsi="Georgia"/>
        </w:rPr>
        <w:t>www.citizen.org/article/challenge-to-blackrocks-waivers-to-control-up-to-20-of-utilities/</w:t>
      </w:r>
    </w:p>
  </w:footnote>
  <w:footnote w:id="2">
    <w:p w14:paraId="47032820" w14:textId="77777777" w:rsidR="000C173F" w:rsidRDefault="000C173F" w:rsidP="000C17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3876">
        <w:rPr>
          <w:rFonts w:ascii="Georgia" w:hAnsi="Georgia"/>
        </w:rPr>
        <w:t>18 CFR § 385.214(d)(1).</w:t>
      </w:r>
    </w:p>
  </w:footnote>
  <w:footnote w:id="3">
    <w:p w14:paraId="3A8AC46D" w14:textId="5830E398" w:rsidR="00941884" w:rsidRDefault="009418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31EE">
        <w:rPr>
          <w:rFonts w:ascii="Georgia" w:hAnsi="Georgia"/>
          <w:i/>
          <w:iCs/>
        </w:rPr>
        <w:t>Motion</w:t>
      </w:r>
      <w:r w:rsidRPr="000231EE">
        <w:rPr>
          <w:rFonts w:ascii="Georgia" w:hAnsi="Georgia"/>
        </w:rPr>
        <w:t>, at page 49.</w:t>
      </w:r>
    </w:p>
  </w:footnote>
  <w:footnote w:id="4">
    <w:p w14:paraId="7BBF6A07" w14:textId="66070A18" w:rsidR="00782757" w:rsidRDefault="007827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7ED2">
        <w:rPr>
          <w:rFonts w:ascii="Georgia" w:hAnsi="Georgia"/>
        </w:rPr>
        <w:t>16 USC § 824e</w:t>
      </w:r>
      <w:r w:rsidR="007B7ED2" w:rsidRPr="007B7ED2">
        <w:rPr>
          <w:rFonts w:ascii="Georgia" w:hAnsi="Georgi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EB"/>
    <w:rsid w:val="00013488"/>
    <w:rsid w:val="000231EE"/>
    <w:rsid w:val="00074A83"/>
    <w:rsid w:val="000A2F9D"/>
    <w:rsid w:val="000C173F"/>
    <w:rsid w:val="000C406C"/>
    <w:rsid w:val="000E103C"/>
    <w:rsid w:val="000F28EB"/>
    <w:rsid w:val="000F4965"/>
    <w:rsid w:val="00143094"/>
    <w:rsid w:val="001B5EDE"/>
    <w:rsid w:val="001C1A5A"/>
    <w:rsid w:val="00202C53"/>
    <w:rsid w:val="002D4BCE"/>
    <w:rsid w:val="00327CF1"/>
    <w:rsid w:val="00344889"/>
    <w:rsid w:val="003A2651"/>
    <w:rsid w:val="003A3C45"/>
    <w:rsid w:val="003A3D79"/>
    <w:rsid w:val="003A5C0A"/>
    <w:rsid w:val="003D1F5E"/>
    <w:rsid w:val="003E385D"/>
    <w:rsid w:val="004773A0"/>
    <w:rsid w:val="00492621"/>
    <w:rsid w:val="00512633"/>
    <w:rsid w:val="005A2628"/>
    <w:rsid w:val="006064A5"/>
    <w:rsid w:val="006113FC"/>
    <w:rsid w:val="006216E1"/>
    <w:rsid w:val="00643892"/>
    <w:rsid w:val="006443BB"/>
    <w:rsid w:val="00664B18"/>
    <w:rsid w:val="007559BC"/>
    <w:rsid w:val="00776026"/>
    <w:rsid w:val="00782757"/>
    <w:rsid w:val="007B78C1"/>
    <w:rsid w:val="007B7ED2"/>
    <w:rsid w:val="007C30C0"/>
    <w:rsid w:val="00884D6F"/>
    <w:rsid w:val="008A60AD"/>
    <w:rsid w:val="008C61A0"/>
    <w:rsid w:val="00924812"/>
    <w:rsid w:val="00941884"/>
    <w:rsid w:val="00963B60"/>
    <w:rsid w:val="009C01BA"/>
    <w:rsid w:val="009E252A"/>
    <w:rsid w:val="009E589E"/>
    <w:rsid w:val="00A250F2"/>
    <w:rsid w:val="00A52BBA"/>
    <w:rsid w:val="00A63F32"/>
    <w:rsid w:val="00AA5EE1"/>
    <w:rsid w:val="00AF7364"/>
    <w:rsid w:val="00B836F7"/>
    <w:rsid w:val="00B955A5"/>
    <w:rsid w:val="00B95C78"/>
    <w:rsid w:val="00BA1325"/>
    <w:rsid w:val="00BB0B0A"/>
    <w:rsid w:val="00BE5D95"/>
    <w:rsid w:val="00C33868"/>
    <w:rsid w:val="00CA639F"/>
    <w:rsid w:val="00D46019"/>
    <w:rsid w:val="00D60970"/>
    <w:rsid w:val="00D74651"/>
    <w:rsid w:val="00D75DD4"/>
    <w:rsid w:val="00DA2F57"/>
    <w:rsid w:val="00E1109E"/>
    <w:rsid w:val="00EB1D2B"/>
    <w:rsid w:val="00F23106"/>
    <w:rsid w:val="00F76D4E"/>
    <w:rsid w:val="00FD6039"/>
    <w:rsid w:val="00FD775B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6384"/>
  <w15:chartTrackingRefBased/>
  <w15:docId w15:val="{B86A852A-C040-4996-9324-267D7004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C17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73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C173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6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6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41E31-A1CA-48C3-AF92-A7249033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66</cp:revision>
  <dcterms:created xsi:type="dcterms:W3CDTF">2023-05-12T12:20:00Z</dcterms:created>
  <dcterms:modified xsi:type="dcterms:W3CDTF">2023-05-12T14:07:00Z</dcterms:modified>
</cp:coreProperties>
</file>